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E0BE">
      <w:pPr>
        <w:adjustRightInd w:val="0"/>
        <w:snapToGrid w:val="0"/>
        <w:spacing w:line="360" w:lineRule="auto"/>
        <w:ind w:firstLine="643" w:firstLineChars="200"/>
        <w:jc w:val="center"/>
        <w:rPr>
          <w:rFonts w:hint="eastAsia" w:hAnsi="宋体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highlight w:val="none"/>
          <w:lang w:val="zh-CN" w:eastAsia="zh-CN" w:bidi="ar-SA"/>
        </w:rPr>
        <w:t>拟签订的合同条款文本</w:t>
      </w:r>
    </w:p>
    <w:p w14:paraId="11055D7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bookmarkStart w:id="0" w:name="_Hlk107229277"/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 w14:paraId="0084291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乙方（成交供应商）： </w:t>
      </w:r>
    </w:p>
    <w:p w14:paraId="7F59406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2024年西安市排水信息化系统运行维护项目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(项目编号：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SXHC2024-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>215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，由陕西华采招标有限公司组织竞争性磋商，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0CCC66C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民法典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》和《中华人民共和国政府采购法》之规定，经双方在平等、自愿、互利的基础上，签订本合同，共同信守。</w:t>
      </w:r>
    </w:p>
    <w:bookmarkEnd w:id="0"/>
    <w:p w14:paraId="33F5266F">
      <w:pPr>
        <w:tabs>
          <w:tab w:val="center" w:pos="4153"/>
          <w:tab w:val="right" w:pos="8306"/>
        </w:tabs>
        <w:snapToGrid w:val="0"/>
        <w:spacing w:line="360" w:lineRule="auto"/>
        <w:ind w:firstLine="562" w:firstLineChars="20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一、合同价款</w:t>
      </w:r>
    </w:p>
    <w:p w14:paraId="14CE992E">
      <w:pPr>
        <w:tabs>
          <w:tab w:val="center" w:pos="4153"/>
          <w:tab w:val="right" w:pos="8306"/>
        </w:tabs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（一）合同总价款为人民币（大写）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元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 w14:paraId="39D5DA8A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（二）合同总价包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括但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不限于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人员工资、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运维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费、管理费、利润、风险、各种税金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以及其他费用。</w:t>
      </w:r>
    </w:p>
    <w:p w14:paraId="20F5AE98">
      <w:pPr>
        <w:tabs>
          <w:tab w:val="center" w:pos="4153"/>
          <w:tab w:val="right" w:pos="8306"/>
        </w:tabs>
        <w:snapToGrid w:val="0"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（三）合同总价一次性包死，不受市场价格变化因素的影响。</w:t>
      </w:r>
    </w:p>
    <w:p w14:paraId="0BCB2043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二、委托工作内容：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single"/>
        </w:rPr>
        <w:t xml:space="preserve">                 </w:t>
      </w:r>
    </w:p>
    <w:p w14:paraId="22820A3A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款项结算</w:t>
      </w:r>
    </w:p>
    <w:p w14:paraId="4B5CB182">
      <w:pPr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付款方式：合同签订之日起3个月内根据履行情况 ，达到付款条件起 30 日内，支付合同总金额的 100.00%。</w:t>
      </w:r>
      <w:bookmarkStart w:id="1" w:name="_GoBack"/>
      <w:bookmarkEnd w:id="1"/>
    </w:p>
    <w:p w14:paraId="69CE9840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）支付方式：银行转账。</w:t>
      </w:r>
    </w:p>
    <w:p w14:paraId="216D7BD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）结算方式：由甲方负责结算，乙方在接受付款前，开具全额发票给甲方。</w:t>
      </w:r>
    </w:p>
    <w:p w14:paraId="30ECA0AE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地点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及项目周期</w:t>
      </w:r>
    </w:p>
    <w:p w14:paraId="3FE5F90B">
      <w:pPr>
        <w:autoSpaceDE w:val="0"/>
        <w:autoSpaceDN w:val="0"/>
        <w:adjustRightInd w:val="0"/>
        <w:spacing w:line="360" w:lineRule="auto"/>
        <w:ind w:firstLine="645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地点：采购人指定地点。</w:t>
      </w:r>
    </w:p>
    <w:p w14:paraId="03378116">
      <w:pPr>
        <w:autoSpaceDE w:val="0"/>
        <w:autoSpaceDN w:val="0"/>
        <w:adjustRightInd w:val="0"/>
        <w:spacing w:line="360" w:lineRule="auto"/>
        <w:ind w:firstLine="645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服务期限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：合同签订之日起1年。   </w:t>
      </w:r>
    </w:p>
    <w:p w14:paraId="13903CA3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、双方的权利和义务</w:t>
      </w:r>
    </w:p>
    <w:p w14:paraId="375B3B2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（一）甲方的权利与义务</w:t>
      </w:r>
    </w:p>
    <w:p w14:paraId="736D030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甲方负责配合本次项目服务工作；</w:t>
      </w:r>
    </w:p>
    <w:p w14:paraId="01EEA99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甲方应按本合同的约定向乙方支付合同价款；</w:t>
      </w:r>
    </w:p>
    <w:p w14:paraId="2871E98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甲方根据需要对乙方提供的实施方案进行审核，提供建议及意见，确定最终实施的服务方案，以便乙方遵照执行；</w:t>
      </w:r>
    </w:p>
    <w:p w14:paraId="7AD4D0E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甲方有权对乙方的工作进行监督和考核。</w:t>
      </w:r>
    </w:p>
    <w:p w14:paraId="7E03D6C1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（二）乙方的权利与义务</w:t>
      </w:r>
    </w:p>
    <w:p w14:paraId="14AE1F1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乙方的工作人员必须严格遵守甲方的规章制度，以良好的形象和积极的工作态度，按甲方要求开展工作；</w:t>
      </w:r>
    </w:p>
    <w:p w14:paraId="6C7E313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乙方应服从甲方统筹管理并按流程开展工作；</w:t>
      </w:r>
    </w:p>
    <w:p w14:paraId="27F19C3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乙方保证安排的相关人员需按照指定时间到达指定地点进行服务；</w:t>
      </w:r>
    </w:p>
    <w:p w14:paraId="00C188A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乙方提交的方案等应得到甲方确认再予以实施；</w:t>
      </w:r>
    </w:p>
    <w:p w14:paraId="31CBC94D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乙方负责解决所需要的工作条件及相应的工作配合，如场地的使用、乙方工作人员出入等，甲方有义务提供必要的便利条件。</w:t>
      </w:r>
    </w:p>
    <w:p w14:paraId="6BE5EA90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六、服务质量保证</w:t>
      </w:r>
    </w:p>
    <w:p w14:paraId="2D9381E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（一）乙方需派一名项目负责人，直接与甲方沟通，项目负责人接收甲方提出的问题与要求，并及时反馈给工作组，解决在项目实施过程中遇到的问题。</w:t>
      </w:r>
    </w:p>
    <w:p w14:paraId="2E8FBAE4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（二）项目在实施过程中会出现不可预料的需求变更，乙方需积极配合甲方的需求变更，并按照变更后的需求继续进行方案实施。</w:t>
      </w:r>
    </w:p>
    <w:p w14:paraId="02AA36A8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（三）乙方需提交所有实施方案流程及说明文档。</w:t>
      </w:r>
    </w:p>
    <w:p w14:paraId="2280ADF7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（四）乙方需建立高效的服务团队，项目团队组成合理。</w:t>
      </w:r>
    </w:p>
    <w:p w14:paraId="01D75E17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（五）乙方需设有详细的技术资料档案和服务档案，将保存项目的详细资料以便于更好地提供服务。</w:t>
      </w:r>
    </w:p>
    <w:p w14:paraId="1B522D8D">
      <w:pPr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七、知识产权</w:t>
      </w:r>
    </w:p>
    <w:p w14:paraId="40E2C3D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（一）本项目知识产权归甲方所有。</w:t>
      </w:r>
    </w:p>
    <w:p w14:paraId="406125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（二）乙方无论出于任何目的如在其他地方使用该成果，必须经甲方同意方可使用。否则，贵甲方有权要求终止涉及到该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知识产权的任何使用活动并保留追究卖方相应的法律责任的权利。 </w:t>
      </w:r>
    </w:p>
    <w:p w14:paraId="2272581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（三）乙方为执行本合同而提供的技术资料使用权归甲方所有。</w:t>
      </w:r>
    </w:p>
    <w:p w14:paraId="30EB6A07">
      <w:pPr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八、保密规定</w:t>
      </w:r>
    </w:p>
    <w:p w14:paraId="6C0F951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甲、乙双方应永久恪守因签署或履行本合同而获知的对方秘密信息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及其他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秘密资料。任何一方如将获知的对方秘密信息泄露给第三方，应赔偿因泄密而给对方造成的一切损失并承担相应的法律责任（包括刑事责任）。</w:t>
      </w:r>
    </w:p>
    <w:p w14:paraId="39E252EE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九、其他事项</w:t>
      </w:r>
    </w:p>
    <w:p w14:paraId="3F93D59A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（一）乙方不得转让、分包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给其他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单位或个人。</w:t>
      </w:r>
    </w:p>
    <w:p w14:paraId="5E76C787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（二）乙方的响应文件和承诺等内容将列入合同。</w:t>
      </w:r>
    </w:p>
    <w:p w14:paraId="755C7D93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十、验收</w:t>
      </w:r>
    </w:p>
    <w:p w14:paraId="29D8ACB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（一）本项目验收费用，由乙方自行承担。</w:t>
      </w:r>
    </w:p>
    <w:p w14:paraId="25B00C1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二）服务期满后，由乙方向甲方递交验收通知书，经甲方确认后，组织乙方进行系统验收（必要时采购人可委托具有相关资质的第三方检测机构/技术专家对本次服务进行系统验收，需要国家法定检验部门进行检验或验收的由乙方负责联系）。验收合格后，填写政府采购项目验收单作为对本次服务的最终认可。</w:t>
      </w:r>
    </w:p>
    <w:p w14:paraId="20DEDD8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（三）验收依据：</w:t>
      </w:r>
    </w:p>
    <w:p w14:paraId="4B4BA0C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1、本合同及附加文本；</w:t>
      </w:r>
    </w:p>
    <w:p w14:paraId="11DB599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2、磋商文件、成交供应商的响应文件及澄清（承诺）函；</w:t>
      </w:r>
    </w:p>
    <w:p w14:paraId="35822505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3、国家相应的标准、规范。</w:t>
      </w:r>
    </w:p>
    <w:p w14:paraId="768FE6F3">
      <w:pPr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十一、违约责任</w:t>
      </w:r>
    </w:p>
    <w:p w14:paraId="5BD3627C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（一）按《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中华人民共和国民法典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》中的相关条款执行。</w:t>
      </w:r>
    </w:p>
    <w:p w14:paraId="48896D86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 w14:paraId="58FE1C46">
      <w:pPr>
        <w:autoSpaceDE w:val="0"/>
        <w:autoSpaceDN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十二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合同争议解决的方式</w:t>
      </w:r>
    </w:p>
    <w:p w14:paraId="33CCAD6F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本合同在履行过程中发生的争议，由甲、乙双方当事人协商解决，协商不成的按下列第（二）种方式解决：</w:t>
      </w:r>
    </w:p>
    <w:p w14:paraId="68FDB973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（一）提交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西安市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仲裁委员会仲裁；</w:t>
      </w:r>
    </w:p>
    <w:p w14:paraId="2F0F731E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（二）依法向甲方所在地法院起诉。</w:t>
      </w:r>
    </w:p>
    <w:p w14:paraId="0D2F5DB3">
      <w:pPr>
        <w:autoSpaceDE w:val="0"/>
        <w:autoSpaceDN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十三、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合同生效</w:t>
      </w:r>
    </w:p>
    <w:p w14:paraId="6EE11625">
      <w:pPr>
        <w:autoSpaceDE w:val="0"/>
        <w:autoSpaceDN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（一）本合同须经甲、乙双方的法定代表人（授权代表）在合同书上签字并加盖本单位公章后正式生效。</w:t>
      </w:r>
    </w:p>
    <w:p w14:paraId="5A4528AE">
      <w:pPr>
        <w:autoSpaceDE w:val="0"/>
        <w:autoSpaceDN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（二）合同生效后，甲、乙双方须严格执行本合同条款的规定，全面履行合同，违者按《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中华人民共和国民法典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》的有关规定承担相应责任。</w:t>
      </w:r>
    </w:p>
    <w:p w14:paraId="15C8D1BD">
      <w:pPr>
        <w:autoSpaceDE w:val="0"/>
        <w:autoSpaceDN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份。</w:t>
      </w:r>
    </w:p>
    <w:p w14:paraId="6F0DDD4C">
      <w:pPr>
        <w:widowControl/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  <w:sectPr>
          <w:headerReference r:id="rId3" w:type="default"/>
          <w:pgSz w:w="11906" w:h="16838"/>
          <w:pgMar w:top="1440" w:right="1080" w:bottom="1440" w:left="108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58" w:charSpace="0"/>
        </w:sect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（四）本合同如有未尽事宜，甲、乙双方协商解决。</w:t>
      </w:r>
    </w:p>
    <w:p w14:paraId="1B24A9F0">
      <w:pPr>
        <w:pStyle w:val="8"/>
        <w:tabs>
          <w:tab w:val="center" w:pos="4153"/>
          <w:tab w:val="right" w:pos="8306"/>
          <w:tab w:val="clear" w:pos="4140"/>
          <w:tab w:val="clear" w:pos="8300"/>
        </w:tabs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57856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443481AD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134D29BD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乙  方</w:t>
            </w:r>
          </w:p>
        </w:tc>
      </w:tr>
      <w:tr w14:paraId="1E59B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3F47FCF5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2C1BCEB6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（盖章）</w:t>
            </w:r>
          </w:p>
        </w:tc>
      </w:tr>
      <w:tr w14:paraId="27CB0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05E89D0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101A33F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地址：</w:t>
            </w:r>
          </w:p>
        </w:tc>
      </w:tr>
      <w:tr w14:paraId="7BDBA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3407CE1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2B70A85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邮编：</w:t>
            </w:r>
          </w:p>
        </w:tc>
      </w:tr>
      <w:tr w14:paraId="1A815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5124F8C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643641C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法定代表人：</w:t>
            </w:r>
          </w:p>
        </w:tc>
      </w:tr>
      <w:tr w14:paraId="75FDF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1D0B93EC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0B5E10E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被授权代表：</w:t>
            </w:r>
          </w:p>
        </w:tc>
      </w:tr>
      <w:tr w14:paraId="6DA3C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2E9427E1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75CBBC45">
            <w:pPr>
              <w:autoSpaceDE w:val="0"/>
              <w:autoSpaceDN w:val="0"/>
              <w:adjustRightInd w:val="0"/>
              <w:ind w:left="840" w:hanging="720" w:hangingChars="30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电话：</w:t>
            </w:r>
          </w:p>
        </w:tc>
      </w:tr>
      <w:tr w14:paraId="755A1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68AD33A1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172904C7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传真：</w:t>
            </w:r>
          </w:p>
        </w:tc>
      </w:tr>
      <w:tr w14:paraId="298B9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2F581A1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0D05ACA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开户银行：</w:t>
            </w:r>
          </w:p>
        </w:tc>
      </w:tr>
      <w:tr w14:paraId="76EB1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201" w:type="dxa"/>
            <w:noWrap w:val="0"/>
            <w:vAlign w:val="center"/>
          </w:tcPr>
          <w:p w14:paraId="6E5777BC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4CE0BA7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日期：</w:t>
            </w:r>
          </w:p>
        </w:tc>
      </w:tr>
    </w:tbl>
    <w:p w14:paraId="705A6F9D"/>
    <w:sectPr>
      <w:headerReference r:id="rId4" w:type="default"/>
      <w:footerReference r:id="rId5" w:type="default"/>
      <w:pgSz w:w="11909" w:h="16841"/>
      <w:pgMar w:top="1417" w:right="1417" w:bottom="1417" w:left="1417" w:header="850" w:footer="10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7690700-3DB2-4121-B719-B7DE3705BCF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8CF9B6B-E875-4680-A5D0-51449D04F4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0DB0ED9-1ECF-444A-8769-22A7578352A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23821">
    <w:pPr>
      <w:spacing w:line="14" w:lineRule="auto"/>
      <w:rPr>
        <w:rFonts w:ascii="Arial"/>
        <w:sz w:val="2"/>
      </w:rPr>
    </w:pPr>
    <w:r>
      <w:rPr>
        <w:sz w:val="2"/>
      </w:rPr>
      <w:pict>
        <v:shape id="文本框 7" o:spid="_x0000_s4097" o:spt="202" type="#_x0000_t202" style="position:absolute;left:0pt;margin-left:206.6pt;margin-top:-13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ZmIR/YAAAACwEAAA8AAAAAAAAAAQAgAAAAIgAAAGRycy9kb3ducmV2Lnht&#10;bFBLAQIUABQAAAAIAIdO4kD1i4dkMgIAAGEEAAAOAAAAAAAAAAEAIAAAACcBAABkcnMvZTJvRG9j&#10;LnhtbFBLBQYAAAAABgAGAFkBAADLBQAAAAA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1C6CD4D7">
                <w:pPr>
                  <w:pStyle w:val="8"/>
                  <w:tabs>
                    <w:tab w:val="center" w:pos="4153"/>
                    <w:tab w:val="right" w:pos="8306"/>
                    <w:tab w:val="clear" w:pos="4140"/>
                    <w:tab w:val="clear" w:pos="8300"/>
                  </w:tabs>
                </w:pPr>
                <w:r>
                  <w:rPr>
                    <w:sz w:val="21"/>
                    <w:szCs w:val="21"/>
                  </w:rPr>
                  <w:t xml:space="preserve">第 </w:t>
                </w: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53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sz w:val="21"/>
                    <w:szCs w:val="21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252FB">
    <w:pPr>
      <w:pBdr>
        <w:bottom w:val="none" w:color="auto" w:sz="0" w:space="1"/>
      </w:pBdr>
      <w:jc w:val="center"/>
      <w:rPr>
        <w:rFonts w:hint="eastAsia" w:ascii="宋体"/>
        <w:b/>
        <w:bCs/>
        <w:i/>
        <w:sz w:val="24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9A005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MxNWU5MTM1NDJhMzM3NzZlNjAyMmRiMjcyMmY4OWYifQ=="/>
  </w:docVars>
  <w:rsids>
    <w:rsidRoot w:val="29BB6BC2"/>
    <w:rsid w:val="00032C77"/>
    <w:rsid w:val="0005444A"/>
    <w:rsid w:val="00055484"/>
    <w:rsid w:val="00196F8D"/>
    <w:rsid w:val="002134F5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8B1E38"/>
    <w:rsid w:val="009015B2"/>
    <w:rsid w:val="00AD6F4F"/>
    <w:rsid w:val="00B35765"/>
    <w:rsid w:val="00C65FC8"/>
    <w:rsid w:val="00CC3A78"/>
    <w:rsid w:val="00CF6641"/>
    <w:rsid w:val="00EF3803"/>
    <w:rsid w:val="00F47186"/>
    <w:rsid w:val="00FA5ACA"/>
    <w:rsid w:val="00FC1B97"/>
    <w:rsid w:val="02680F16"/>
    <w:rsid w:val="071938B9"/>
    <w:rsid w:val="0C0C13DE"/>
    <w:rsid w:val="0CF24C32"/>
    <w:rsid w:val="0EBB3568"/>
    <w:rsid w:val="0EC60B07"/>
    <w:rsid w:val="10332904"/>
    <w:rsid w:val="10CF4970"/>
    <w:rsid w:val="10F63A27"/>
    <w:rsid w:val="17057D45"/>
    <w:rsid w:val="172B4FA4"/>
    <w:rsid w:val="192A37C4"/>
    <w:rsid w:val="198577DD"/>
    <w:rsid w:val="19966094"/>
    <w:rsid w:val="1CA80820"/>
    <w:rsid w:val="1D6E70FD"/>
    <w:rsid w:val="21665943"/>
    <w:rsid w:val="244871F4"/>
    <w:rsid w:val="25295AB7"/>
    <w:rsid w:val="274E2D73"/>
    <w:rsid w:val="27EF733B"/>
    <w:rsid w:val="28961ECA"/>
    <w:rsid w:val="292902AA"/>
    <w:rsid w:val="29BB6BC2"/>
    <w:rsid w:val="2F1025C8"/>
    <w:rsid w:val="30104537"/>
    <w:rsid w:val="313868D1"/>
    <w:rsid w:val="325B49C3"/>
    <w:rsid w:val="326A7D77"/>
    <w:rsid w:val="32982329"/>
    <w:rsid w:val="33EF3E56"/>
    <w:rsid w:val="39094D4C"/>
    <w:rsid w:val="3B6E32D5"/>
    <w:rsid w:val="3CCE5611"/>
    <w:rsid w:val="3CE71A85"/>
    <w:rsid w:val="412A6A1E"/>
    <w:rsid w:val="412F6352"/>
    <w:rsid w:val="414032D5"/>
    <w:rsid w:val="4EC118A7"/>
    <w:rsid w:val="4FDA2485"/>
    <w:rsid w:val="54F63A8A"/>
    <w:rsid w:val="5C7E1FD1"/>
    <w:rsid w:val="5D3B49BA"/>
    <w:rsid w:val="60E414E6"/>
    <w:rsid w:val="61DE6FB3"/>
    <w:rsid w:val="61E5759F"/>
    <w:rsid w:val="696F3399"/>
    <w:rsid w:val="734E36BE"/>
    <w:rsid w:val="741C09D0"/>
    <w:rsid w:val="74343D24"/>
    <w:rsid w:val="764F97C9"/>
    <w:rsid w:val="78C53AE4"/>
    <w:rsid w:val="7C9A4D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cs="Times New Roman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8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2">
    <w:name w:val="Body Text First Indent"/>
    <w:basedOn w:val="2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autoRedefine/>
    <w:qFormat/>
    <w:uiPriority w:val="0"/>
    <w:rPr>
      <w:sz w:val="21"/>
      <w:szCs w:val="21"/>
    </w:rPr>
  </w:style>
  <w:style w:type="paragraph" w:customStyle="1" w:styleId="17">
    <w:name w:val="标题 5（有编号）（绿盟科技）"/>
    <w:basedOn w:val="1"/>
    <w:next w:val="18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黑体"/>
      <w:b/>
      <w:kern w:val="0"/>
      <w:sz w:val="24"/>
      <w:szCs w:val="28"/>
    </w:rPr>
  </w:style>
  <w:style w:type="paragraph" w:customStyle="1" w:styleId="18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9">
    <w:name w:val="页眉 Char"/>
    <w:basedOn w:val="15"/>
    <w:link w:val="9"/>
    <w:autoRedefine/>
    <w:qFormat/>
    <w:uiPriority w:val="0"/>
    <w:rPr>
      <w:kern w:val="2"/>
      <w:sz w:val="18"/>
      <w:szCs w:val="18"/>
    </w:rPr>
  </w:style>
  <w:style w:type="character" w:customStyle="1" w:styleId="20">
    <w:name w:val="批注框文本 Char"/>
    <w:basedOn w:val="15"/>
    <w:link w:val="7"/>
    <w:autoRedefine/>
    <w:qFormat/>
    <w:uiPriority w:val="0"/>
    <w:rPr>
      <w:kern w:val="2"/>
      <w:sz w:val="18"/>
      <w:szCs w:val="18"/>
    </w:rPr>
  </w:style>
  <w:style w:type="paragraph" w:customStyle="1" w:styleId="21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3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1936</Words>
  <Characters>1966</Characters>
  <Lines>23</Lines>
  <Paragraphs>6</Paragraphs>
  <TotalTime>0</TotalTime>
  <ScaleCrop>false</ScaleCrop>
  <LinksUpToDate>false</LinksUpToDate>
  <CharactersWithSpaces>2035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2022-09-28T14:56:00Z</dcterms:created>
  <dc:creator>独舞的蒲公英</dc:creator>
  <cp:lastModifiedBy>123</cp:lastModifiedBy>
  <cp:lastPrinted>2022-09-28T14:56:00Z</cp:lastPrinted>
  <dcterms:modified xsi:type="dcterms:W3CDTF">2024-09-12T07:14:07Z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E79E879024B94D3FB100E7468F0D228F</vt:lpwstr>
  </property>
</Properties>
</file>