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98B69">
      <w:pPr>
        <w:pStyle w:val="12"/>
        <w:jc w:val="center"/>
        <w:outlineLvl w:val="1"/>
      </w:pPr>
      <w:r>
        <w:rPr>
          <w:b/>
          <w:sz w:val="36"/>
        </w:rPr>
        <w:t>拟签订采购合同文本</w:t>
      </w:r>
    </w:p>
    <w:p w14:paraId="45E3E063">
      <w:pPr>
        <w:tabs>
          <w:tab w:val="left" w:pos="735"/>
        </w:tabs>
        <w:autoSpaceDE w:val="0"/>
        <w:autoSpaceDN w:val="0"/>
        <w:adjustRightInd w:val="0"/>
        <w:snapToGrid w:val="0"/>
        <w:spacing w:before="240" w:beforeLines="100" w:line="360" w:lineRule="auto"/>
        <w:ind w:firstLine="482" w:firstLineChars="200"/>
        <w:rPr>
          <w:rFonts w:ascii="仿宋" w:hAnsi="仿宋" w:eastAsia="仿宋" w:cs="仿宋"/>
          <w:b/>
          <w:bCs/>
          <w:color w:val="auto"/>
          <w:sz w:val="24"/>
          <w:highlight w:val="none"/>
          <w:lang w:val="zh-CN"/>
        </w:rPr>
      </w:pPr>
      <w:r>
        <w:rPr>
          <w:rFonts w:hint="eastAsia" w:ascii="仿宋" w:hAnsi="仿宋" w:eastAsia="仿宋" w:cs="仿宋"/>
          <w:b/>
          <w:bCs/>
          <w:color w:val="auto"/>
          <w:sz w:val="24"/>
          <w:highlight w:val="none"/>
          <w:lang w:val="zh-CN"/>
        </w:rPr>
        <w:t>甲方：</w:t>
      </w:r>
      <w:r>
        <w:rPr>
          <w:rFonts w:hint="eastAsia" w:ascii="仿宋" w:hAnsi="仿宋" w:eastAsia="仿宋" w:cs="仿宋"/>
          <w:bCs/>
          <w:color w:val="auto"/>
          <w:sz w:val="24"/>
          <w:highlight w:val="none"/>
          <w:lang w:val="zh-CN"/>
        </w:rPr>
        <w:t>（前款所称采购人）     住所：</w:t>
      </w:r>
      <w:bookmarkStart w:id="10" w:name="_GoBack"/>
      <w:bookmarkEnd w:id="10"/>
    </w:p>
    <w:p w14:paraId="2FC40269">
      <w:pPr>
        <w:tabs>
          <w:tab w:val="left" w:pos="735"/>
        </w:tabs>
        <w:autoSpaceDE w:val="0"/>
        <w:autoSpaceDN w:val="0"/>
        <w:adjustRightInd w:val="0"/>
        <w:snapToGrid w:val="0"/>
        <w:spacing w:line="360" w:lineRule="auto"/>
        <w:ind w:firstLine="482" w:firstLineChars="200"/>
        <w:rPr>
          <w:rFonts w:ascii="仿宋" w:hAnsi="仿宋" w:eastAsia="仿宋" w:cs="仿宋"/>
          <w:bCs/>
          <w:color w:val="auto"/>
          <w:sz w:val="24"/>
          <w:highlight w:val="none"/>
          <w:lang w:val="zh-CN"/>
        </w:rPr>
      </w:pPr>
      <w:r>
        <w:rPr>
          <w:rFonts w:hint="eastAsia" w:ascii="仿宋" w:hAnsi="仿宋" w:eastAsia="仿宋" w:cs="仿宋"/>
          <w:b/>
          <w:bCs/>
          <w:color w:val="auto"/>
          <w:sz w:val="24"/>
          <w:highlight w:val="none"/>
          <w:lang w:val="zh-CN"/>
        </w:rPr>
        <w:t>乙方：</w:t>
      </w:r>
      <w:r>
        <w:rPr>
          <w:rFonts w:hint="eastAsia" w:ascii="仿宋" w:hAnsi="仿宋" w:eastAsia="仿宋" w:cs="仿宋"/>
          <w:bCs/>
          <w:color w:val="auto"/>
          <w:sz w:val="24"/>
          <w:highlight w:val="none"/>
          <w:lang w:val="zh-CN"/>
        </w:rPr>
        <w:t>（前款所称中标人）     住所：</w:t>
      </w:r>
    </w:p>
    <w:p w14:paraId="630528BD">
      <w:pPr>
        <w:pStyle w:val="2"/>
        <w:tabs>
          <w:tab w:val="left" w:pos="567"/>
        </w:tabs>
        <w:rPr>
          <w:rFonts w:ascii="仿宋" w:hAnsi="仿宋" w:eastAsia="仿宋" w:cs="仿宋"/>
          <w:color w:val="auto"/>
          <w:highlight w:val="none"/>
          <w:lang w:val="zh-CN"/>
        </w:rPr>
      </w:pPr>
    </w:p>
    <w:p w14:paraId="21E79EBF">
      <w:pPr>
        <w:adjustRightInd w:val="0"/>
        <w:snapToGrid w:val="0"/>
        <w:spacing w:line="360" w:lineRule="auto"/>
        <w:ind w:firstLine="480" w:firstLineChars="200"/>
        <w:rPr>
          <w:rFonts w:ascii="仿宋" w:hAnsi="仿宋" w:eastAsia="仿宋" w:cs="仿宋"/>
          <w:color w:val="auto"/>
          <w:sz w:val="24"/>
          <w:highlight w:val="none"/>
        </w:rPr>
      </w:pPr>
      <w:bookmarkStart w:id="0" w:name="_Toc19515384"/>
      <w:r>
        <w:rPr>
          <w:rFonts w:hint="eastAsia" w:ascii="仿宋" w:hAnsi="仿宋" w:eastAsia="仿宋" w:cs="仿宋"/>
          <w:color w:val="auto"/>
          <w:sz w:val="24"/>
          <w:highlight w:val="none"/>
        </w:rPr>
        <w:t>一、合同内容（标的、数量、规格等）:</w:t>
      </w:r>
      <w:bookmarkEnd w:id="0"/>
    </w:p>
    <w:p w14:paraId="779BFDBC">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供货清单：</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820"/>
        <w:gridCol w:w="758"/>
        <w:gridCol w:w="758"/>
        <w:gridCol w:w="956"/>
        <w:gridCol w:w="1016"/>
        <w:gridCol w:w="2003"/>
        <w:gridCol w:w="1443"/>
      </w:tblGrid>
      <w:tr w14:paraId="07E6D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49" w:type="pct"/>
            <w:vAlign w:val="center"/>
          </w:tcPr>
          <w:p w14:paraId="66071794">
            <w:pPr>
              <w:widowControl/>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序号</w:t>
            </w:r>
          </w:p>
        </w:tc>
        <w:tc>
          <w:tcPr>
            <w:tcW w:w="481" w:type="pct"/>
            <w:vAlign w:val="center"/>
          </w:tcPr>
          <w:p w14:paraId="2B159766">
            <w:pPr>
              <w:widowControl/>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名称</w:t>
            </w:r>
          </w:p>
        </w:tc>
        <w:tc>
          <w:tcPr>
            <w:tcW w:w="445" w:type="pct"/>
            <w:vAlign w:val="center"/>
          </w:tcPr>
          <w:p w14:paraId="7140FC57">
            <w:pPr>
              <w:widowControl/>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数量</w:t>
            </w:r>
          </w:p>
        </w:tc>
        <w:tc>
          <w:tcPr>
            <w:tcW w:w="445" w:type="pct"/>
            <w:vAlign w:val="center"/>
          </w:tcPr>
          <w:p w14:paraId="0921C672">
            <w:pPr>
              <w:widowControl/>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单位</w:t>
            </w:r>
          </w:p>
        </w:tc>
        <w:tc>
          <w:tcPr>
            <w:tcW w:w="561" w:type="pct"/>
            <w:vAlign w:val="center"/>
          </w:tcPr>
          <w:p w14:paraId="06DBC990">
            <w:pPr>
              <w:widowControl/>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单价</w:t>
            </w:r>
          </w:p>
        </w:tc>
        <w:tc>
          <w:tcPr>
            <w:tcW w:w="596" w:type="pct"/>
            <w:vAlign w:val="center"/>
          </w:tcPr>
          <w:p w14:paraId="6D2596B3">
            <w:pPr>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金额</w:t>
            </w:r>
          </w:p>
        </w:tc>
        <w:tc>
          <w:tcPr>
            <w:tcW w:w="1175" w:type="pct"/>
            <w:vAlign w:val="center"/>
          </w:tcPr>
          <w:p w14:paraId="5EF5E8B3">
            <w:pPr>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制造厂家</w:t>
            </w:r>
          </w:p>
        </w:tc>
        <w:tc>
          <w:tcPr>
            <w:tcW w:w="846" w:type="pct"/>
            <w:vAlign w:val="center"/>
          </w:tcPr>
          <w:p w14:paraId="1318A01B">
            <w:pPr>
              <w:widowControl/>
              <w:spacing w:line="360" w:lineRule="auto"/>
              <w:jc w:val="center"/>
              <w:rPr>
                <w:rFonts w:ascii="仿宋" w:hAnsi="仿宋" w:eastAsia="仿宋" w:cs="仿宋"/>
                <w:color w:val="auto"/>
                <w:kern w:val="0"/>
                <w:sz w:val="18"/>
                <w:szCs w:val="18"/>
                <w:highlight w:val="none"/>
              </w:rPr>
            </w:pPr>
            <w:r>
              <w:rPr>
                <w:rFonts w:hint="eastAsia" w:ascii="仿宋" w:hAnsi="仿宋" w:eastAsia="仿宋" w:cs="仿宋"/>
                <w:color w:val="auto"/>
                <w:kern w:val="0"/>
                <w:sz w:val="18"/>
                <w:szCs w:val="18"/>
                <w:highlight w:val="none"/>
              </w:rPr>
              <w:t>规格和说明</w:t>
            </w:r>
          </w:p>
        </w:tc>
      </w:tr>
      <w:tr w14:paraId="25765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49" w:type="pct"/>
            <w:vAlign w:val="bottom"/>
          </w:tcPr>
          <w:p w14:paraId="1214B5DF">
            <w:pPr>
              <w:widowControl/>
              <w:spacing w:line="360" w:lineRule="auto"/>
              <w:rPr>
                <w:rFonts w:ascii="仿宋" w:hAnsi="仿宋" w:eastAsia="仿宋" w:cs="仿宋"/>
                <w:color w:val="auto"/>
                <w:kern w:val="0"/>
                <w:sz w:val="18"/>
                <w:szCs w:val="18"/>
                <w:highlight w:val="none"/>
              </w:rPr>
            </w:pPr>
          </w:p>
        </w:tc>
        <w:tc>
          <w:tcPr>
            <w:tcW w:w="481" w:type="pct"/>
            <w:vAlign w:val="bottom"/>
          </w:tcPr>
          <w:p w14:paraId="1B4CA2BA">
            <w:pPr>
              <w:widowControl/>
              <w:spacing w:line="360" w:lineRule="auto"/>
              <w:jc w:val="center"/>
              <w:rPr>
                <w:rFonts w:ascii="仿宋" w:hAnsi="仿宋" w:eastAsia="仿宋" w:cs="仿宋"/>
                <w:color w:val="auto"/>
                <w:kern w:val="0"/>
                <w:sz w:val="18"/>
                <w:szCs w:val="18"/>
                <w:highlight w:val="none"/>
              </w:rPr>
            </w:pPr>
          </w:p>
        </w:tc>
        <w:tc>
          <w:tcPr>
            <w:tcW w:w="445" w:type="pct"/>
            <w:vAlign w:val="bottom"/>
          </w:tcPr>
          <w:p w14:paraId="75EFE182">
            <w:pPr>
              <w:widowControl/>
              <w:spacing w:line="360" w:lineRule="auto"/>
              <w:jc w:val="center"/>
              <w:rPr>
                <w:rFonts w:ascii="仿宋" w:hAnsi="仿宋" w:eastAsia="仿宋" w:cs="仿宋"/>
                <w:color w:val="auto"/>
                <w:kern w:val="0"/>
                <w:sz w:val="18"/>
                <w:szCs w:val="18"/>
                <w:highlight w:val="none"/>
              </w:rPr>
            </w:pPr>
          </w:p>
        </w:tc>
        <w:tc>
          <w:tcPr>
            <w:tcW w:w="445" w:type="pct"/>
            <w:vAlign w:val="bottom"/>
          </w:tcPr>
          <w:p w14:paraId="35B6FCDE">
            <w:pPr>
              <w:widowControl/>
              <w:spacing w:line="360" w:lineRule="auto"/>
              <w:jc w:val="center"/>
              <w:rPr>
                <w:rFonts w:ascii="仿宋" w:hAnsi="仿宋" w:eastAsia="仿宋" w:cs="仿宋"/>
                <w:color w:val="auto"/>
                <w:kern w:val="0"/>
                <w:sz w:val="18"/>
                <w:szCs w:val="18"/>
                <w:highlight w:val="none"/>
              </w:rPr>
            </w:pPr>
          </w:p>
        </w:tc>
        <w:tc>
          <w:tcPr>
            <w:tcW w:w="561" w:type="pct"/>
            <w:vAlign w:val="bottom"/>
          </w:tcPr>
          <w:p w14:paraId="4E89FB7A">
            <w:pPr>
              <w:widowControl/>
              <w:spacing w:line="360" w:lineRule="auto"/>
              <w:jc w:val="center"/>
              <w:rPr>
                <w:rFonts w:ascii="仿宋" w:hAnsi="仿宋" w:eastAsia="仿宋" w:cs="仿宋"/>
                <w:color w:val="auto"/>
                <w:kern w:val="0"/>
                <w:sz w:val="18"/>
                <w:szCs w:val="18"/>
                <w:highlight w:val="none"/>
              </w:rPr>
            </w:pPr>
          </w:p>
        </w:tc>
        <w:tc>
          <w:tcPr>
            <w:tcW w:w="596" w:type="pct"/>
            <w:vAlign w:val="bottom"/>
          </w:tcPr>
          <w:p w14:paraId="07B6321F">
            <w:pPr>
              <w:widowControl/>
              <w:spacing w:line="360" w:lineRule="auto"/>
              <w:jc w:val="center"/>
              <w:rPr>
                <w:rFonts w:ascii="仿宋" w:hAnsi="仿宋" w:eastAsia="仿宋" w:cs="仿宋"/>
                <w:color w:val="auto"/>
                <w:kern w:val="0"/>
                <w:sz w:val="18"/>
                <w:szCs w:val="18"/>
                <w:highlight w:val="none"/>
              </w:rPr>
            </w:pPr>
          </w:p>
        </w:tc>
        <w:tc>
          <w:tcPr>
            <w:tcW w:w="1175" w:type="pct"/>
            <w:vAlign w:val="bottom"/>
          </w:tcPr>
          <w:p w14:paraId="495F2D5C">
            <w:pPr>
              <w:widowControl/>
              <w:spacing w:line="360" w:lineRule="auto"/>
              <w:jc w:val="center"/>
              <w:rPr>
                <w:rFonts w:ascii="仿宋" w:hAnsi="仿宋" w:eastAsia="仿宋" w:cs="仿宋"/>
                <w:color w:val="auto"/>
                <w:kern w:val="0"/>
                <w:sz w:val="18"/>
                <w:szCs w:val="18"/>
                <w:highlight w:val="none"/>
              </w:rPr>
            </w:pPr>
          </w:p>
        </w:tc>
        <w:tc>
          <w:tcPr>
            <w:tcW w:w="846" w:type="pct"/>
            <w:vAlign w:val="bottom"/>
          </w:tcPr>
          <w:p w14:paraId="6BF3E981">
            <w:pPr>
              <w:widowControl/>
              <w:spacing w:line="360" w:lineRule="auto"/>
              <w:jc w:val="center"/>
              <w:rPr>
                <w:rFonts w:ascii="仿宋" w:hAnsi="仿宋" w:eastAsia="仿宋" w:cs="仿宋"/>
                <w:color w:val="auto"/>
                <w:kern w:val="0"/>
                <w:sz w:val="18"/>
                <w:szCs w:val="18"/>
                <w:highlight w:val="none"/>
              </w:rPr>
            </w:pPr>
          </w:p>
        </w:tc>
      </w:tr>
      <w:tr w14:paraId="2BB0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49" w:type="pct"/>
            <w:vAlign w:val="bottom"/>
          </w:tcPr>
          <w:p w14:paraId="03F73440">
            <w:pPr>
              <w:widowControl/>
              <w:spacing w:line="360" w:lineRule="auto"/>
              <w:rPr>
                <w:rFonts w:ascii="仿宋" w:hAnsi="仿宋" w:eastAsia="仿宋" w:cs="仿宋"/>
                <w:color w:val="auto"/>
                <w:kern w:val="0"/>
                <w:sz w:val="18"/>
                <w:szCs w:val="18"/>
                <w:highlight w:val="none"/>
              </w:rPr>
            </w:pPr>
          </w:p>
        </w:tc>
        <w:tc>
          <w:tcPr>
            <w:tcW w:w="481" w:type="pct"/>
            <w:vAlign w:val="bottom"/>
          </w:tcPr>
          <w:p w14:paraId="2F31B407">
            <w:pPr>
              <w:widowControl/>
              <w:spacing w:line="360" w:lineRule="auto"/>
              <w:jc w:val="center"/>
              <w:rPr>
                <w:rFonts w:ascii="仿宋" w:hAnsi="仿宋" w:eastAsia="仿宋" w:cs="仿宋"/>
                <w:color w:val="auto"/>
                <w:kern w:val="0"/>
                <w:sz w:val="18"/>
                <w:szCs w:val="18"/>
                <w:highlight w:val="none"/>
              </w:rPr>
            </w:pPr>
          </w:p>
        </w:tc>
        <w:tc>
          <w:tcPr>
            <w:tcW w:w="445" w:type="pct"/>
            <w:vAlign w:val="bottom"/>
          </w:tcPr>
          <w:p w14:paraId="37501AE0">
            <w:pPr>
              <w:widowControl/>
              <w:spacing w:line="360" w:lineRule="auto"/>
              <w:jc w:val="center"/>
              <w:rPr>
                <w:rFonts w:ascii="仿宋" w:hAnsi="仿宋" w:eastAsia="仿宋" w:cs="仿宋"/>
                <w:color w:val="auto"/>
                <w:kern w:val="0"/>
                <w:sz w:val="18"/>
                <w:szCs w:val="18"/>
                <w:highlight w:val="none"/>
              </w:rPr>
            </w:pPr>
          </w:p>
        </w:tc>
        <w:tc>
          <w:tcPr>
            <w:tcW w:w="445" w:type="pct"/>
            <w:vAlign w:val="bottom"/>
          </w:tcPr>
          <w:p w14:paraId="27EF4E8D">
            <w:pPr>
              <w:widowControl/>
              <w:spacing w:line="360" w:lineRule="auto"/>
              <w:jc w:val="center"/>
              <w:rPr>
                <w:rFonts w:ascii="仿宋" w:hAnsi="仿宋" w:eastAsia="仿宋" w:cs="仿宋"/>
                <w:color w:val="auto"/>
                <w:kern w:val="0"/>
                <w:sz w:val="18"/>
                <w:szCs w:val="18"/>
                <w:highlight w:val="none"/>
              </w:rPr>
            </w:pPr>
          </w:p>
        </w:tc>
        <w:tc>
          <w:tcPr>
            <w:tcW w:w="561" w:type="pct"/>
            <w:vAlign w:val="bottom"/>
          </w:tcPr>
          <w:p w14:paraId="089E81DE">
            <w:pPr>
              <w:widowControl/>
              <w:spacing w:line="360" w:lineRule="auto"/>
              <w:jc w:val="center"/>
              <w:rPr>
                <w:rFonts w:ascii="仿宋" w:hAnsi="仿宋" w:eastAsia="仿宋" w:cs="仿宋"/>
                <w:color w:val="auto"/>
                <w:kern w:val="0"/>
                <w:sz w:val="18"/>
                <w:szCs w:val="18"/>
                <w:highlight w:val="none"/>
              </w:rPr>
            </w:pPr>
          </w:p>
        </w:tc>
        <w:tc>
          <w:tcPr>
            <w:tcW w:w="596" w:type="pct"/>
            <w:vAlign w:val="bottom"/>
          </w:tcPr>
          <w:p w14:paraId="3A477B88">
            <w:pPr>
              <w:widowControl/>
              <w:spacing w:line="360" w:lineRule="auto"/>
              <w:jc w:val="center"/>
              <w:rPr>
                <w:rFonts w:ascii="仿宋" w:hAnsi="仿宋" w:eastAsia="仿宋" w:cs="仿宋"/>
                <w:color w:val="auto"/>
                <w:kern w:val="0"/>
                <w:sz w:val="18"/>
                <w:szCs w:val="18"/>
                <w:highlight w:val="none"/>
              </w:rPr>
            </w:pPr>
          </w:p>
        </w:tc>
        <w:tc>
          <w:tcPr>
            <w:tcW w:w="1175" w:type="pct"/>
            <w:vAlign w:val="bottom"/>
          </w:tcPr>
          <w:p w14:paraId="78E3868F">
            <w:pPr>
              <w:widowControl/>
              <w:spacing w:line="360" w:lineRule="auto"/>
              <w:jc w:val="center"/>
              <w:rPr>
                <w:rFonts w:ascii="仿宋" w:hAnsi="仿宋" w:eastAsia="仿宋" w:cs="仿宋"/>
                <w:color w:val="auto"/>
                <w:kern w:val="0"/>
                <w:sz w:val="18"/>
                <w:szCs w:val="18"/>
                <w:highlight w:val="none"/>
              </w:rPr>
            </w:pPr>
          </w:p>
        </w:tc>
        <w:tc>
          <w:tcPr>
            <w:tcW w:w="846" w:type="pct"/>
            <w:vAlign w:val="bottom"/>
          </w:tcPr>
          <w:p w14:paraId="53D0125C">
            <w:pPr>
              <w:widowControl/>
              <w:spacing w:line="360" w:lineRule="auto"/>
              <w:jc w:val="center"/>
              <w:rPr>
                <w:rFonts w:ascii="仿宋" w:hAnsi="仿宋" w:eastAsia="仿宋" w:cs="仿宋"/>
                <w:color w:val="auto"/>
                <w:kern w:val="0"/>
                <w:sz w:val="18"/>
                <w:szCs w:val="18"/>
                <w:highlight w:val="none"/>
              </w:rPr>
            </w:pPr>
          </w:p>
        </w:tc>
      </w:tr>
    </w:tbl>
    <w:p w14:paraId="046D582E">
      <w:pPr>
        <w:pStyle w:val="13"/>
        <w:ind w:firstLine="480"/>
        <w:rPr>
          <w:color w:val="auto"/>
          <w:highlight w:val="none"/>
        </w:rPr>
      </w:pPr>
    </w:p>
    <w:p w14:paraId="77BEF705">
      <w:pPr>
        <w:adjustRightInd w:val="0"/>
        <w:snapToGrid w:val="0"/>
        <w:spacing w:line="360" w:lineRule="auto"/>
        <w:ind w:firstLine="480" w:firstLineChars="200"/>
        <w:rPr>
          <w:rFonts w:ascii="仿宋" w:hAnsi="仿宋" w:eastAsia="仿宋" w:cs="仿宋"/>
          <w:color w:val="auto"/>
          <w:sz w:val="24"/>
          <w:highlight w:val="none"/>
        </w:rPr>
      </w:pPr>
      <w:bookmarkStart w:id="1" w:name="_Toc19515385"/>
      <w:r>
        <w:rPr>
          <w:rFonts w:hint="eastAsia" w:ascii="仿宋" w:hAnsi="仿宋" w:eastAsia="仿宋" w:cs="仿宋"/>
          <w:color w:val="auto"/>
          <w:sz w:val="24"/>
          <w:highlight w:val="none"/>
        </w:rPr>
        <w:t>二、合同价款</w:t>
      </w:r>
      <w:bookmarkEnd w:id="1"/>
    </w:p>
    <w:p w14:paraId="7D42D4D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1、合同总价：</w:t>
      </w:r>
    </w:p>
    <w:p w14:paraId="6CC2148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2、合同总价包括：</w:t>
      </w:r>
    </w:p>
    <w:p w14:paraId="5B304F5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3、合同为固定总价合同，不受市场价变化的影响。</w:t>
      </w:r>
    </w:p>
    <w:p w14:paraId="54DF111E">
      <w:pPr>
        <w:adjustRightInd w:val="0"/>
        <w:snapToGrid w:val="0"/>
        <w:spacing w:line="360" w:lineRule="auto"/>
        <w:ind w:firstLine="480" w:firstLineChars="200"/>
        <w:rPr>
          <w:rFonts w:ascii="仿宋" w:hAnsi="仿宋" w:eastAsia="仿宋" w:cs="仿宋"/>
          <w:color w:val="auto"/>
          <w:sz w:val="24"/>
          <w:highlight w:val="none"/>
        </w:rPr>
      </w:pPr>
      <w:bookmarkStart w:id="2" w:name="_Toc19515386"/>
      <w:r>
        <w:rPr>
          <w:rFonts w:hint="eastAsia" w:ascii="仿宋" w:hAnsi="仿宋" w:eastAsia="仿宋" w:cs="仿宋"/>
          <w:color w:val="auto"/>
          <w:sz w:val="24"/>
          <w:highlight w:val="none"/>
        </w:rPr>
        <w:t>三、合同结算</w:t>
      </w:r>
      <w:bookmarkEnd w:id="2"/>
    </w:p>
    <w:p w14:paraId="0A5DF38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1、付款方式：</w:t>
      </w:r>
    </w:p>
    <w:p w14:paraId="59AB15A1">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2、结算方式：银行转账。</w:t>
      </w:r>
    </w:p>
    <w:p w14:paraId="41F00C9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3、结算单位：由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负责结算，乙方开具合同总价数的全额发票交采购人。</w:t>
      </w:r>
    </w:p>
    <w:p w14:paraId="49BF4285">
      <w:pPr>
        <w:adjustRightInd w:val="0"/>
        <w:snapToGrid w:val="0"/>
        <w:spacing w:line="360" w:lineRule="auto"/>
        <w:ind w:firstLine="480" w:firstLineChars="200"/>
        <w:rPr>
          <w:rFonts w:ascii="仿宋" w:hAnsi="仿宋" w:eastAsia="仿宋" w:cs="仿宋"/>
          <w:color w:val="auto"/>
          <w:sz w:val="24"/>
          <w:highlight w:val="none"/>
        </w:rPr>
      </w:pPr>
      <w:bookmarkStart w:id="3" w:name="_Toc19515387"/>
      <w:r>
        <w:rPr>
          <w:rFonts w:hint="eastAsia" w:ascii="仿宋" w:hAnsi="仿宋" w:eastAsia="仿宋" w:cs="仿宋"/>
          <w:color w:val="auto"/>
          <w:sz w:val="24"/>
          <w:highlight w:val="none"/>
        </w:rPr>
        <w:t>四、交货期、地点及方式:</w:t>
      </w:r>
      <w:bookmarkEnd w:id="3"/>
    </w:p>
    <w:p w14:paraId="6C312BF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1、交货期：采购包1：自合同签订生效之日起60个日历日完成供货、安装及调试。</w:t>
      </w:r>
    </w:p>
    <w:p w14:paraId="01377C0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采购包2：自合同签订生效之日起30个日历日完成供货、安装及调试。</w:t>
      </w:r>
    </w:p>
    <w:p w14:paraId="2402F731">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采购包3：自合同签订生效之日起30个日历日完成供货、安装及调试。</w:t>
      </w:r>
    </w:p>
    <w:p w14:paraId="775C3D0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2、地点：采购人指定地点</w:t>
      </w:r>
    </w:p>
    <w:p w14:paraId="41D9D9A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3、方式：现场交货</w:t>
      </w:r>
    </w:p>
    <w:p w14:paraId="7AB347DC">
      <w:pPr>
        <w:adjustRightInd w:val="0"/>
        <w:snapToGrid w:val="0"/>
        <w:spacing w:line="360" w:lineRule="auto"/>
        <w:ind w:firstLine="480" w:firstLineChars="200"/>
        <w:rPr>
          <w:rFonts w:ascii="仿宋" w:hAnsi="仿宋" w:eastAsia="仿宋" w:cs="仿宋"/>
          <w:color w:val="auto"/>
          <w:sz w:val="24"/>
          <w:highlight w:val="none"/>
        </w:rPr>
      </w:pPr>
      <w:bookmarkStart w:id="4" w:name="_Toc19515390"/>
      <w:r>
        <w:rPr>
          <w:rFonts w:hint="eastAsia" w:ascii="仿宋" w:hAnsi="仿宋" w:eastAsia="仿宋" w:cs="仿宋"/>
          <w:color w:val="auto"/>
          <w:sz w:val="24"/>
          <w:highlight w:val="none"/>
        </w:rPr>
        <w:t>五、技术服务</w:t>
      </w:r>
      <w:bookmarkEnd w:id="4"/>
    </w:p>
    <w:p w14:paraId="712B375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1、对技术服务的要求：</w:t>
      </w:r>
    </w:p>
    <w:p w14:paraId="2CF27F6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2、技术资料：</w:t>
      </w:r>
    </w:p>
    <w:p w14:paraId="569AA90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3、技术培训：</w:t>
      </w:r>
    </w:p>
    <w:p w14:paraId="4383B74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3-1、培训内容：</w:t>
      </w:r>
    </w:p>
    <w:p w14:paraId="5B12100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3-2、培训地点：</w:t>
      </w:r>
    </w:p>
    <w:p w14:paraId="728DF6E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3-3、培训时间：</w:t>
      </w:r>
    </w:p>
    <w:p w14:paraId="79CF933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3-4、培训人数：</w:t>
      </w:r>
    </w:p>
    <w:p w14:paraId="515D4C9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3-5、培训费用：受训人员的食宿费、资料费、培训场地费、耗材（包括水电费等）费等已包含在合同总价中，甲方不再另行支付。</w:t>
      </w:r>
    </w:p>
    <w:p w14:paraId="792345B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4、售后服务</w:t>
      </w:r>
    </w:p>
    <w:p w14:paraId="394394E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4-1、本合同下的标的物质保期为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eastAsia="zh-CN"/>
        </w:rPr>
        <w:t>（按每包商务响应要求）</w:t>
      </w:r>
      <w:r>
        <w:rPr>
          <w:rFonts w:hint="eastAsia" w:ascii="仿宋" w:hAnsi="仿宋" w:eastAsia="仿宋" w:cs="仿宋"/>
          <w:color w:val="auto"/>
          <w:sz w:val="24"/>
          <w:highlight w:val="none"/>
        </w:rPr>
        <w:t>。</w:t>
      </w:r>
    </w:p>
    <w:p w14:paraId="5C0ABC3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4-2、质保期内乙方在接到甲方电话通知后在</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小时内派出合格的服务人员到达现场进行服务，并由乙方承担相应费用。</w:t>
      </w:r>
    </w:p>
    <w:p w14:paraId="1511F90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4-3、如果乙方在收到通知后两天内没有弥补缺陷，甲方可采取必要的补救措施，但其风险和费用将由乙方承担，甲方根据合同规定对乙方行使的其它权力不受影响。</w:t>
      </w:r>
    </w:p>
    <w:p w14:paraId="50888969">
      <w:pPr>
        <w:adjustRightInd w:val="0"/>
        <w:snapToGrid w:val="0"/>
        <w:spacing w:line="360" w:lineRule="auto"/>
        <w:ind w:firstLine="480" w:firstLineChars="200"/>
        <w:rPr>
          <w:rFonts w:ascii="仿宋" w:hAnsi="仿宋" w:eastAsia="仿宋" w:cs="仿宋"/>
          <w:color w:val="auto"/>
          <w:sz w:val="24"/>
          <w:highlight w:val="none"/>
        </w:rPr>
      </w:pPr>
      <w:bookmarkStart w:id="5" w:name="_Toc19515391"/>
      <w:r>
        <w:rPr>
          <w:rFonts w:hint="eastAsia" w:ascii="仿宋" w:hAnsi="仿宋" w:eastAsia="仿宋" w:cs="仿宋"/>
          <w:color w:val="auto"/>
          <w:sz w:val="24"/>
          <w:highlight w:val="none"/>
        </w:rPr>
        <w:t>六、验收</w:t>
      </w:r>
      <w:bookmarkEnd w:id="5"/>
    </w:p>
    <w:p w14:paraId="42FBEDE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1、验收：乙方完成服务内容后，向甲方提出验收申请，甲方接到乙方验收申请后组织验收（必要时可聘请相应专家或委托相应部门验收），验收合格后，出具使用验收合格证明</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提供环保检测证明。</w:t>
      </w:r>
    </w:p>
    <w:p w14:paraId="58A70E5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2、最终验收：最终验收结果作为付款依据，乙方填写验收单，并向甲方提交实施过程中的所有资料，以便甲方日后管理和维护。</w:t>
      </w:r>
    </w:p>
    <w:p w14:paraId="74B8991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3、质保期满后：由乙方出具质保期运行质量报告，若存在质量问题，应按相应规定协商处理。</w:t>
      </w:r>
    </w:p>
    <w:p w14:paraId="605030E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4、验收依据：</w:t>
      </w:r>
    </w:p>
    <w:p w14:paraId="3DA87842">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4-1、合同文本、合同附件、</w:t>
      </w:r>
      <w:r>
        <w:rPr>
          <w:rFonts w:hint="eastAsia" w:ascii="仿宋" w:hAnsi="仿宋" w:eastAsia="仿宋" w:cs="仿宋"/>
          <w:color w:val="auto"/>
          <w:sz w:val="24"/>
          <w:highlight w:val="none"/>
          <w:lang w:val="en-US" w:eastAsia="zh-CN"/>
        </w:rPr>
        <w:t>竞争性磋商</w:t>
      </w:r>
      <w:r>
        <w:rPr>
          <w:rFonts w:hint="eastAsia" w:ascii="仿宋" w:hAnsi="仿宋" w:eastAsia="仿宋" w:cs="仿宋"/>
          <w:color w:val="auto"/>
          <w:sz w:val="24"/>
          <w:highlight w:val="none"/>
        </w:rPr>
        <w:t>文件、</w:t>
      </w:r>
      <w:r>
        <w:rPr>
          <w:rFonts w:hint="eastAsia" w:ascii="仿宋" w:hAnsi="仿宋" w:eastAsia="仿宋" w:cs="仿宋"/>
          <w:color w:val="auto"/>
          <w:sz w:val="24"/>
          <w:highlight w:val="none"/>
          <w:lang w:val="en-US" w:eastAsia="zh-CN"/>
        </w:rPr>
        <w:t>竞争性磋商响应</w:t>
      </w:r>
      <w:r>
        <w:rPr>
          <w:rFonts w:hint="eastAsia" w:ascii="仿宋" w:hAnsi="仿宋" w:eastAsia="仿宋" w:cs="仿宋"/>
          <w:color w:val="auto"/>
          <w:sz w:val="24"/>
          <w:highlight w:val="none"/>
        </w:rPr>
        <w:t>文件。</w:t>
      </w:r>
    </w:p>
    <w:p w14:paraId="67487A6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4-2、国内相应的标准、规范。</w:t>
      </w:r>
    </w:p>
    <w:p w14:paraId="743E686D">
      <w:pPr>
        <w:adjustRightInd w:val="0"/>
        <w:snapToGrid w:val="0"/>
        <w:spacing w:line="360" w:lineRule="auto"/>
        <w:ind w:firstLine="480" w:firstLineChars="200"/>
        <w:rPr>
          <w:rFonts w:ascii="仿宋" w:hAnsi="仿宋" w:eastAsia="仿宋" w:cs="仿宋"/>
          <w:color w:val="auto"/>
          <w:sz w:val="24"/>
          <w:highlight w:val="none"/>
        </w:rPr>
      </w:pPr>
      <w:bookmarkStart w:id="6" w:name="_Toc19515392"/>
      <w:r>
        <w:rPr>
          <w:rFonts w:hint="eastAsia" w:ascii="仿宋" w:hAnsi="仿宋" w:eastAsia="仿宋" w:cs="仿宋"/>
          <w:color w:val="auto"/>
          <w:sz w:val="24"/>
          <w:highlight w:val="none"/>
        </w:rPr>
        <w:t>七、违约责任</w:t>
      </w:r>
      <w:bookmarkEnd w:id="6"/>
    </w:p>
    <w:p w14:paraId="5B27BBA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1、按《中华人民共和国民法典》中的相关条款执行。</w:t>
      </w:r>
    </w:p>
    <w:p w14:paraId="109759E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2、乙方履约延误</w:t>
      </w:r>
    </w:p>
    <w:p w14:paraId="0DC6C47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2-1、如乙方事先未征得甲方同意并得到甲方的谅解而单方面延迟执行合同，将按违约终止合同。</w:t>
      </w:r>
    </w:p>
    <w:p w14:paraId="5B114DB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7C3A52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3、违约终止合同：未按合同要求提供服务或不能满足技术要求，甲方会同监督机构有权终止合同，对乙方违约行为进行追究，同时按政府采购法的有关规定进行相应的处罚。</w:t>
      </w:r>
    </w:p>
    <w:p w14:paraId="1AA0C573">
      <w:pPr>
        <w:adjustRightInd w:val="0"/>
        <w:snapToGrid w:val="0"/>
        <w:spacing w:line="360" w:lineRule="auto"/>
        <w:ind w:firstLine="480" w:firstLineChars="200"/>
        <w:rPr>
          <w:rFonts w:ascii="仿宋" w:hAnsi="仿宋" w:eastAsia="仿宋" w:cs="仿宋"/>
          <w:color w:val="auto"/>
          <w:sz w:val="24"/>
          <w:highlight w:val="none"/>
        </w:rPr>
      </w:pPr>
      <w:bookmarkStart w:id="7" w:name="_Toc19515393"/>
      <w:r>
        <w:rPr>
          <w:rFonts w:hint="eastAsia" w:ascii="仿宋" w:hAnsi="仿宋" w:eastAsia="仿宋" w:cs="仿宋"/>
          <w:color w:val="auto"/>
          <w:sz w:val="24"/>
          <w:highlight w:val="none"/>
        </w:rPr>
        <w:t>八、合同组成</w:t>
      </w:r>
      <w:bookmarkEnd w:id="7"/>
    </w:p>
    <w:p w14:paraId="21E72E9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通知书</w:t>
      </w:r>
    </w:p>
    <w:p w14:paraId="24B3A2D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2、合同文件</w:t>
      </w:r>
    </w:p>
    <w:p w14:paraId="35CB599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3、国家相关规范及标准</w:t>
      </w:r>
    </w:p>
    <w:p w14:paraId="5C259E4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w:t>
      </w:r>
      <w:r>
        <w:rPr>
          <w:rFonts w:hint="eastAsia" w:ascii="仿宋" w:hAnsi="仿宋" w:eastAsia="仿宋" w:cs="仿宋"/>
          <w:color w:val="auto"/>
          <w:sz w:val="24"/>
          <w:highlight w:val="none"/>
          <w:lang w:val="en-US" w:eastAsia="zh-CN"/>
        </w:rPr>
        <w:t>竞争性磋商</w:t>
      </w:r>
      <w:r>
        <w:rPr>
          <w:rFonts w:hint="eastAsia" w:ascii="仿宋" w:hAnsi="仿宋" w:eastAsia="仿宋" w:cs="仿宋"/>
          <w:color w:val="auto"/>
          <w:sz w:val="24"/>
          <w:highlight w:val="none"/>
        </w:rPr>
        <w:t>文件</w:t>
      </w:r>
    </w:p>
    <w:p w14:paraId="519D9B7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w:t>
      </w:r>
      <w:r>
        <w:rPr>
          <w:rFonts w:hint="eastAsia" w:ascii="仿宋" w:hAnsi="仿宋" w:eastAsia="仿宋" w:cs="仿宋"/>
          <w:color w:val="auto"/>
          <w:sz w:val="24"/>
          <w:highlight w:val="none"/>
          <w:lang w:val="en-US" w:eastAsia="zh-CN"/>
        </w:rPr>
        <w:t>竞争性磋商响应</w:t>
      </w:r>
      <w:r>
        <w:rPr>
          <w:rFonts w:hint="eastAsia" w:ascii="仿宋" w:hAnsi="仿宋" w:eastAsia="仿宋" w:cs="仿宋"/>
          <w:color w:val="auto"/>
          <w:sz w:val="24"/>
          <w:highlight w:val="none"/>
        </w:rPr>
        <w:t>文件</w:t>
      </w:r>
    </w:p>
    <w:p w14:paraId="6E0FAD63">
      <w:pPr>
        <w:adjustRightInd w:val="0"/>
        <w:snapToGrid w:val="0"/>
        <w:spacing w:line="360" w:lineRule="auto"/>
        <w:ind w:firstLine="480" w:firstLineChars="200"/>
        <w:rPr>
          <w:rFonts w:ascii="仿宋" w:hAnsi="仿宋" w:eastAsia="仿宋" w:cs="仿宋"/>
          <w:color w:val="auto"/>
          <w:sz w:val="24"/>
          <w:highlight w:val="none"/>
        </w:rPr>
      </w:pPr>
      <w:bookmarkStart w:id="8" w:name="_Toc19515394"/>
      <w:r>
        <w:rPr>
          <w:rFonts w:hint="eastAsia" w:ascii="仿宋" w:hAnsi="仿宋" w:eastAsia="仿宋" w:cs="仿宋"/>
          <w:color w:val="auto"/>
          <w:sz w:val="24"/>
          <w:highlight w:val="none"/>
        </w:rPr>
        <w:t>九、解决争议的方法</w:t>
      </w:r>
      <w:bookmarkEnd w:id="8"/>
    </w:p>
    <w:p w14:paraId="6322F369">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凡因本合同引起的或与本合同有关的争议，双方应友好协商解决。协商不成时，双方均同意采用以下第（  ）种争议解决方式：</w:t>
      </w:r>
    </w:p>
    <w:p w14:paraId="712E205E">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1、甲、乙双方均同意向（甲方所在地人民法院）提起诉讼。</w:t>
      </w:r>
    </w:p>
    <w:p w14:paraId="3F725A85">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2、甲、乙双方均同意向（</w:t>
      </w:r>
      <w:r>
        <w:rPr>
          <w:color w:val="auto"/>
          <w:highlight w:val="none"/>
        </w:rPr>
        <w:fldChar w:fldCharType="begin"/>
      </w:r>
      <w:r>
        <w:rPr>
          <w:color w:val="auto"/>
          <w:highlight w:val="none"/>
        </w:rPr>
        <w:instrText xml:space="preserve"> HYPERLINK "http://www.baidu.com/s?wd=%E4%BB%B2%E8%A3%81%E5%A7%94%E5%91%98%E4%BC%9A&amp;tn=SE_PcZhidaonwhc_ngpagmjz&amp;rsv_dl=gh_pc_zhidao" \t "_blank" </w:instrText>
      </w:r>
      <w:r>
        <w:rPr>
          <w:color w:val="auto"/>
          <w:highlight w:val="none"/>
        </w:rPr>
        <w:fldChar w:fldCharType="separate"/>
      </w:r>
      <w:r>
        <w:rPr>
          <w:rFonts w:hint="eastAsia" w:ascii="仿宋" w:hAnsi="仿宋" w:eastAsia="仿宋" w:cs="仿宋"/>
          <w:color w:val="auto"/>
          <w:kern w:val="0"/>
          <w:sz w:val="24"/>
          <w:highlight w:val="none"/>
        </w:rPr>
        <w:t>仲裁委员会</w:t>
      </w:r>
      <w:r>
        <w:rPr>
          <w:rFonts w:hint="eastAsia" w:ascii="仿宋" w:hAnsi="仿宋" w:eastAsia="仿宋" w:cs="仿宋"/>
          <w:color w:val="auto"/>
          <w:kern w:val="0"/>
          <w:sz w:val="24"/>
          <w:highlight w:val="none"/>
        </w:rPr>
        <w:fldChar w:fldCharType="end"/>
      </w:r>
      <w:r>
        <w:rPr>
          <w:rFonts w:hint="eastAsia" w:ascii="仿宋" w:hAnsi="仿宋" w:eastAsia="仿宋" w:cs="仿宋"/>
          <w:color w:val="auto"/>
          <w:kern w:val="0"/>
          <w:sz w:val="24"/>
          <w:highlight w:val="none"/>
        </w:rPr>
        <w:t>）提起仲裁。</w:t>
      </w:r>
    </w:p>
    <w:p w14:paraId="3C68C990">
      <w:pPr>
        <w:adjustRightInd w:val="0"/>
        <w:snapToGrid w:val="0"/>
        <w:spacing w:line="360" w:lineRule="auto"/>
        <w:ind w:firstLine="480" w:firstLineChars="200"/>
        <w:rPr>
          <w:rFonts w:hint="eastAsia" w:ascii="仿宋" w:hAnsi="仿宋" w:eastAsia="仿宋" w:cs="仿宋"/>
          <w:color w:val="auto"/>
          <w:sz w:val="24"/>
          <w:highlight w:val="none"/>
        </w:rPr>
      </w:pPr>
      <w:bookmarkStart w:id="9" w:name="_Toc19515395"/>
      <w:r>
        <w:rPr>
          <w:rFonts w:hint="eastAsia" w:ascii="仿宋" w:hAnsi="仿宋" w:eastAsia="仿宋" w:cs="仿宋"/>
          <w:color w:val="auto"/>
          <w:sz w:val="24"/>
          <w:highlight w:val="none"/>
        </w:rPr>
        <w:t>十、合同生效及其它</w:t>
      </w:r>
      <w:bookmarkEnd w:id="9"/>
    </w:p>
    <w:p w14:paraId="5BCB7D95">
      <w:pPr>
        <w:widowControl/>
        <w:autoSpaceDE w:val="0"/>
        <w:autoSpaceDN w:val="0"/>
        <w:snapToGrid w:val="0"/>
        <w:spacing w:line="360" w:lineRule="auto"/>
        <w:ind w:right="-110" w:firstLine="480" w:firstLineChars="200"/>
        <w:textAlignment w:val="bottom"/>
        <w:rPr>
          <w:rFonts w:hint="default"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1、参照亚行采购政策进行采购招标工作，招标采购过程中及签署合同时应当遵守亚行安保条件和反腐败政策的相关规定。</w:t>
      </w:r>
    </w:p>
    <w:p w14:paraId="5C66E09F">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lang w:val="en-US" w:eastAsia="zh-CN"/>
        </w:rPr>
        <w:t>2</w:t>
      </w:r>
      <w:r>
        <w:rPr>
          <w:rFonts w:hint="eastAsia" w:ascii="仿宋" w:hAnsi="仿宋" w:eastAsia="仿宋" w:cs="仿宋"/>
          <w:color w:val="auto"/>
          <w:kern w:val="0"/>
          <w:sz w:val="24"/>
          <w:highlight w:val="none"/>
        </w:rPr>
        <w:t>、合同未尽事宜、由甲、乙双方协商，作为合同补充，与原合同具有同等法律效力。</w:t>
      </w:r>
    </w:p>
    <w:p w14:paraId="38CC3179">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lang w:val="en-US" w:eastAsia="zh-CN"/>
        </w:rPr>
        <w:t>3</w:t>
      </w:r>
      <w:r>
        <w:rPr>
          <w:rFonts w:hint="eastAsia" w:ascii="仿宋" w:hAnsi="仿宋" w:eastAsia="仿宋" w:cs="仿宋"/>
          <w:color w:val="auto"/>
          <w:kern w:val="0"/>
          <w:sz w:val="24"/>
          <w:highlight w:val="none"/>
        </w:rPr>
        <w:t>、 本合同正本一式</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份，甲方、乙方双方分别执</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备案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w:t>
      </w:r>
    </w:p>
    <w:p w14:paraId="78445BA6">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lang w:val="en-US" w:eastAsia="zh-CN"/>
        </w:rPr>
        <w:t>4</w:t>
      </w:r>
      <w:r>
        <w:rPr>
          <w:rFonts w:hint="eastAsia" w:ascii="仿宋" w:hAnsi="仿宋" w:eastAsia="仿宋" w:cs="仿宋"/>
          <w:color w:val="auto"/>
          <w:kern w:val="0"/>
          <w:sz w:val="24"/>
          <w:highlight w:val="none"/>
        </w:rPr>
        <w:t>、合同经甲乙双方盖章、签字后生效，合同签订地点为</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67DF4890">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lang w:val="en-US" w:eastAsia="zh-CN"/>
        </w:rPr>
        <w:t>5</w:t>
      </w:r>
      <w:r>
        <w:rPr>
          <w:rFonts w:hint="eastAsia" w:ascii="仿宋" w:hAnsi="仿宋" w:eastAsia="仿宋" w:cs="仿宋"/>
          <w:color w:val="auto"/>
          <w:kern w:val="0"/>
          <w:sz w:val="24"/>
          <w:highlight w:val="none"/>
        </w:rPr>
        <w:t>、生效时间：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41689AA8">
      <w:pPr>
        <w:widowControl/>
        <w:tabs>
          <w:tab w:val="left" w:pos="8391"/>
        </w:tabs>
        <w:autoSpaceDE w:val="0"/>
        <w:autoSpaceDN w:val="0"/>
        <w:snapToGrid w:val="0"/>
        <w:spacing w:line="360" w:lineRule="auto"/>
        <w:ind w:right="-69" w:firstLine="840" w:firstLineChars="350"/>
        <w:textAlignment w:val="bottom"/>
        <w:rPr>
          <w:rFonts w:ascii="仿宋" w:hAnsi="仿宋" w:eastAsia="仿宋" w:cs="仿宋"/>
          <w:color w:val="auto"/>
          <w:kern w:val="0"/>
          <w:sz w:val="24"/>
          <w:highlight w:val="none"/>
        </w:rPr>
      </w:pPr>
    </w:p>
    <w:tbl>
      <w:tblPr>
        <w:tblStyle w:val="10"/>
        <w:tblW w:w="0" w:type="auto"/>
        <w:jc w:val="center"/>
        <w:tblLayout w:type="fixed"/>
        <w:tblCellMar>
          <w:top w:w="0" w:type="dxa"/>
          <w:left w:w="108" w:type="dxa"/>
          <w:bottom w:w="0" w:type="dxa"/>
          <w:right w:w="108" w:type="dxa"/>
        </w:tblCellMar>
      </w:tblPr>
      <w:tblGrid>
        <w:gridCol w:w="4643"/>
        <w:gridCol w:w="4643"/>
      </w:tblGrid>
      <w:tr w14:paraId="5B7ECC52">
        <w:tblPrEx>
          <w:tblCellMar>
            <w:top w:w="0" w:type="dxa"/>
            <w:left w:w="108" w:type="dxa"/>
            <w:bottom w:w="0" w:type="dxa"/>
            <w:right w:w="108" w:type="dxa"/>
          </w:tblCellMar>
        </w:tblPrEx>
        <w:trPr>
          <w:jc w:val="center"/>
        </w:trPr>
        <w:tc>
          <w:tcPr>
            <w:tcW w:w="4643" w:type="dxa"/>
          </w:tcPr>
          <w:p w14:paraId="1A7A72FA">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甲方名称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1C403A19">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6A97EA6E">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137A5612">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12CF6D15">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3CC4999F">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c>
          <w:tcPr>
            <w:tcW w:w="4643" w:type="dxa"/>
          </w:tcPr>
          <w:p w14:paraId="024B3034">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乙方名称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5C372041">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242291DD">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33D74B43">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17973AEA">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48770C85">
            <w:pPr>
              <w:widowControl/>
              <w:autoSpaceDE w:val="0"/>
              <w:autoSpaceDN w:val="0"/>
              <w:snapToGrid w:val="0"/>
              <w:spacing w:line="360" w:lineRule="auto"/>
              <w:ind w:right="-154"/>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r>
    </w:tbl>
    <w:p w14:paraId="1C0CE83C">
      <w:pPr>
        <w:autoSpaceDE w:val="0"/>
        <w:autoSpaceDN w:val="0"/>
        <w:adjustRightInd w:val="0"/>
        <w:spacing w:line="360" w:lineRule="auto"/>
        <w:jc w:val="left"/>
        <w:rPr>
          <w:rFonts w:ascii="仿宋" w:hAnsi="仿宋" w:eastAsia="仿宋" w:cs="仿宋"/>
          <w:b/>
          <w:bCs/>
          <w:color w:val="auto"/>
          <w:sz w:val="32"/>
          <w:szCs w:val="32"/>
          <w:highlight w:val="none"/>
        </w:rPr>
      </w:pPr>
    </w:p>
    <w:p w14:paraId="1A0D9459">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合同附件：</w:t>
      </w:r>
    </w:p>
    <w:tbl>
      <w:tblPr>
        <w:tblStyle w:val="10"/>
        <w:tblW w:w="5000" w:type="pct"/>
        <w:tblInd w:w="0" w:type="dxa"/>
        <w:tblLayout w:type="autofit"/>
        <w:tblCellMar>
          <w:top w:w="0" w:type="dxa"/>
          <w:left w:w="108" w:type="dxa"/>
          <w:bottom w:w="0" w:type="dxa"/>
          <w:right w:w="108" w:type="dxa"/>
        </w:tblCellMar>
      </w:tblPr>
      <w:tblGrid>
        <w:gridCol w:w="1571"/>
        <w:gridCol w:w="2299"/>
        <w:gridCol w:w="2524"/>
        <w:gridCol w:w="2128"/>
      </w:tblGrid>
      <w:tr w14:paraId="18A88B24">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3E53BB4E">
            <w:pPr>
              <w:widowControl/>
              <w:jc w:val="center"/>
              <w:rPr>
                <w:rFonts w:ascii="仿宋" w:hAnsi="仿宋" w:eastAsia="仿宋" w:cs="仿宋"/>
                <w:b/>
                <w:bCs/>
                <w:color w:val="auto"/>
                <w:kern w:val="0"/>
                <w:sz w:val="32"/>
                <w:szCs w:val="32"/>
                <w:highlight w:val="none"/>
              </w:rPr>
            </w:pPr>
            <w:r>
              <w:rPr>
                <w:rFonts w:hint="eastAsia" w:ascii="仿宋" w:hAnsi="仿宋" w:eastAsia="仿宋" w:cs="仿宋"/>
                <w:color w:val="auto"/>
                <w:kern w:val="0"/>
                <w:sz w:val="28"/>
                <w:szCs w:val="28"/>
                <w:highlight w:val="none"/>
              </w:rPr>
              <w:t>政府采购项目货物（服务）验收入库报告单</w:t>
            </w:r>
          </w:p>
        </w:tc>
      </w:tr>
      <w:tr w14:paraId="61432387">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23BE9182">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1856161F">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1070CCA0">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A6F1D6A">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711D7EC4">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450CE35F">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3F8F9818">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801E582">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7321068B">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18552FEF">
            <w:pPr>
              <w:widowControl/>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w:t>
            </w:r>
          </w:p>
        </w:tc>
      </w:tr>
      <w:tr w14:paraId="5A8F967C">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2EFCCA2C">
            <w:pPr>
              <w:widowControl/>
              <w:jc w:val="left"/>
              <w:rPr>
                <w:rFonts w:ascii="仿宋" w:hAnsi="仿宋" w:eastAsia="仿宋" w:cs="仿宋"/>
                <w:color w:val="auto"/>
                <w:kern w:val="0"/>
                <w:sz w:val="24"/>
                <w:highlight w:val="none"/>
              </w:rPr>
            </w:pPr>
          </w:p>
        </w:tc>
        <w:tc>
          <w:tcPr>
            <w:tcW w:w="1349" w:type="pct"/>
            <w:vMerge w:val="continue"/>
            <w:tcBorders>
              <w:top w:val="nil"/>
              <w:left w:val="single" w:color="auto" w:sz="4" w:space="0"/>
              <w:bottom w:val="single" w:color="auto" w:sz="4" w:space="0"/>
              <w:right w:val="single" w:color="auto" w:sz="4" w:space="0"/>
            </w:tcBorders>
            <w:vAlign w:val="center"/>
          </w:tcPr>
          <w:p w14:paraId="1E99281C">
            <w:pPr>
              <w:widowControl/>
              <w:jc w:val="left"/>
              <w:rPr>
                <w:rFonts w:ascii="仿宋" w:hAnsi="仿宋" w:eastAsia="仿宋" w:cs="仿宋"/>
                <w:color w:val="auto"/>
                <w:kern w:val="0"/>
                <w:sz w:val="24"/>
                <w:highlight w:val="none"/>
              </w:rPr>
            </w:pPr>
          </w:p>
        </w:tc>
        <w:tc>
          <w:tcPr>
            <w:tcW w:w="1481" w:type="pct"/>
            <w:tcBorders>
              <w:top w:val="nil"/>
              <w:left w:val="nil"/>
              <w:bottom w:val="single" w:color="auto" w:sz="4" w:space="0"/>
              <w:right w:val="single" w:color="auto" w:sz="4" w:space="0"/>
            </w:tcBorders>
            <w:noWrap/>
            <w:vAlign w:val="center"/>
          </w:tcPr>
          <w:p w14:paraId="4B2141AD">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6EDB4181">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7ACD2586">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0FDF9A7E">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8822EF7">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234D801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5E5FD3BD">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0AC4F84E">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14:paraId="5A45F86E">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26D1BDB3">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42880AC9">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3CAC40D">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联系人</w:t>
            </w:r>
          </w:p>
        </w:tc>
        <w:tc>
          <w:tcPr>
            <w:tcW w:w="1349" w:type="pct"/>
            <w:tcBorders>
              <w:top w:val="nil"/>
              <w:left w:val="nil"/>
              <w:bottom w:val="nil"/>
              <w:right w:val="single" w:color="auto" w:sz="4" w:space="0"/>
            </w:tcBorders>
            <w:noWrap/>
            <w:vAlign w:val="center"/>
          </w:tcPr>
          <w:p w14:paraId="20ACBD2A">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c>
          <w:tcPr>
            <w:tcW w:w="1481" w:type="pct"/>
            <w:tcBorders>
              <w:top w:val="nil"/>
              <w:left w:val="nil"/>
              <w:bottom w:val="nil"/>
              <w:right w:val="single" w:color="auto" w:sz="4" w:space="0"/>
            </w:tcBorders>
            <w:noWrap/>
            <w:vAlign w:val="center"/>
          </w:tcPr>
          <w:p w14:paraId="60746E7A">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tc>
        <w:tc>
          <w:tcPr>
            <w:tcW w:w="1248" w:type="pct"/>
            <w:tcBorders>
              <w:top w:val="nil"/>
              <w:left w:val="nil"/>
              <w:bottom w:val="nil"/>
              <w:right w:val="single" w:color="auto" w:sz="8" w:space="0"/>
            </w:tcBorders>
            <w:noWrap/>
            <w:vAlign w:val="center"/>
          </w:tcPr>
          <w:p w14:paraId="22730D6D">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4A6D4185">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22B12CA3">
            <w:pPr>
              <w:widowControl/>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2B31CD6">
            <w:pPr>
              <w:widowControl/>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使用单位验收意见：（盖章）</w:t>
            </w:r>
          </w:p>
          <w:p w14:paraId="46F220B3">
            <w:pPr>
              <w:rPr>
                <w:rFonts w:ascii="仿宋" w:hAnsi="仿宋" w:eastAsia="仿宋" w:cs="仿宋"/>
                <w:color w:val="auto"/>
                <w:sz w:val="24"/>
                <w:highlight w:val="none"/>
              </w:rPr>
            </w:pPr>
          </w:p>
        </w:tc>
      </w:tr>
      <w:tr w14:paraId="0098097D">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397E45F7">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签字：</w:t>
            </w:r>
          </w:p>
        </w:tc>
        <w:tc>
          <w:tcPr>
            <w:tcW w:w="1349" w:type="pct"/>
            <w:tcBorders>
              <w:top w:val="nil"/>
              <w:left w:val="nil"/>
              <w:bottom w:val="nil"/>
              <w:right w:val="nil"/>
            </w:tcBorders>
            <w:noWrap/>
            <w:vAlign w:val="center"/>
          </w:tcPr>
          <w:p w14:paraId="782B2736">
            <w:pPr>
              <w:widowControl/>
              <w:jc w:val="center"/>
              <w:rPr>
                <w:rFonts w:ascii="仿宋" w:hAnsi="仿宋" w:eastAsia="仿宋" w:cs="仿宋"/>
                <w:color w:val="auto"/>
                <w:kern w:val="0"/>
                <w:sz w:val="24"/>
                <w:highlight w:val="none"/>
              </w:rPr>
            </w:pPr>
          </w:p>
        </w:tc>
        <w:tc>
          <w:tcPr>
            <w:tcW w:w="1481" w:type="pct"/>
            <w:tcBorders>
              <w:top w:val="nil"/>
              <w:left w:val="single" w:color="auto" w:sz="4" w:space="0"/>
              <w:bottom w:val="nil"/>
              <w:right w:val="nil"/>
            </w:tcBorders>
            <w:noWrap/>
            <w:vAlign w:val="center"/>
          </w:tcPr>
          <w:p w14:paraId="47F447D0">
            <w:pPr>
              <w:widowControl/>
              <w:jc w:val="center"/>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签字：</w:t>
            </w:r>
          </w:p>
        </w:tc>
        <w:tc>
          <w:tcPr>
            <w:tcW w:w="1248" w:type="pct"/>
            <w:tcBorders>
              <w:top w:val="nil"/>
              <w:left w:val="nil"/>
              <w:bottom w:val="nil"/>
              <w:right w:val="single" w:color="auto" w:sz="8" w:space="0"/>
            </w:tcBorders>
          </w:tcPr>
          <w:p w14:paraId="76C5C11E">
            <w:pPr>
              <w:widowControl/>
              <w:jc w:val="left"/>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　</w:t>
            </w:r>
          </w:p>
        </w:tc>
      </w:tr>
      <w:tr w14:paraId="165003D4">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16A9FF89">
            <w:pPr>
              <w:widowControl/>
              <w:jc w:val="left"/>
              <w:rPr>
                <w:rFonts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w:t>
            </w:r>
          </w:p>
        </w:tc>
        <w:tc>
          <w:tcPr>
            <w:tcW w:w="1349" w:type="pct"/>
            <w:tcBorders>
              <w:top w:val="nil"/>
              <w:left w:val="nil"/>
              <w:bottom w:val="single" w:color="auto" w:sz="4" w:space="0"/>
              <w:right w:val="nil"/>
            </w:tcBorders>
            <w:vAlign w:val="bottom"/>
          </w:tcPr>
          <w:p w14:paraId="44135BBF">
            <w:pPr>
              <w:widowControl/>
              <w:jc w:val="right"/>
              <w:rPr>
                <w:rFonts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4C3A48FE">
            <w:pPr>
              <w:widowControl/>
              <w:jc w:val="left"/>
              <w:rPr>
                <w:rFonts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w:t>
            </w:r>
          </w:p>
        </w:tc>
        <w:tc>
          <w:tcPr>
            <w:tcW w:w="1248" w:type="pct"/>
            <w:tcBorders>
              <w:top w:val="nil"/>
              <w:left w:val="nil"/>
              <w:bottom w:val="single" w:color="auto" w:sz="4" w:space="0"/>
              <w:right w:val="single" w:color="auto" w:sz="8" w:space="0"/>
            </w:tcBorders>
            <w:vAlign w:val="bottom"/>
          </w:tcPr>
          <w:p w14:paraId="3CAD6184">
            <w:pPr>
              <w:widowControl/>
              <w:jc w:val="right"/>
              <w:rPr>
                <w:rFonts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年   月   日</w:t>
            </w:r>
          </w:p>
        </w:tc>
      </w:tr>
      <w:tr w14:paraId="724FEB7D">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2CACD822">
            <w:pPr>
              <w:widowControl/>
              <w:jc w:val="center"/>
              <w:rPr>
                <w:rFonts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采购内容</w:t>
            </w:r>
          </w:p>
        </w:tc>
      </w:tr>
      <w:tr w14:paraId="5447E71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6EC0F79F">
            <w:pPr>
              <w:widowControl/>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采购内容请列明品目、规格、型号、数量、单价、总价</w:t>
            </w:r>
          </w:p>
        </w:tc>
      </w:tr>
    </w:tbl>
    <w:p w14:paraId="6E5B4620">
      <w:pPr>
        <w:pStyle w:val="2"/>
        <w:rPr>
          <w:rFonts w:hint="eastAsia"/>
          <w:lang w:val="en-US" w:eastAsia="zh-Hans"/>
        </w:rPr>
      </w:pPr>
    </w:p>
    <w:p w14:paraId="0B2C6C92"/>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0300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wps:spPr>
                    <wps:txbx>
                      <w:txbxContent>
                        <w:p w14:paraId="241171F6">
                          <w:pPr>
                            <w:pStyle w:val="7"/>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05pt;width:10.55pt;mso-position-horizontal:center;mso-position-horizontal-relative:margin;mso-wrap-style:none;z-index:251659264;mso-width-relative:page;mso-height-relative:page;" filled="f" stroked="f" coordsize="21600,21600" o:gfxdata="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10z0AAAAAMBAAAPAAAAAAAAAAEAIAAAACIAAABkcnMvZG93bnJldi54bWxQSwEC&#10;FAAUAAAACACHTuJAxuUaWvwBAAAEBAAADgAAAAAAAAABACAAAAAfAQAAZHJzL2Uyb0RvYy54bWxQ&#10;SwUGAAAAAAYABgBZAQAAjQUAAAAA&#10;">
              <v:fill on="f" focussize="0,0"/>
              <v:stroke on="f"/>
              <v:imagedata o:title=""/>
              <o:lock v:ext="edit" aspectratio="f"/>
              <v:textbox inset="0mm,0mm,0mm,0mm" style="mso-fit-shape-to-text:t;">
                <w:txbxContent>
                  <w:p w14:paraId="241171F6">
                    <w:pPr>
                      <w:pStyle w:val="7"/>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NjIxOGUzODU2NTk3OTQ0ZTgxYzcyMjE0NDcwMmIifQ=="/>
  </w:docVars>
  <w:rsids>
    <w:rsidRoot w:val="00000000"/>
    <w:rsid w:val="4E6E1044"/>
    <w:rsid w:val="73A0674E"/>
    <w:rsid w:val="7D6E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Indent"/>
    <w:basedOn w:val="1"/>
    <w:next w:val="6"/>
    <w:qFormat/>
    <w:uiPriority w:val="0"/>
    <w:pPr>
      <w:ind w:firstLine="0" w:firstLineChars="0"/>
      <w:jc w:val="center"/>
    </w:pPr>
    <w:rPr>
      <w:sz w:val="28"/>
    </w:rPr>
  </w:style>
  <w:style w:type="paragraph" w:styleId="6">
    <w:name w:val="envelope return"/>
    <w:basedOn w:val="1"/>
    <w:qFormat/>
    <w:uiPriority w:val="99"/>
    <w:pPr>
      <w:snapToGrid w:val="0"/>
    </w:pPr>
    <w:rPr>
      <w:rFonts w:ascii="Arial" w:hAnsi="Arial" w:cs="Arial"/>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8">
    <w:name w:val="Body Text First Indent"/>
    <w:basedOn w:val="2"/>
    <w:next w:val="9"/>
    <w:qFormat/>
    <w:uiPriority w:val="0"/>
    <w:pPr>
      <w:spacing w:line="360" w:lineRule="auto"/>
      <w:ind w:firstLine="420"/>
    </w:pPr>
    <w:rPr>
      <w:rFonts w:ascii="宋体" w:hAnsi="宋体"/>
      <w:sz w:val="24"/>
    </w:rPr>
  </w:style>
  <w:style w:type="paragraph" w:styleId="9">
    <w:name w:val="Body Text First Indent 2"/>
    <w:basedOn w:val="5"/>
    <w:next w:val="8"/>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
    <w:basedOn w:val="1"/>
    <w:autoRedefine/>
    <w:qFormat/>
    <w:uiPriority w:val="0"/>
    <w:pPr>
      <w:adjustRightInd w:val="0"/>
      <w:spacing w:line="300" w:lineRule="auto"/>
      <w:ind w:firstLine="420" w:firstLineChars="200"/>
      <w:textAlignment w:val="baseline"/>
    </w:pPr>
    <w:rPr>
      <w:kern w:val="0"/>
      <w:sz w:val="24"/>
    </w:rPr>
  </w:style>
  <w:style w:type="paragraph" w:customStyle="1" w:styleId="14">
    <w:name w:val="样式 首行缩进:  2 字符"/>
    <w:basedOn w:val="1"/>
    <w:autoRedefine/>
    <w:qFormat/>
    <w:uiPriority w:val="0"/>
    <w:pPr>
      <w:spacing w:line="400" w:lineRule="exact"/>
      <w:ind w:firstLine="200" w:firstLineChars="200"/>
    </w:pPr>
    <w:rPr>
      <w:rFonts w:cs="宋体"/>
      <w:sz w:val="24"/>
    </w:rPr>
  </w:style>
  <w:style w:type="paragraph" w:customStyle="1" w:styleId="15">
    <w:name w:val="Table Paragraph"/>
    <w:basedOn w:val="1"/>
    <w:autoRedefine/>
    <w:qFormat/>
    <w:uiPriority w:val="1"/>
    <w:rPr>
      <w:rFonts w:hAnsi="宋体" w:cs="宋体"/>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1380</Words>
  <Characters>1386</Characters>
  <Lines>0</Lines>
  <Paragraphs>0</Paragraphs>
  <TotalTime>1</TotalTime>
  <ScaleCrop>false</ScaleCrop>
  <LinksUpToDate>false</LinksUpToDate>
  <CharactersWithSpaces>1457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2024-08-08T08:00:00Z</dcterms:created>
  <dc:creator>Administrator</dc:creator>
  <cp:lastModifiedBy>ZT</cp:lastModifiedBy>
  <dcterms:modified xsi:type="dcterms:W3CDTF">2024-08-09T01:35:38Z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6ABDFC32D9F84A65B27257C4745F0978_12</vt:lpwstr>
  </property>
</Properties>
</file>