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西安市城市基础设施生命线工程（燃气、供热、市政桥梁隧道）风险评估项目</w:t>
      </w:r>
    </w:p>
    <w:p>
      <w:pPr>
        <w:pStyle w:val="null3"/>
        <w:jc w:val="center"/>
        <w:outlineLvl w:val="2"/>
      </w:pPr>
      <w:r>
        <w:rPr>
          <w:sz w:val="28"/>
          <w:b/>
        </w:rPr>
        <w:t>采购项目编号：</w:t>
      </w:r>
      <w:r>
        <w:rPr>
          <w:sz w:val="28"/>
          <w:b/>
        </w:rPr>
        <w:t>SXTD-2024-006</w:t>
      </w:r>
      <w:r>
        <w:br/>
      </w:r>
      <w:r>
        <w:br/>
      </w:r>
      <w:r>
        <w:br/>
      </w:r>
    </w:p>
    <w:p>
      <w:pPr>
        <w:pStyle w:val="null3"/>
        <w:jc w:val="center"/>
        <w:outlineLvl w:val="2"/>
      </w:pPr>
      <w:r>
        <w:rPr>
          <w:sz w:val="28"/>
          <w:b/>
        </w:rPr>
        <w:t>西安市城市管理和综合执法局</w:t>
      </w:r>
    </w:p>
    <w:p>
      <w:pPr>
        <w:pStyle w:val="null3"/>
        <w:jc w:val="center"/>
        <w:outlineLvl w:val="2"/>
      </w:pPr>
      <w:r>
        <w:rPr>
          <w:sz w:val="28"/>
          <w:b/>
        </w:rPr>
        <w:t>陕西通达鸿运邦招标有限公司</w:t>
      </w:r>
      <w:r>
        <w:rPr>
          <w:sz w:val="28"/>
          <w:b/>
        </w:rPr>
        <w:t>共同编制</w:t>
      </w:r>
    </w:p>
    <w:p>
      <w:pPr>
        <w:pStyle w:val="null3"/>
        <w:jc w:val="center"/>
        <w:outlineLvl w:val="2"/>
      </w:pPr>
      <w:r>
        <w:rPr>
          <w:sz w:val="28"/>
          <w:b/>
        </w:rPr>
        <w:t>2024年09月03日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陕西通达鸿运邦招标有限公司</w:t>
      </w:r>
      <w:r>
        <w:rPr/>
        <w:t>（以下简称“代理机构”）受</w:t>
      </w:r>
      <w:r>
        <w:rPr/>
        <w:t>西安市城市管理和综合执法局</w:t>
      </w:r>
      <w:r>
        <w:rPr/>
        <w:t>委托，拟对</w:t>
      </w:r>
      <w:r>
        <w:rPr/>
        <w:t>西安市城市基础设施生命线工程（燃气、供热、市政桥梁隧道）风险评估项目</w:t>
      </w:r>
      <w:r>
        <w:rPr/>
        <w:t>采用竞争性磋商采购方式进行采购，兹邀请供应商参加本项目的竞争性磋商。</w:t>
      </w:r>
    </w:p>
    <w:p>
      <w:pPr>
        <w:pStyle w:val="null3"/>
        <w:outlineLvl w:val="2"/>
      </w:pPr>
      <w:r>
        <w:rPr>
          <w:sz w:val="28"/>
          <w:b/>
        </w:rPr>
        <w:t>一、项目编号：</w:t>
      </w:r>
      <w:r>
        <w:rPr>
          <w:sz w:val="28"/>
          <w:b/>
        </w:rPr>
        <w:t>SXTD-2024-006</w:t>
      </w:r>
    </w:p>
    <w:p>
      <w:pPr>
        <w:pStyle w:val="null3"/>
        <w:outlineLvl w:val="2"/>
      </w:pPr>
      <w:r>
        <w:rPr>
          <w:sz w:val="28"/>
          <w:b/>
        </w:rPr>
        <w:t>二、项目名称：</w:t>
      </w:r>
      <w:r>
        <w:rPr>
          <w:sz w:val="28"/>
          <w:b/>
        </w:rPr>
        <w:t>西安市城市基础设施生命线工程（燃气、供热、市政桥梁隧道）风险评估项目</w:t>
      </w:r>
    </w:p>
    <w:p>
      <w:pPr>
        <w:pStyle w:val="null3"/>
        <w:outlineLvl w:val="2"/>
      </w:pPr>
      <w:r>
        <w:rPr>
          <w:sz w:val="28"/>
          <w:b/>
        </w:rPr>
        <w:t>三、磋商项目简介</w:t>
      </w:r>
    </w:p>
    <w:p>
      <w:pPr>
        <w:pStyle w:val="null3"/>
        <w:ind w:firstLine="480"/>
      </w:pPr>
      <w:r>
        <w:rPr/>
        <w:t>根据《陕西省住房和城乡建设厅关于加快推进城市基础设施生命线安全工程建设的通知》（陕建市发〔2023〕1006号）、《陕西省住房和城乡建设厅关于印发《陕西省城市基础设施生命线安全风险评估指导手册》的通知》（陕建市发〔2023〕1007号）的有关规定，开展西安市城市生命线基础设施风险评估工作，主要包括计划与准备、数据采集与核 查、实地调查、安全风险辨识、安全风险分析、安全风险评价等工作，覆盖全市公共燃气管网5127.78公里、市政桥梁（含隧道）493座、集中供热管道2152公里。</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采购包1（西安市城市基础设施生命线工程（燃气、供热、市政桥梁隧道）风险评估项目）：属于专门面向中小企业采购。</w:t>
      </w:r>
    </w:p>
    <w:p>
      <w:pPr>
        <w:pStyle w:val="null3"/>
        <w:ind w:firstLine="480"/>
      </w:pPr>
      <w:r>
        <w:rPr/>
        <w:t>（三）本项目的特定资格要求：</w:t>
      </w:r>
    </w:p>
    <w:p>
      <w:pPr>
        <w:pStyle w:val="null3"/>
      </w:pPr>
      <w:r>
        <w:rPr/>
        <w:t>采购包1：</w:t>
      </w:r>
    </w:p>
    <w:p>
      <w:pPr>
        <w:pStyle w:val="null3"/>
      </w:pPr>
      <w:r>
        <w:rPr/>
        <w:t>1、法定代表人授权书（附法定代表人、被授权人身份证复印件）及被授权人身份证（法定代表人直接参加磋商，须提供法定代表人身份证明及身份证）。：法定代表人直接参加磋商的，须提供法定代表人身份证明及身份证；法定代表人授权他人参加的，须提供法定代表人授权书（附法定代表人、被授权人身份证复印件）。供应商需在项目电子化交易系统中按要求上传相应证明文件并进行电子签章。</w:t>
      </w:r>
    </w:p>
    <w:p>
      <w:pPr>
        <w:pStyle w:val="null3"/>
      </w:pPr>
      <w:r>
        <w:rPr/>
        <w:t>2、参加本项目的潜在供应商须无不良信用记录：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西安市城市管理和综合执法局</w:t>
      </w:r>
    </w:p>
    <w:p>
      <w:pPr>
        <w:pStyle w:val="null3"/>
      </w:pPr>
      <w:r>
        <w:rPr/>
        <w:t xml:space="preserve"> 地址： </w:t>
      </w:r>
      <w:r>
        <w:rPr/>
        <w:t>陕西省西安市凤城八路109号</w:t>
      </w:r>
    </w:p>
    <w:p>
      <w:pPr>
        <w:pStyle w:val="null3"/>
      </w:pPr>
      <w:r>
        <w:rPr/>
        <w:t xml:space="preserve"> 邮编： </w:t>
      </w:r>
      <w:r>
        <w:rPr/>
        <w:t>710007</w:t>
      </w:r>
    </w:p>
    <w:p>
      <w:pPr>
        <w:pStyle w:val="null3"/>
      </w:pPr>
      <w:r>
        <w:rPr/>
        <w:t xml:space="preserve"> 联系人： </w:t>
      </w:r>
      <w:r>
        <w:rPr/>
        <w:t>马嵩</w:t>
      </w:r>
    </w:p>
    <w:p>
      <w:pPr>
        <w:pStyle w:val="null3"/>
      </w:pPr>
      <w:r>
        <w:rPr/>
        <w:t xml:space="preserve"> 联系电话： </w:t>
      </w:r>
      <w:r>
        <w:rPr/>
        <w:t>13891929133</w:t>
      </w:r>
    </w:p>
    <w:p>
      <w:pPr>
        <w:pStyle w:val="null3"/>
        <w:outlineLvl w:val="3"/>
      </w:pPr>
      <w:r>
        <w:rPr>
          <w:sz w:val="24"/>
          <w:b/>
        </w:rPr>
        <w:t>代理机构：</w:t>
      </w:r>
      <w:r>
        <w:rPr>
          <w:sz w:val="24"/>
          <w:b/>
        </w:rPr>
        <w:t>陕西通达鸿运邦招标有限公司</w:t>
      </w:r>
    </w:p>
    <w:p>
      <w:pPr>
        <w:pStyle w:val="null3"/>
      </w:pPr>
      <w:r>
        <w:rPr/>
        <w:t xml:space="preserve"> 地址： </w:t>
      </w:r>
      <w:r>
        <w:rPr/>
        <w:t>陕西省西安市未央区未央路136号东方濠璟商务大厦16层1602室</w:t>
      </w:r>
    </w:p>
    <w:p>
      <w:pPr>
        <w:pStyle w:val="null3"/>
      </w:pPr>
      <w:r>
        <w:rPr/>
        <w:t xml:space="preserve"> 邮编： </w:t>
      </w:r>
      <w:r>
        <w:rPr/>
        <w:t>710018</w:t>
      </w:r>
    </w:p>
    <w:p>
      <w:pPr>
        <w:pStyle w:val="null3"/>
      </w:pPr>
      <w:r>
        <w:rPr/>
        <w:t xml:space="preserve"> 联系人： </w:t>
      </w:r>
      <w:r>
        <w:rPr/>
        <w:t>郑盼盼</w:t>
      </w:r>
    </w:p>
    <w:p>
      <w:pPr>
        <w:pStyle w:val="null3"/>
      </w:pPr>
      <w:r>
        <w:rPr/>
        <w:t xml:space="preserve"> 联系电话： </w:t>
      </w:r>
      <w:r>
        <w:rPr/>
        <w:t>15829642005</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采购包1：1,959,700.00元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服务费参照《国家发展改革委关于进一步放开建设项目专业服务价格的通知》（发改价格〔2015〕299号）文件规定收取，定额收取17800.00元。由成交供应商在领取成交通知书前向采购代理机构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西安市城市管理和综合执法局</w:t>
      </w:r>
      <w:r>
        <w:rPr/>
        <w:t>和</w:t>
      </w:r>
      <w:r>
        <w:rPr/>
        <w:t>陕西通达鸿运邦招标有限公司</w:t>
      </w:r>
      <w:r>
        <w:rPr/>
        <w:t>享有。对磋商文件中供应商参加本次政府采购活动应当具备的条件，磋商项目技术、服务、商务及其他要求，评审细则及标准由</w:t>
      </w:r>
      <w:r>
        <w:rPr/>
        <w:t>西安市城市管理和综合执法局</w:t>
      </w:r>
      <w:r>
        <w:rPr/>
        <w:t>负责解释。除上述磋商文件内容，其他内容由</w:t>
      </w:r>
      <w:r>
        <w:rPr/>
        <w:t>陕西通达鸿运邦招标有限公司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西安市城市管理和综合执法局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陕西通达鸿运邦招标有限公司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1.验收方式:供应商在采购人确认收到所有工作成果后，向采购人提出验收申请，采购人接到供应商验收申请后组织验收。 2.最终验收:最终验收结果作为付款依据，供应商填写验收单，并向采购人提交实施过程中的相关资料，以便采购方日后管理。 3.验收依据:合同文本、磋商文件等。详见合同约定</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陕西通达鸿运邦招标有限公司</w:t>
      </w:r>
      <w:r>
        <w:rPr/>
        <w:t xml:space="preserve"> 负责答复；供应商对除采购需求外的采购文件的询问、质疑由</w:t>
      </w:r>
      <w:r>
        <w:rPr/>
        <w:t>陕西通达鸿运邦招标有限公司</w:t>
      </w:r>
      <w:r>
        <w:rPr/>
        <w:t xml:space="preserve"> 负责答复；供应商对采购过程、采购结果的询问、质疑由 </w:t>
      </w:r>
      <w:r>
        <w:rPr/>
        <w:t>陕西通达鸿运邦招标有限公司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联系人：郑盼盼</w:t>
      </w:r>
    </w:p>
    <w:p>
      <w:pPr>
        <w:pStyle w:val="null3"/>
      </w:pPr>
      <w:r>
        <w:rPr/>
        <w:t>联系电话：15829642005</w:t>
      </w:r>
    </w:p>
    <w:p>
      <w:pPr>
        <w:pStyle w:val="null3"/>
      </w:pPr>
      <w:r>
        <w:rPr/>
        <w:t>地址：陕西省西安市未央区未央路136号东方濠璟商务大厦16层1602室</w:t>
      </w:r>
    </w:p>
    <w:p>
      <w:pPr>
        <w:pStyle w:val="null3"/>
      </w:pPr>
      <w:r>
        <w:rPr/>
        <w:t>邮编：710018</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根据《陕西省住房和城乡建设厅关于加快推进城市基础设施生命线安全工程建设的通知》（陕建市发〔2023〕1006号）、《陕西省住房和城乡建设厅关于印发《陕西省城市基础设施生命线安全风险评估指导手册》的通知》（陕建市发〔2023〕1007号）的有关规定，开展西安市城市生命线基础设施风险评估工作，主要包括计划与准备、数据采集与核查、实地调查、安全风险辨识、安全风险分析、安全风险评价等工作，覆盖全市公共燃气管网5127.78公里、市政桥梁（含隧道）493座、集中供热管道2152公里。</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1,959,700.00</w:t>
      </w:r>
    </w:p>
    <w:p>
      <w:pPr>
        <w:pStyle w:val="null3"/>
      </w:pPr>
      <w:r>
        <w:rPr/>
        <w:t>采购包最高限价（元）: 1,959,700.00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西安市城市基础设施生命线工程（燃气、供热、市政桥梁隧道）风险评估项目</w:t>
            </w:r>
          </w:p>
        </w:tc>
        <w:tc>
          <w:tcPr>
            <w:tcW w:type="dxa" w:w="831"/>
          </w:tcPr>
          <w:p>
            <w:pPr>
              <w:pStyle w:val="null3"/>
              <w:jc w:val="right"/>
            </w:pPr>
            <w:r>
              <w:rPr/>
              <w:t>1.00</w:t>
            </w:r>
          </w:p>
        </w:tc>
        <w:tc>
          <w:tcPr>
            <w:tcW w:type="dxa" w:w="831"/>
          </w:tcPr>
          <w:p>
            <w:pPr>
              <w:pStyle w:val="null3"/>
              <w:jc w:val="right"/>
            </w:pPr>
            <w:r>
              <w:rPr/>
              <w:t>1,959,700.00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标的名称：西安市城市基础设施生命线工程（燃气、供热、市政桥梁隧道）风险评估项目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本项目需提供全过程技术服务，风险评估的核心成果</w:t>
            </w:r>
            <w:r>
              <w:rPr>
                <w:rFonts w:ascii="times new roman, times, serif" w:hAnsi="times new roman, times, serif" w:cs="times new roman, times, serif" w:eastAsia="times new roman, times, serif"/>
                <w:sz w:val="21"/>
              </w:rPr>
              <w:t>(</w:t>
            </w:r>
            <w:r>
              <w:rPr>
                <w:rFonts w:ascii="宋体" w:hAnsi="宋体" w:cs="宋体" w:eastAsia="宋体"/>
                <w:sz w:val="21"/>
              </w:rPr>
              <w:t>即风险四色图、风险评估报告、风险清单</w:t>
            </w:r>
            <w:r>
              <w:rPr>
                <w:rFonts w:ascii="times new roman, times, serif" w:hAnsi="times new roman, times, serif" w:cs="times new roman, times, serif" w:eastAsia="times new roman, times, serif"/>
                <w:sz w:val="21"/>
              </w:rPr>
              <w:t>)</w:t>
            </w:r>
            <w:r>
              <w:rPr>
                <w:rFonts w:ascii="宋体" w:hAnsi="宋体" w:cs="宋体" w:eastAsia="宋体"/>
                <w:sz w:val="21"/>
              </w:rPr>
              <w:t>需实现在西安市城市安全风险监测预警平台城管专项系统风险评估中接入展示，并具备动态更新能力</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sz w:val="21"/>
              </w:rPr>
              <w:t>风险评估工作</w:t>
            </w:r>
            <w:r>
              <w:rPr>
                <w:rFonts w:ascii="宋体" w:hAnsi="宋体" w:cs="宋体" w:eastAsia="宋体"/>
                <w:sz w:val="21"/>
              </w:rPr>
              <w:t>的</w:t>
            </w:r>
            <w:r>
              <w:rPr>
                <w:rFonts w:ascii="宋体" w:hAnsi="宋体" w:cs="宋体" w:eastAsia="宋体"/>
                <w:sz w:val="21"/>
              </w:rPr>
              <w:t>核心成果</w:t>
            </w:r>
            <w:r>
              <w:rPr>
                <w:rFonts w:ascii="times new roman, times, serif" w:hAnsi="times new roman, times, serif" w:cs="times new roman, times, serif" w:eastAsia="times new roman, times, serif"/>
                <w:sz w:val="21"/>
              </w:rPr>
              <w:t>(</w:t>
            </w:r>
            <w:r>
              <w:rPr>
                <w:rFonts w:ascii="宋体" w:hAnsi="宋体" w:cs="宋体" w:eastAsia="宋体"/>
                <w:sz w:val="21"/>
              </w:rPr>
              <w:t>即风险四色图、风险评估报告、风险清单</w:t>
            </w:r>
            <w:r>
              <w:rPr>
                <w:rFonts w:ascii="times new roman, times, serif" w:hAnsi="times new roman, times, serif" w:cs="times new roman, times, serif" w:eastAsia="times new roman, times, serif"/>
                <w:sz w:val="21"/>
              </w:rPr>
              <w:t>)</w:t>
            </w:r>
            <w:r>
              <w:rPr>
                <w:rFonts w:ascii="宋体" w:hAnsi="宋体" w:cs="宋体" w:eastAsia="宋体"/>
                <w:sz w:val="21"/>
              </w:rPr>
              <w:t>应在</w:t>
            </w:r>
            <w:r>
              <w:rPr>
                <w:rFonts w:ascii="宋体" w:hAnsi="宋体" w:cs="宋体" w:eastAsia="宋体"/>
                <w:sz w:val="21"/>
              </w:rPr>
              <w:t>合同签订后</w:t>
            </w:r>
            <w:r>
              <w:rPr>
                <w:rFonts w:ascii="times new roman, times, serif" w:hAnsi="times new roman, times, serif" w:cs="times new roman, times, serif" w:eastAsia="times new roman, times, serif"/>
                <w:sz w:val="21"/>
              </w:rPr>
              <w:t>60</w:t>
            </w:r>
            <w:r>
              <w:rPr>
                <w:rFonts w:ascii="宋体" w:hAnsi="宋体" w:cs="宋体" w:eastAsia="宋体"/>
                <w:sz w:val="21"/>
              </w:rPr>
              <w:t>个工作日内提交</w:t>
            </w:r>
          </w:p>
        </w:tc>
      </w:tr>
    </w:tbl>
    <w:p>
      <w:pPr>
        <w:pStyle w:val="null3"/>
        <w:outlineLvl w:val="2"/>
      </w:pPr>
      <w:r>
        <w:rPr>
          <w:sz w:val="28"/>
          <w:b/>
        </w:rPr>
        <w:t>3.2.3人员配置要求</w:t>
      </w:r>
    </w:p>
    <w:p>
      <w:pPr>
        <w:pStyle w:val="null3"/>
      </w:pPr>
      <w:r>
        <w:rPr/>
        <w:t>采购包1：</w:t>
      </w:r>
    </w:p>
    <w:p>
      <w:pPr>
        <w:pStyle w:val="null3"/>
      </w:pPr>
      <w:r>
        <w:rPr/>
        <w:t>达到服务要求所必须的人员</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1.开展项目计划与准备工作，确定评估目标和范围、成立风险评估工作小组、制定风险评估计划和方案、前期准备（包括人员培训、资料准备、经费准备等），了解安全风险管理现状和管网普查、地理信息系统、监测专项系统建设等信息化程度。 2.开展安全风险辨识工作。开展数据采集与核查工作，基于采集的数据应做好数据质量核查工作；开展实地调查等工作，核实危险源、脆弱性目标及现有应急保障、安全管控措施、事故案例等具体情况，绘制《西安市城区危险源分布图》、《西安市城区重要防护目标分布图》;结合西安市各生命线基础设施管理现状，将评估对象划分为若干风险辨识单元，最终成果物为各行业风险辨识清单，编制《西安市城市生命线设施风险辨识清单》。 3.开展安全风险评价工作。根据收集整理的资料，结合调研数据以及风险评估指标体系，第三方专业评估单位对调研数据进行风险辨识、分析以及评价。主要包括筛选需要分析的风险、点位风险分析、类别风险分析和区域风险分析等内容。 4.开展安全风险分析工作。主要包括点位风险评价、类别风险评价、区域风险评估，编制完成风险评估报告及风险清单，绘制城市生命线各专项风险分布四色图，形成风险评估结果。</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自合同签订之日起至编制成果通过专家评审，风险评估报告和风险清单通过正式审核。</w:t>
      </w:r>
    </w:p>
    <w:p>
      <w:pPr>
        <w:pStyle w:val="null3"/>
        <w:outlineLvl w:val="3"/>
      </w:pPr>
      <w:r>
        <w:rPr>
          <w:sz w:val="24"/>
          <w:b/>
        </w:rPr>
        <w:t>3.3.2服务地点</w:t>
      </w:r>
    </w:p>
    <w:p>
      <w:pPr>
        <w:pStyle w:val="null3"/>
      </w:pPr>
      <w:r>
        <w:rPr/>
        <w:t>采购包1：</w:t>
      </w:r>
    </w:p>
    <w:p>
      <w:pPr>
        <w:pStyle w:val="null3"/>
      </w:pPr>
      <w:r>
        <w:rPr/>
        <w:t>西安市</w:t>
      </w:r>
    </w:p>
    <w:p>
      <w:pPr>
        <w:pStyle w:val="null3"/>
        <w:outlineLvl w:val="3"/>
      </w:pPr>
      <w:r>
        <w:rPr>
          <w:sz w:val="24"/>
          <w:b/>
        </w:rPr>
        <w:t>3.3.3考核（验收）标准和方法</w:t>
      </w:r>
    </w:p>
    <w:p>
      <w:pPr>
        <w:pStyle w:val="null3"/>
      </w:pPr>
      <w:r>
        <w:rPr/>
        <w:t>采购包1：</w:t>
      </w:r>
    </w:p>
    <w:p>
      <w:pPr>
        <w:pStyle w:val="null3"/>
      </w:pPr>
      <w:r>
        <w:rPr/>
        <w:t>（一）燃气管网（中压及以上市政天然气管线5127.78公里）。重点排查燃气管网相邻地下空间、占压、施工破坏、老化、周边防护目标、危险源以及交叉穿越其他管网、桥梁、公路、铁路、地质隐患点等风险，同时参考已有的市政设施调查报告等成果资料，完成风险普查及风险评估，形成燃气管网风险评估报告和风险清单。 完成时间：2024年6月底 （二）热力管网（热力主管道2152公里，其中老旧管线等重点管段约236.26公里）。重点排查热力管线老化腐蚀、施工破坏、淤堵、穿越其他市政基础设施、地质隐患点等风险隐患，同时参考已有的设施调查报告等成果资料，完成风险普查及风险评估，形成城市热力管网风险评估报告和风险清单。 完成时间：2024年6月底 （三）市政桥隧（300座重点桥梁和隧道493座）。重点排查市政桥梁和隧道的超载、支墩支座老化、结构变形、不均匀沉降、跨越及邻近大型地下工程（如商场、矿坑、人防工程等）等病害风险，同时参考已有的设施调查报告和桥隧道定期结构检测报告等成果资料，完成风险普查及风险评估，形成城市桥梁和隧道风险评估报告和风险清单。 完成时间：2024年6月底 （四）排水管网（全部为主管道7784公里）。重点排查排水管线老化腐蚀、施工破坏、淤堵、沼气堆积、穿越其他市政基础设施、地质隐患点等风险隐患，同时参考已有的设施调查报告等成果资料，完成风险普查及风险评估，形成城市排水管网风险评估报告和风险清单。 完成时间：2024年6月底 （五）供水管网（全部为主管道4552公里）。重点排查供水管线老化腐蚀、施工破坏、占压、爆管、暗漏、穿越其他市政基础设施、地质隐患点等风险隐患，同时参考已有的设施调查报告等成果资料，完成风险普查及风险评估，形成城市供水管网风险评估报告和风险清单。 完成时间：2024年12月底 （六）综合管廊（主城区120公里，西咸新区120公里）。重点排查廊体结构、廊内环境和入廊作业等风险隐患，同时参考已有的设施调查报告等成果资料，完成风险普查及风险评估，形成综合管廊风险评估报告和风险清单。 完成时间：2025年3月底</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合同签订之日起</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项目评估审核通过后</w:t>
      </w:r>
      <w:r>
        <w:rPr/>
        <w:t xml:space="preserve"> ，达到付款条件起 </w:t>
      </w:r>
      <w:r>
        <w:rPr/>
        <w:t>30</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如供应商未按照约定的时间节点完成约定的服务，按照总价款3%违约责任，赔偿因违约造成的采购方损失。具体详见合同约定</w:t>
      </w:r>
    </w:p>
    <w:p>
      <w:pPr>
        <w:pStyle w:val="null3"/>
        <w:outlineLvl w:val="2"/>
      </w:pPr>
      <w:r>
        <w:rPr>
          <w:sz w:val="28"/>
          <w:b/>
        </w:rPr>
        <w:t>3.4其他要求</w:t>
      </w:r>
    </w:p>
    <w:p>
      <w:pPr>
        <w:pStyle w:val="null3"/>
      </w:pPr>
      <w:r>
        <w:rPr/>
        <w:t>满足采购项目要求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供应商需在项目电子化交易系统中按要求填写《投标函》完成承诺并进行电子签章。并在响应文件中附相关证明材料</w:t>
            </w:r>
          </w:p>
        </w:tc>
        <w:tc>
          <w:tcPr>
            <w:tcW w:type="dxa" w:w="1661"/>
          </w:tcPr>
          <w:p>
            <w:pPr>
              <w:pStyle w:val="null3"/>
            </w:pPr>
            <w:r>
              <w:rPr/>
              <w:t>供应商应提交的相关资格证明材料 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提供经审计的2023年财务报告，包括 “四表一注”（即资产负债表、利润表、现金流量表、所有者权益变动表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t>供应商应提交的相关资格证明材料 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法定代表人授权书（附法定代表人、被授权人身份证复印件）及被授权人身份证（法定代表人直接参加磋商，须提供法定代表人身份证明及身份证）。</w:t>
            </w:r>
          </w:p>
        </w:tc>
        <w:tc>
          <w:tcPr>
            <w:tcW w:type="dxa" w:w="3322"/>
          </w:tcPr>
          <w:p>
            <w:pPr>
              <w:pStyle w:val="null3"/>
            </w:pPr>
            <w:r>
              <w:rPr/>
              <w:t>法定代表人直接参加磋商的，须提供法定代表人身份证明及身份证；法定代表人授权他人参加的，须提供法定代表人授权书（附法定代表人、被授权人身份证复印件）。供应商需在项目电子化交易系统中按要求上传相应证明文件并进行电子签章。</w:t>
            </w:r>
          </w:p>
        </w:tc>
        <w:tc>
          <w:tcPr>
            <w:tcW w:type="dxa" w:w="1661"/>
          </w:tcPr>
          <w:p>
            <w:pPr>
              <w:pStyle w:val="null3"/>
            </w:pPr>
            <w:r>
              <w:rPr/>
              <w:t>供应商应提交的相关资格证明材料 供应商资格证明文件</w:t>
            </w:r>
          </w:p>
        </w:tc>
      </w:tr>
      <w:tr>
        <w:tc>
          <w:tcPr>
            <w:tcW w:type="dxa" w:w="831"/>
          </w:tcPr>
          <w:p>
            <w:pPr>
              <w:pStyle w:val="null3"/>
            </w:pPr>
            <w:r>
              <w:rPr/>
              <w:t>2</w:t>
            </w:r>
          </w:p>
        </w:tc>
        <w:tc>
          <w:tcPr>
            <w:tcW w:type="dxa" w:w="2492"/>
          </w:tcPr>
          <w:p>
            <w:pPr>
              <w:pStyle w:val="null3"/>
            </w:pPr>
            <w:r>
              <w:rPr/>
              <w:t>参加本项目的潜在供应商须无不良信用记录</w:t>
            </w:r>
          </w:p>
        </w:tc>
        <w:tc>
          <w:tcPr>
            <w:tcW w:type="dxa" w:w="3322"/>
          </w:tcPr>
          <w:p>
            <w:pPr>
              <w:pStyle w:val="null3"/>
            </w:pPr>
            <w:r>
              <w:rPr/>
              <w:t>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tc>
        <w:tc>
          <w:tcPr>
            <w:tcW w:type="dxa" w:w="1661"/>
          </w:tcPr>
          <w:p>
            <w:pPr>
              <w:pStyle w:val="null3"/>
            </w:pPr>
            <w:r>
              <w:rPr/>
              <w:t>供应商应提交的相关资格证明材料 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供应商名称与公章、营业执照一致</w:t>
            </w:r>
          </w:p>
        </w:tc>
        <w:tc>
          <w:tcPr>
            <w:tcW w:type="dxa" w:w="1661"/>
          </w:tcPr>
          <w:p>
            <w:pPr>
              <w:pStyle w:val="null3"/>
            </w:pPr>
            <w:r>
              <w:rPr/>
              <w:t>响应文件封面 供应商应提交的相关资格证明材料 供应商资格证明文件</w:t>
            </w:r>
          </w:p>
        </w:tc>
      </w:tr>
      <w:tr>
        <w:tc>
          <w:tcPr>
            <w:tcW w:type="dxa" w:w="831"/>
          </w:tcPr>
          <w:p>
            <w:pPr>
              <w:pStyle w:val="null3"/>
            </w:pPr>
            <w:r>
              <w:rPr/>
              <w:t>3</w:t>
            </w:r>
          </w:p>
        </w:tc>
        <w:tc>
          <w:tcPr>
            <w:tcW w:type="dxa" w:w="2492"/>
          </w:tcPr>
          <w:p>
            <w:pPr>
              <w:pStyle w:val="null3"/>
            </w:pPr>
            <w:r>
              <w:rPr/>
              <w:t>响应文件有效性</w:t>
            </w:r>
          </w:p>
        </w:tc>
        <w:tc>
          <w:tcPr>
            <w:tcW w:type="dxa" w:w="3322"/>
          </w:tcPr>
          <w:p>
            <w:pPr>
              <w:pStyle w:val="null3"/>
            </w:pPr>
            <w:r>
              <w:rPr/>
              <w:t>响应文件的签署、加盖印章是否合格、有效</w:t>
            </w:r>
          </w:p>
        </w:tc>
        <w:tc>
          <w:tcPr>
            <w:tcW w:type="dxa" w:w="1661"/>
          </w:tcPr>
          <w:p>
            <w:pPr>
              <w:pStyle w:val="null3"/>
            </w:pPr>
            <w:r>
              <w:rPr/>
              <w:t>服务内容及服务邀请应答表 分项报价表 中小企业声明函 商务应答表 供应商应提交的相关资格证明材料 报价表 响应文件封面 残疾人福利性单位声明函 服务方案 标的清单 供应商承诺书 响应函 监狱企业的证明文件 供应商资格证明文件</w:t>
            </w:r>
          </w:p>
        </w:tc>
      </w:tr>
      <w:tr>
        <w:tc>
          <w:tcPr>
            <w:tcW w:type="dxa" w:w="831"/>
          </w:tcPr>
          <w:p>
            <w:pPr>
              <w:pStyle w:val="null3"/>
            </w:pPr>
            <w:r>
              <w:rPr/>
              <w:t>4</w:t>
            </w:r>
          </w:p>
        </w:tc>
        <w:tc>
          <w:tcPr>
            <w:tcW w:type="dxa" w:w="2492"/>
          </w:tcPr>
          <w:p>
            <w:pPr>
              <w:pStyle w:val="null3"/>
            </w:pPr>
            <w:r>
              <w:rPr/>
              <w:t>磋商响应文件的完整性</w:t>
            </w:r>
          </w:p>
        </w:tc>
        <w:tc>
          <w:tcPr>
            <w:tcW w:type="dxa" w:w="3322"/>
          </w:tcPr>
          <w:p>
            <w:pPr>
              <w:pStyle w:val="null3"/>
            </w:pPr>
            <w:r>
              <w:rPr/>
              <w:t>磋商响应文件内容完整、格式符合要求、内容清晰可辨</w:t>
            </w:r>
          </w:p>
        </w:tc>
        <w:tc>
          <w:tcPr>
            <w:tcW w:type="dxa" w:w="1661"/>
          </w:tcPr>
          <w:p>
            <w:pPr>
              <w:pStyle w:val="null3"/>
            </w:pPr>
            <w:r>
              <w:rPr/>
              <w:t>服务内容及服务邀请应答表 分项报价表 中小企业声明函 商务应答表 供应商应提交的相关资格证明材料 报价表 响应文件封面 残疾人福利性单位声明函 服务方案 标的清单 供应商承诺书 响应函 监狱企业的证明文件 供应商资格证明文件</w:t>
            </w:r>
          </w:p>
        </w:tc>
      </w:tr>
      <w:tr>
        <w:tc>
          <w:tcPr>
            <w:tcW w:type="dxa" w:w="831"/>
          </w:tcPr>
          <w:p>
            <w:pPr>
              <w:pStyle w:val="null3"/>
            </w:pPr>
            <w:r>
              <w:rPr/>
              <w:t>5</w:t>
            </w:r>
          </w:p>
        </w:tc>
        <w:tc>
          <w:tcPr>
            <w:tcW w:type="dxa" w:w="2492"/>
          </w:tcPr>
          <w:p>
            <w:pPr>
              <w:pStyle w:val="null3"/>
            </w:pPr>
            <w:r>
              <w:rPr/>
              <w:t>服务期限</w:t>
            </w:r>
          </w:p>
        </w:tc>
        <w:tc>
          <w:tcPr>
            <w:tcW w:type="dxa" w:w="3322"/>
          </w:tcPr>
          <w:p>
            <w:pPr>
              <w:pStyle w:val="null3"/>
            </w:pPr>
            <w:r>
              <w:rPr/>
              <w:t>服务期限是否按磋商文件要求响应</w:t>
            </w:r>
          </w:p>
        </w:tc>
        <w:tc>
          <w:tcPr>
            <w:tcW w:type="dxa" w:w="1661"/>
          </w:tcPr>
          <w:p>
            <w:pPr>
              <w:pStyle w:val="null3"/>
            </w:pPr>
            <w:r>
              <w:rPr/>
              <w:t>商务应答表 标的清单 报价表</w:t>
            </w:r>
          </w:p>
        </w:tc>
      </w:tr>
      <w:tr>
        <w:tc>
          <w:tcPr>
            <w:tcW w:type="dxa" w:w="831"/>
          </w:tcPr>
          <w:p>
            <w:pPr>
              <w:pStyle w:val="null3"/>
            </w:pPr>
            <w:r>
              <w:rPr/>
              <w:t>6</w:t>
            </w:r>
          </w:p>
        </w:tc>
        <w:tc>
          <w:tcPr>
            <w:tcW w:type="dxa" w:w="2492"/>
          </w:tcPr>
          <w:p>
            <w:pPr>
              <w:pStyle w:val="null3"/>
            </w:pPr>
            <w:r>
              <w:rPr/>
              <w:t>服务地点</w:t>
            </w:r>
          </w:p>
        </w:tc>
        <w:tc>
          <w:tcPr>
            <w:tcW w:type="dxa" w:w="3322"/>
          </w:tcPr>
          <w:p>
            <w:pPr>
              <w:pStyle w:val="null3"/>
            </w:pPr>
            <w:r>
              <w:rPr/>
              <w:t>服务地点是否按磋商文件要求响应</w:t>
            </w:r>
          </w:p>
        </w:tc>
        <w:tc>
          <w:tcPr>
            <w:tcW w:type="dxa" w:w="1661"/>
          </w:tcPr>
          <w:p>
            <w:pPr>
              <w:pStyle w:val="null3"/>
            </w:pPr>
            <w:r>
              <w:rPr/>
              <w:t>商务应答表 报价表</w:t>
            </w:r>
          </w:p>
        </w:tc>
      </w:tr>
      <w:tr>
        <w:tc>
          <w:tcPr>
            <w:tcW w:type="dxa" w:w="831"/>
          </w:tcPr>
          <w:p>
            <w:pPr>
              <w:pStyle w:val="null3"/>
            </w:pPr>
            <w:r>
              <w:rPr/>
              <w:t>7</w:t>
            </w:r>
          </w:p>
        </w:tc>
        <w:tc>
          <w:tcPr>
            <w:tcW w:type="dxa" w:w="2492"/>
          </w:tcPr>
          <w:p>
            <w:pPr>
              <w:pStyle w:val="null3"/>
            </w:pPr>
            <w:r>
              <w:rPr/>
              <w:t>付款方式</w:t>
            </w:r>
          </w:p>
        </w:tc>
        <w:tc>
          <w:tcPr>
            <w:tcW w:type="dxa" w:w="3322"/>
          </w:tcPr>
          <w:p>
            <w:pPr>
              <w:pStyle w:val="null3"/>
            </w:pPr>
            <w:r>
              <w:rPr/>
              <w:t>付款方式是否响应磋商文件的要求</w:t>
            </w:r>
          </w:p>
        </w:tc>
        <w:tc>
          <w:tcPr>
            <w:tcW w:type="dxa" w:w="1661"/>
          </w:tcPr>
          <w:p>
            <w:pPr>
              <w:pStyle w:val="null3"/>
            </w:pPr>
            <w:r>
              <w:rPr/>
              <w:t>商务应答表</w:t>
            </w:r>
          </w:p>
        </w:tc>
      </w:tr>
      <w:tr>
        <w:tc>
          <w:tcPr>
            <w:tcW w:type="dxa" w:w="831"/>
          </w:tcPr>
          <w:p>
            <w:pPr>
              <w:pStyle w:val="null3"/>
            </w:pPr>
            <w:r>
              <w:rPr/>
              <w:t>8</w:t>
            </w:r>
          </w:p>
        </w:tc>
        <w:tc>
          <w:tcPr>
            <w:tcW w:type="dxa" w:w="2492"/>
          </w:tcPr>
          <w:p>
            <w:pPr>
              <w:pStyle w:val="null3"/>
            </w:pPr>
            <w:r>
              <w:rPr/>
              <w:t>响应有效期</w:t>
            </w:r>
          </w:p>
        </w:tc>
        <w:tc>
          <w:tcPr>
            <w:tcW w:type="dxa" w:w="3322"/>
          </w:tcPr>
          <w:p>
            <w:pPr>
              <w:pStyle w:val="null3"/>
            </w:pPr>
            <w:r>
              <w:rPr/>
              <w:t>响应有效期是否响应磋商文件的要求</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响应报价</w:t>
            </w:r>
          </w:p>
        </w:tc>
        <w:tc>
          <w:tcPr>
            <w:tcW w:type="dxa" w:w="3322"/>
          </w:tcPr>
          <w:p>
            <w:pPr>
              <w:pStyle w:val="null3"/>
            </w:pPr>
            <w:r>
              <w:rPr/>
              <w:t>响应报价是否超过采购预算或最高限价</w:t>
            </w:r>
          </w:p>
        </w:tc>
        <w:tc>
          <w:tcPr>
            <w:tcW w:type="dxa" w:w="1661"/>
          </w:tcPr>
          <w:p>
            <w:pPr>
              <w:pStyle w:val="null3"/>
            </w:pPr>
            <w:r>
              <w:rPr/>
              <w:t>分项报价表 商务应答表 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提出针对于本项目的分析理解，内容包含①项目实地情况分析②项目特殊性分析③项目重难点分析④对应解决办法。 完整、全面、针对性强得（7-10]分。较完整、较全面、针对性较强得（4-7]分。不完整、不全面、针对性一般得（1-4]分。注：未提供不得分。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评估技术方案</w:t>
            </w:r>
          </w:p>
        </w:tc>
        <w:tc>
          <w:tcPr>
            <w:tcW w:type="dxa" w:w="2492"/>
          </w:tcPr>
          <w:p>
            <w:pPr>
              <w:pStyle w:val="null3"/>
            </w:pPr>
            <w:r>
              <w:rPr/>
              <w:t>供应商需根据国家现行标准规范政策、采购需求和自身经验编制评估技术方案，包括但不限于评估内容、标准、流程、方法等。 1.评估执行的法律法规政策准确，评估内容完整，评估标准明确，评估方法具体，能较好的实现项目目标，针对性可行性强。根据详细程度计(15-20]分。2.评估执行的法律法规政策准确，评估内容比较完整，有相应的标准和方法，总体上能实现项目目标，针对性可行性较强。根据完善程度、详细程度和可行性计(10-15]分。3.能执行相关的法律法规政策，有基本的评估内容、评估标准和评估方法，对实现项目目标有一定可行性。根据完善程度、详细程度和可行性计(5-10]分。 4.内容空洞，或属于简单套用或照搬照抄，计(0-5]分。注：未提供不得分。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1.实施链条完整，各环节工作内容详细且与技术方案吻合，措施具体，可行性强。根据详细程度计(7-10]分。 2.实施链条相对完整，各环节有相应的工作内容和措施，基本与技术方案吻合，对实现项目目标有一定的可行性。根据完善程度、详细程度和可行性计(4-7]分。 3.内容空洞，或属于简单套用或照搬照抄，计（1-4]分。注：未提供不得分。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项目重难点分析</w:t>
            </w:r>
          </w:p>
        </w:tc>
        <w:tc>
          <w:tcPr>
            <w:tcW w:type="dxa" w:w="2492"/>
          </w:tcPr>
          <w:p>
            <w:pPr>
              <w:pStyle w:val="null3"/>
            </w:pPr>
            <w:r>
              <w:rPr/>
              <w:t>1.对项目工作重点、难点认识准确，描述清晰，能对重点难点提出针对性的工作思路，工作思路清晰、可行性强，根据详细程度计(7-10]分。 2.对项目工作重点、难点有一定的认识，能对重难点提出较为可行的工作思路，根据完善、详细程度及可行性计(4-7]分。 3.内容空洞，或属于简单套用或照搬照抄，计（1-4]分。注：未提供不得分。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质量保障措施</w:t>
            </w:r>
          </w:p>
        </w:tc>
        <w:tc>
          <w:tcPr>
            <w:tcW w:type="dxa" w:w="2492"/>
          </w:tcPr>
          <w:p>
            <w:pPr>
              <w:pStyle w:val="null3"/>
            </w:pPr>
            <w:r>
              <w:rPr/>
              <w:t>提供确保服务质量的保障措施，根据供应商的服务机制、工作流程、服务保障以及服务措施是否完善、是否能够充分保证达到项目实施目的等。该项措施详细准确、可行性强、科学合理，针对性强，完全满足本项目需求，得(7-10]分。措施比较详细、基本可行、基本合理，比较有针对性，基本能满足本项目需求，得(4-7]分。措施不够详细，可行性、合理性一般，针对性不够，得(1-4]分。注：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进度保证措施</w:t>
            </w:r>
          </w:p>
        </w:tc>
        <w:tc>
          <w:tcPr>
            <w:tcW w:type="dxa" w:w="2492"/>
          </w:tcPr>
          <w:p>
            <w:pPr>
              <w:pStyle w:val="null3"/>
            </w:pPr>
            <w:r>
              <w:rPr/>
              <w:t>针对本项目的进度保证措施，具有时间进度安排一览表或说明措施内容完整详尽，时间进度安排合理，可行性强的计(3-5分]。措施内容无缺漏，基本符合文件要求的计(2-3分]。不符合上述两种情形的计[1-2分]。 注：未提供不得分。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供应商需根据自身实力和项目实施方案提供针对本项目的服务承诺。服务承诺详实，能保证服务质量，有利于项目实施，可行性强。根据响应程度得[5-0）。注：未提供不得分。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团队人员须明确项目负责人。团队成员组织结构合理，团队分工明确，团队人员稳定、经验丰富、专业性强，得(7-10]分；团队成员组织结构较合理，团队分工较明确，团队人员较稳定、经验较丰富、专业性较强，得(4-7]分；团队成员组织结构不合理，团队分工不明确，团队人员稳定性一般、经验有所欠缺、专业性一般，得(1-4]分； 注：需提供项目团队人员清单、分工情况、对各成员优势及所参与过的项目进行简单描述，附人员身份证明和资格证书及磋商截止时间前一个月供应商为其交纳社保证明材料（复印件或扫描件并加盖公章）。</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业绩</w:t>
            </w:r>
          </w:p>
        </w:tc>
        <w:tc>
          <w:tcPr>
            <w:tcW w:type="dxa" w:w="2492"/>
          </w:tcPr>
          <w:p>
            <w:pPr>
              <w:pStyle w:val="null3"/>
            </w:pPr>
            <w:r>
              <w:rPr/>
              <w:t>供应商须提供近三年（2021年8月1日至投标截止时间）类似风险评估或风险测评项目业绩，以供应商提供的合同或中标（成交）通知书复印件（或扫描件）为准（日期以合同签订时间或中标（成交）通知书时间为准），每提供一份得2.5分，满分10分；未提供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详见附件：供应商资格证明文件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详见附件：服务方案</w:t>
      </w:r>
    </w:p>
    <w:p>
      <w:pPr>
        <w:pStyle w:val="null3"/>
        <w:ind w:firstLine="960"/>
      </w:pPr>
      <w:r>
        <w:rPr/>
        <w:t>详见附件：供应商承诺书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详见附件：风险评估项目-合同样板.docx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