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C06EF">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32"/>
          <w:szCs w:val="32"/>
          <w:u w:val="none"/>
          <w:lang w:val="en-US" w:eastAsia="zh-CN" w:bidi="ar"/>
        </w:rPr>
        <w:t>分项报价表</w:t>
      </w:r>
    </w:p>
    <w:tbl>
      <w:tblPr>
        <w:tblStyle w:val="4"/>
        <w:tblW w:w="13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6"/>
        <w:gridCol w:w="1938"/>
        <w:gridCol w:w="3860"/>
        <w:gridCol w:w="2604"/>
        <w:gridCol w:w="916"/>
        <w:gridCol w:w="1241"/>
        <w:gridCol w:w="815"/>
        <w:gridCol w:w="725"/>
      </w:tblGrid>
      <w:tr w14:paraId="1DA6B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56" w:type="dxa"/>
            <w:noWrap/>
            <w:vAlign w:val="center"/>
          </w:tcPr>
          <w:p w14:paraId="545AEB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阶段</w:t>
            </w:r>
          </w:p>
        </w:tc>
        <w:tc>
          <w:tcPr>
            <w:tcW w:w="1938" w:type="dxa"/>
            <w:noWrap/>
            <w:vAlign w:val="center"/>
          </w:tcPr>
          <w:p w14:paraId="0F8AE2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w:t>
            </w:r>
          </w:p>
        </w:tc>
        <w:tc>
          <w:tcPr>
            <w:tcW w:w="3860" w:type="dxa"/>
            <w:noWrap/>
            <w:vAlign w:val="center"/>
          </w:tcPr>
          <w:p w14:paraId="603D032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工作内容</w:t>
            </w:r>
          </w:p>
        </w:tc>
        <w:tc>
          <w:tcPr>
            <w:tcW w:w="2604" w:type="dxa"/>
            <w:noWrap/>
            <w:vAlign w:val="center"/>
          </w:tcPr>
          <w:p w14:paraId="148753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输出成果</w:t>
            </w:r>
          </w:p>
        </w:tc>
        <w:tc>
          <w:tcPr>
            <w:tcW w:w="916" w:type="dxa"/>
            <w:noWrap/>
            <w:vAlign w:val="center"/>
          </w:tcPr>
          <w:p w14:paraId="0921E9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241" w:type="dxa"/>
            <w:noWrap/>
            <w:vAlign w:val="center"/>
          </w:tcPr>
          <w:p w14:paraId="33455E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综合单价</w:t>
            </w:r>
          </w:p>
        </w:tc>
        <w:tc>
          <w:tcPr>
            <w:tcW w:w="815" w:type="dxa"/>
            <w:noWrap/>
            <w:vAlign w:val="center"/>
          </w:tcPr>
          <w:p w14:paraId="44FC06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合价</w:t>
            </w:r>
          </w:p>
        </w:tc>
        <w:tc>
          <w:tcPr>
            <w:tcW w:w="725" w:type="dxa"/>
            <w:noWrap/>
            <w:vAlign w:val="center"/>
          </w:tcPr>
          <w:p w14:paraId="32A004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0C9A3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856" w:type="dxa"/>
            <w:vMerge w:val="restart"/>
            <w:noWrap/>
            <w:vAlign w:val="center"/>
          </w:tcPr>
          <w:p w14:paraId="0AFB2E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计划准备阶段</w:t>
            </w:r>
          </w:p>
        </w:tc>
        <w:tc>
          <w:tcPr>
            <w:tcW w:w="1938" w:type="dxa"/>
            <w:noWrap w:val="0"/>
            <w:vAlign w:val="center"/>
          </w:tcPr>
          <w:p w14:paraId="689E4D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组建评估工作组</w:t>
            </w:r>
          </w:p>
        </w:tc>
        <w:tc>
          <w:tcPr>
            <w:tcW w:w="3860" w:type="dxa"/>
            <w:noWrap w:val="0"/>
            <w:vAlign w:val="center"/>
          </w:tcPr>
          <w:p w14:paraId="5790F065">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成立城市生命线安全风险评估工作小组，统筹协调安全风险评估工作推进，确保项目实施进度安排。提供项目后续全程（计划与准备、数据采集与核查、实地调查、安全风险辨识与分析、风险评估报告编制）现场和远程在线的专业技术咨询服务，直至项目验收。</w:t>
            </w:r>
          </w:p>
        </w:tc>
        <w:tc>
          <w:tcPr>
            <w:tcW w:w="2604" w:type="dxa"/>
            <w:noWrap w:val="0"/>
            <w:vAlign w:val="center"/>
          </w:tcPr>
          <w:p w14:paraId="70FA434D">
            <w:pPr>
              <w:jc w:val="center"/>
              <w:rPr>
                <w:rFonts w:hint="eastAsia" w:ascii="宋体" w:hAnsi="宋体" w:eastAsia="宋体" w:cs="宋体"/>
                <w:i w:val="0"/>
                <w:iCs w:val="0"/>
                <w:color w:val="000000"/>
                <w:sz w:val="24"/>
                <w:szCs w:val="24"/>
                <w:u w:val="none"/>
              </w:rPr>
            </w:pPr>
          </w:p>
        </w:tc>
        <w:tc>
          <w:tcPr>
            <w:tcW w:w="916" w:type="dxa"/>
            <w:noWrap w:val="0"/>
            <w:vAlign w:val="center"/>
          </w:tcPr>
          <w:p w14:paraId="5F14EB39">
            <w:pPr>
              <w:jc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1项</w:t>
            </w:r>
          </w:p>
        </w:tc>
        <w:tc>
          <w:tcPr>
            <w:tcW w:w="1241" w:type="dxa"/>
            <w:noWrap/>
            <w:vAlign w:val="center"/>
          </w:tcPr>
          <w:p w14:paraId="53A175F8">
            <w:pPr>
              <w:jc w:val="center"/>
              <w:rPr>
                <w:rFonts w:hint="eastAsia" w:ascii="宋体" w:hAnsi="宋体" w:eastAsia="宋体" w:cs="宋体"/>
                <w:i w:val="0"/>
                <w:iCs w:val="0"/>
                <w:color w:val="000000"/>
                <w:sz w:val="24"/>
                <w:szCs w:val="24"/>
                <w:u w:val="none"/>
              </w:rPr>
            </w:pPr>
          </w:p>
        </w:tc>
        <w:tc>
          <w:tcPr>
            <w:tcW w:w="815" w:type="dxa"/>
            <w:noWrap/>
            <w:vAlign w:val="center"/>
          </w:tcPr>
          <w:p w14:paraId="3802B02A">
            <w:pPr>
              <w:jc w:val="center"/>
              <w:rPr>
                <w:rFonts w:hint="eastAsia" w:ascii="宋体" w:hAnsi="宋体" w:eastAsia="宋体" w:cs="宋体"/>
                <w:i w:val="0"/>
                <w:iCs w:val="0"/>
                <w:color w:val="000000"/>
                <w:sz w:val="24"/>
                <w:szCs w:val="24"/>
                <w:u w:val="none"/>
              </w:rPr>
            </w:pPr>
          </w:p>
        </w:tc>
        <w:tc>
          <w:tcPr>
            <w:tcW w:w="725" w:type="dxa"/>
            <w:noWrap/>
            <w:vAlign w:val="center"/>
          </w:tcPr>
          <w:p w14:paraId="520AB66C">
            <w:pPr>
              <w:jc w:val="center"/>
              <w:rPr>
                <w:rFonts w:hint="eastAsia" w:ascii="宋体" w:hAnsi="宋体" w:eastAsia="宋体" w:cs="宋体"/>
                <w:i w:val="0"/>
                <w:iCs w:val="0"/>
                <w:color w:val="000000"/>
                <w:sz w:val="24"/>
                <w:szCs w:val="24"/>
                <w:u w:val="none"/>
              </w:rPr>
            </w:pPr>
          </w:p>
        </w:tc>
      </w:tr>
      <w:tr w14:paraId="1AE6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56" w:type="dxa"/>
            <w:vMerge w:val="continue"/>
            <w:noWrap/>
            <w:vAlign w:val="center"/>
          </w:tcPr>
          <w:p w14:paraId="39E13988">
            <w:pPr>
              <w:jc w:val="center"/>
              <w:rPr>
                <w:rFonts w:hint="eastAsia" w:ascii="宋体" w:hAnsi="宋体" w:eastAsia="宋体" w:cs="宋体"/>
                <w:i w:val="0"/>
                <w:iCs w:val="0"/>
                <w:color w:val="000000"/>
                <w:sz w:val="24"/>
                <w:szCs w:val="24"/>
                <w:u w:val="none"/>
              </w:rPr>
            </w:pPr>
          </w:p>
        </w:tc>
        <w:tc>
          <w:tcPr>
            <w:tcW w:w="1938" w:type="dxa"/>
            <w:vMerge w:val="restart"/>
            <w:noWrap w:val="0"/>
            <w:vAlign w:val="center"/>
          </w:tcPr>
          <w:p w14:paraId="302E87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明确评估范围与重点</w:t>
            </w:r>
          </w:p>
        </w:tc>
        <w:tc>
          <w:tcPr>
            <w:tcW w:w="3860" w:type="dxa"/>
            <w:noWrap w:val="0"/>
            <w:vAlign w:val="center"/>
          </w:tcPr>
          <w:p w14:paraId="430210C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协调行业专家与西安市建成区的燃气、桥梁、供热相关单位对接。</w:t>
            </w:r>
          </w:p>
        </w:tc>
        <w:tc>
          <w:tcPr>
            <w:tcW w:w="2604" w:type="dxa"/>
            <w:noWrap w:val="0"/>
            <w:vAlign w:val="center"/>
          </w:tcPr>
          <w:p w14:paraId="2C1DD897">
            <w:pPr>
              <w:jc w:val="center"/>
              <w:rPr>
                <w:rFonts w:hint="eastAsia" w:ascii="宋体" w:hAnsi="宋体" w:eastAsia="宋体" w:cs="宋体"/>
                <w:i w:val="0"/>
                <w:iCs w:val="0"/>
                <w:color w:val="000000"/>
                <w:sz w:val="24"/>
                <w:szCs w:val="24"/>
                <w:u w:val="none"/>
              </w:rPr>
            </w:pPr>
          </w:p>
        </w:tc>
        <w:tc>
          <w:tcPr>
            <w:tcW w:w="916" w:type="dxa"/>
            <w:noWrap w:val="0"/>
            <w:vAlign w:val="center"/>
          </w:tcPr>
          <w:p w14:paraId="1B880B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1项</w:t>
            </w:r>
          </w:p>
        </w:tc>
        <w:tc>
          <w:tcPr>
            <w:tcW w:w="1241" w:type="dxa"/>
            <w:noWrap/>
            <w:vAlign w:val="center"/>
          </w:tcPr>
          <w:p w14:paraId="2D6E11AF">
            <w:pPr>
              <w:jc w:val="center"/>
              <w:rPr>
                <w:rFonts w:hint="eastAsia" w:ascii="宋体" w:hAnsi="宋体" w:eastAsia="宋体" w:cs="宋体"/>
                <w:i w:val="0"/>
                <w:iCs w:val="0"/>
                <w:color w:val="000000"/>
                <w:sz w:val="24"/>
                <w:szCs w:val="24"/>
                <w:u w:val="none"/>
              </w:rPr>
            </w:pPr>
          </w:p>
        </w:tc>
        <w:tc>
          <w:tcPr>
            <w:tcW w:w="815" w:type="dxa"/>
            <w:noWrap/>
            <w:vAlign w:val="center"/>
          </w:tcPr>
          <w:p w14:paraId="4907F2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0A71E9A6">
            <w:pPr>
              <w:jc w:val="center"/>
              <w:rPr>
                <w:rFonts w:hint="eastAsia" w:ascii="宋体" w:hAnsi="宋体" w:eastAsia="宋体" w:cs="宋体"/>
                <w:i w:val="0"/>
                <w:iCs w:val="0"/>
                <w:color w:val="000000"/>
                <w:sz w:val="24"/>
                <w:szCs w:val="24"/>
                <w:u w:val="none"/>
              </w:rPr>
            </w:pPr>
          </w:p>
        </w:tc>
      </w:tr>
      <w:tr w14:paraId="5D379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856" w:type="dxa"/>
            <w:vMerge w:val="continue"/>
            <w:noWrap/>
            <w:vAlign w:val="center"/>
          </w:tcPr>
          <w:p w14:paraId="732CE2D4">
            <w:pPr>
              <w:jc w:val="center"/>
              <w:rPr>
                <w:rFonts w:hint="eastAsia" w:ascii="宋体" w:hAnsi="宋体" w:eastAsia="宋体" w:cs="宋体"/>
                <w:i w:val="0"/>
                <w:iCs w:val="0"/>
                <w:color w:val="000000"/>
                <w:sz w:val="24"/>
                <w:szCs w:val="24"/>
                <w:u w:val="none"/>
              </w:rPr>
            </w:pPr>
          </w:p>
        </w:tc>
        <w:tc>
          <w:tcPr>
            <w:tcW w:w="1938" w:type="dxa"/>
            <w:vMerge w:val="continue"/>
            <w:noWrap w:val="0"/>
            <w:vAlign w:val="center"/>
          </w:tcPr>
          <w:p w14:paraId="5E2BFD61">
            <w:pPr>
              <w:jc w:val="center"/>
              <w:rPr>
                <w:rFonts w:hint="eastAsia" w:ascii="宋体" w:hAnsi="宋体" w:eastAsia="宋体" w:cs="宋体"/>
                <w:i w:val="0"/>
                <w:iCs w:val="0"/>
                <w:color w:val="000000"/>
                <w:sz w:val="24"/>
                <w:szCs w:val="24"/>
                <w:u w:val="none"/>
              </w:rPr>
            </w:pPr>
          </w:p>
        </w:tc>
        <w:tc>
          <w:tcPr>
            <w:tcW w:w="3860" w:type="dxa"/>
            <w:noWrap w:val="0"/>
            <w:vAlign w:val="center"/>
          </w:tcPr>
          <w:p w14:paraId="6DA9EEB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通过与相关单位沟通，摸清重点高风险燃气管网/桥梁/供热管线分布区域和风险特点。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燃气范围:区域内5127.78公里中高压燃气管网。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cs="宋体"/>
                <w:i w:val="0"/>
                <w:iCs w:val="0"/>
                <w:color w:val="000000"/>
                <w:kern w:val="0"/>
                <w:sz w:val="24"/>
                <w:szCs w:val="24"/>
                <w:u w:val="none"/>
                <w:lang w:val="en-US" w:eastAsia="zh-CN" w:bidi="ar"/>
              </w:rPr>
              <w:t>桥梁</w:t>
            </w:r>
            <w:r>
              <w:rPr>
                <w:rFonts w:hint="eastAsia" w:ascii="宋体" w:hAnsi="宋体" w:eastAsia="宋体" w:cs="宋体"/>
                <w:i w:val="0"/>
                <w:iCs w:val="0"/>
                <w:color w:val="000000"/>
                <w:kern w:val="0"/>
                <w:sz w:val="24"/>
                <w:szCs w:val="24"/>
                <w:u w:val="none"/>
                <w:lang w:val="en-US" w:eastAsia="zh-CN" w:bidi="ar"/>
              </w:rPr>
              <w:t>范围:区域内493座市政桥梁隧道。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供热范围:区域内2163公里集中供热主管网。</w:t>
            </w:r>
          </w:p>
        </w:tc>
        <w:tc>
          <w:tcPr>
            <w:tcW w:w="2604" w:type="dxa"/>
            <w:noWrap w:val="0"/>
            <w:vAlign w:val="center"/>
          </w:tcPr>
          <w:p w14:paraId="0B29FB07">
            <w:pPr>
              <w:jc w:val="center"/>
              <w:rPr>
                <w:rFonts w:hint="eastAsia" w:ascii="宋体" w:hAnsi="宋体" w:eastAsia="宋体" w:cs="宋体"/>
                <w:i w:val="0"/>
                <w:iCs w:val="0"/>
                <w:color w:val="000000"/>
                <w:sz w:val="24"/>
                <w:szCs w:val="24"/>
                <w:u w:val="none"/>
              </w:rPr>
            </w:pPr>
          </w:p>
        </w:tc>
        <w:tc>
          <w:tcPr>
            <w:tcW w:w="916" w:type="dxa"/>
            <w:noWrap w:val="0"/>
            <w:vAlign w:val="center"/>
          </w:tcPr>
          <w:p w14:paraId="07E693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1项</w:t>
            </w:r>
          </w:p>
        </w:tc>
        <w:tc>
          <w:tcPr>
            <w:tcW w:w="1241" w:type="dxa"/>
            <w:noWrap/>
            <w:vAlign w:val="center"/>
          </w:tcPr>
          <w:p w14:paraId="5A31AD4D">
            <w:pPr>
              <w:jc w:val="center"/>
              <w:rPr>
                <w:rFonts w:hint="eastAsia" w:ascii="宋体" w:hAnsi="宋体" w:eastAsia="宋体" w:cs="宋体"/>
                <w:i w:val="0"/>
                <w:iCs w:val="0"/>
                <w:color w:val="000000"/>
                <w:sz w:val="24"/>
                <w:szCs w:val="24"/>
                <w:u w:val="none"/>
              </w:rPr>
            </w:pPr>
          </w:p>
        </w:tc>
        <w:tc>
          <w:tcPr>
            <w:tcW w:w="815" w:type="dxa"/>
            <w:noWrap/>
            <w:vAlign w:val="center"/>
          </w:tcPr>
          <w:p w14:paraId="0D11D7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34E6052B">
            <w:pPr>
              <w:jc w:val="center"/>
              <w:rPr>
                <w:rFonts w:hint="eastAsia" w:ascii="宋体" w:hAnsi="宋体" w:eastAsia="宋体" w:cs="宋体"/>
                <w:i w:val="0"/>
                <w:iCs w:val="0"/>
                <w:color w:val="000000"/>
                <w:sz w:val="24"/>
                <w:szCs w:val="24"/>
                <w:u w:val="none"/>
              </w:rPr>
            </w:pPr>
          </w:p>
        </w:tc>
      </w:tr>
      <w:tr w14:paraId="7230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56" w:type="dxa"/>
            <w:vMerge w:val="continue"/>
            <w:noWrap/>
            <w:vAlign w:val="center"/>
          </w:tcPr>
          <w:p w14:paraId="6A8F4C40">
            <w:pPr>
              <w:jc w:val="center"/>
              <w:rPr>
                <w:rFonts w:hint="eastAsia" w:ascii="宋体" w:hAnsi="宋体" w:eastAsia="宋体" w:cs="宋体"/>
                <w:i w:val="0"/>
                <w:iCs w:val="0"/>
                <w:color w:val="000000"/>
                <w:sz w:val="24"/>
                <w:szCs w:val="24"/>
                <w:u w:val="none"/>
              </w:rPr>
            </w:pPr>
          </w:p>
        </w:tc>
        <w:tc>
          <w:tcPr>
            <w:tcW w:w="1938" w:type="dxa"/>
            <w:vMerge w:val="restart"/>
            <w:noWrap w:val="0"/>
            <w:vAlign w:val="center"/>
          </w:tcPr>
          <w:p w14:paraId="47E666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编制实施方案</w:t>
            </w:r>
          </w:p>
        </w:tc>
        <w:tc>
          <w:tcPr>
            <w:tcW w:w="3860" w:type="dxa"/>
            <w:noWrap w:val="0"/>
            <w:vAlign w:val="center"/>
          </w:tcPr>
          <w:p w14:paraId="561F7FA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协调行业解决方案的工程师与西安市建成区的燃气、桥梁供热相关主管单位对接。</w:t>
            </w:r>
          </w:p>
        </w:tc>
        <w:tc>
          <w:tcPr>
            <w:tcW w:w="2604" w:type="dxa"/>
            <w:noWrap w:val="0"/>
            <w:vAlign w:val="center"/>
          </w:tcPr>
          <w:p w14:paraId="43BFF9CF">
            <w:pPr>
              <w:jc w:val="center"/>
              <w:rPr>
                <w:rFonts w:hint="eastAsia" w:ascii="宋体" w:hAnsi="宋体" w:eastAsia="宋体" w:cs="宋体"/>
                <w:i w:val="0"/>
                <w:iCs w:val="0"/>
                <w:color w:val="000000"/>
                <w:sz w:val="24"/>
                <w:szCs w:val="24"/>
                <w:u w:val="none"/>
              </w:rPr>
            </w:pPr>
          </w:p>
        </w:tc>
        <w:tc>
          <w:tcPr>
            <w:tcW w:w="916" w:type="dxa"/>
            <w:noWrap w:val="0"/>
            <w:vAlign w:val="center"/>
          </w:tcPr>
          <w:p w14:paraId="305B0C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1项</w:t>
            </w:r>
          </w:p>
        </w:tc>
        <w:tc>
          <w:tcPr>
            <w:tcW w:w="1241" w:type="dxa"/>
            <w:noWrap/>
            <w:vAlign w:val="center"/>
          </w:tcPr>
          <w:p w14:paraId="4E755759">
            <w:pPr>
              <w:jc w:val="center"/>
              <w:rPr>
                <w:rFonts w:hint="eastAsia" w:ascii="宋体" w:hAnsi="宋体" w:eastAsia="宋体" w:cs="宋体"/>
                <w:i w:val="0"/>
                <w:iCs w:val="0"/>
                <w:color w:val="000000"/>
                <w:sz w:val="24"/>
                <w:szCs w:val="24"/>
                <w:u w:val="none"/>
              </w:rPr>
            </w:pPr>
          </w:p>
        </w:tc>
        <w:tc>
          <w:tcPr>
            <w:tcW w:w="815" w:type="dxa"/>
            <w:noWrap/>
            <w:vAlign w:val="center"/>
          </w:tcPr>
          <w:p w14:paraId="3CB12E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560BFA44">
            <w:pPr>
              <w:jc w:val="center"/>
              <w:rPr>
                <w:rFonts w:hint="eastAsia" w:ascii="宋体" w:hAnsi="宋体" w:eastAsia="宋体" w:cs="宋体"/>
                <w:i w:val="0"/>
                <w:iCs w:val="0"/>
                <w:color w:val="000000"/>
                <w:sz w:val="24"/>
                <w:szCs w:val="24"/>
                <w:u w:val="none"/>
              </w:rPr>
            </w:pPr>
          </w:p>
        </w:tc>
      </w:tr>
      <w:tr w14:paraId="43A9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56" w:type="dxa"/>
            <w:vMerge w:val="continue"/>
            <w:noWrap/>
            <w:vAlign w:val="center"/>
          </w:tcPr>
          <w:p w14:paraId="4C0C8382">
            <w:pPr>
              <w:jc w:val="center"/>
              <w:rPr>
                <w:rFonts w:hint="eastAsia" w:ascii="宋体" w:hAnsi="宋体" w:eastAsia="宋体" w:cs="宋体"/>
                <w:i w:val="0"/>
                <w:iCs w:val="0"/>
                <w:color w:val="000000"/>
                <w:sz w:val="24"/>
                <w:szCs w:val="24"/>
                <w:u w:val="none"/>
              </w:rPr>
            </w:pPr>
          </w:p>
        </w:tc>
        <w:tc>
          <w:tcPr>
            <w:tcW w:w="1938" w:type="dxa"/>
            <w:vMerge w:val="continue"/>
            <w:noWrap w:val="0"/>
            <w:vAlign w:val="center"/>
          </w:tcPr>
          <w:p w14:paraId="27EA556A">
            <w:pPr>
              <w:jc w:val="center"/>
              <w:rPr>
                <w:rFonts w:hint="eastAsia" w:ascii="宋体" w:hAnsi="宋体" w:eastAsia="宋体" w:cs="宋体"/>
                <w:i w:val="0"/>
                <w:iCs w:val="0"/>
                <w:color w:val="000000"/>
                <w:sz w:val="24"/>
                <w:szCs w:val="24"/>
                <w:u w:val="none"/>
              </w:rPr>
            </w:pPr>
          </w:p>
        </w:tc>
        <w:tc>
          <w:tcPr>
            <w:tcW w:w="3860" w:type="dxa"/>
            <w:noWrap w:val="0"/>
            <w:vAlign w:val="center"/>
          </w:tcPr>
          <w:p w14:paraId="2119B8E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制定《西安市城市生命线设施燃气/桥梁/供热专项风险评估实施方案》</w:t>
            </w:r>
          </w:p>
        </w:tc>
        <w:tc>
          <w:tcPr>
            <w:tcW w:w="2604" w:type="dxa"/>
            <w:noWrap w:val="0"/>
            <w:vAlign w:val="center"/>
          </w:tcPr>
          <w:p w14:paraId="447F2A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《西安市风险评估方案》</w:t>
            </w:r>
          </w:p>
        </w:tc>
        <w:tc>
          <w:tcPr>
            <w:tcW w:w="916" w:type="dxa"/>
            <w:noWrap w:val="0"/>
            <w:vAlign w:val="center"/>
          </w:tcPr>
          <w:p w14:paraId="45A96A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1套</w:t>
            </w:r>
          </w:p>
        </w:tc>
        <w:tc>
          <w:tcPr>
            <w:tcW w:w="1241" w:type="dxa"/>
            <w:noWrap/>
            <w:vAlign w:val="center"/>
          </w:tcPr>
          <w:p w14:paraId="00417CEC">
            <w:pPr>
              <w:jc w:val="center"/>
              <w:rPr>
                <w:rFonts w:hint="eastAsia" w:ascii="宋体" w:hAnsi="宋体" w:eastAsia="宋体" w:cs="宋体"/>
                <w:i w:val="0"/>
                <w:iCs w:val="0"/>
                <w:color w:val="000000"/>
                <w:sz w:val="24"/>
                <w:szCs w:val="24"/>
                <w:u w:val="none"/>
              </w:rPr>
            </w:pPr>
          </w:p>
        </w:tc>
        <w:tc>
          <w:tcPr>
            <w:tcW w:w="815" w:type="dxa"/>
            <w:noWrap/>
            <w:vAlign w:val="center"/>
          </w:tcPr>
          <w:p w14:paraId="2DA26C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55860996">
            <w:pPr>
              <w:jc w:val="center"/>
              <w:rPr>
                <w:rFonts w:hint="eastAsia" w:ascii="宋体" w:hAnsi="宋体" w:eastAsia="宋体" w:cs="宋体"/>
                <w:i w:val="0"/>
                <w:iCs w:val="0"/>
                <w:color w:val="000000"/>
                <w:sz w:val="24"/>
                <w:szCs w:val="24"/>
                <w:u w:val="none"/>
              </w:rPr>
            </w:pPr>
          </w:p>
        </w:tc>
      </w:tr>
      <w:tr w14:paraId="265A4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856" w:type="dxa"/>
            <w:vMerge w:val="continue"/>
            <w:noWrap/>
            <w:vAlign w:val="center"/>
          </w:tcPr>
          <w:p w14:paraId="2B4D64FA">
            <w:pPr>
              <w:jc w:val="center"/>
              <w:rPr>
                <w:rFonts w:hint="eastAsia" w:ascii="宋体" w:hAnsi="宋体" w:eastAsia="宋体" w:cs="宋体"/>
                <w:i w:val="0"/>
                <w:iCs w:val="0"/>
                <w:color w:val="000000"/>
                <w:sz w:val="24"/>
                <w:szCs w:val="24"/>
                <w:u w:val="none"/>
              </w:rPr>
            </w:pPr>
          </w:p>
        </w:tc>
        <w:tc>
          <w:tcPr>
            <w:tcW w:w="1938" w:type="dxa"/>
            <w:noWrap w:val="0"/>
            <w:vAlign w:val="center"/>
          </w:tcPr>
          <w:p w14:paraId="7D4DFC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数据保密及脱敏</w:t>
            </w:r>
          </w:p>
        </w:tc>
        <w:tc>
          <w:tcPr>
            <w:tcW w:w="3860" w:type="dxa"/>
            <w:noWrap w:val="0"/>
            <w:vAlign w:val="center"/>
          </w:tcPr>
          <w:p w14:paraId="54BB958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签订保密协议，对数据进行脱敏处理。数据移交应通过保密存储介质并以邮寄等安全方式进行移交，禁止通过互联网进行移交。</w:t>
            </w:r>
          </w:p>
        </w:tc>
        <w:tc>
          <w:tcPr>
            <w:tcW w:w="2604" w:type="dxa"/>
            <w:noWrap w:val="0"/>
            <w:vAlign w:val="center"/>
          </w:tcPr>
          <w:p w14:paraId="48E33808">
            <w:pPr>
              <w:jc w:val="center"/>
              <w:rPr>
                <w:rFonts w:hint="eastAsia" w:ascii="宋体" w:hAnsi="宋体" w:eastAsia="宋体" w:cs="宋体"/>
                <w:i w:val="0"/>
                <w:iCs w:val="0"/>
                <w:color w:val="000000"/>
                <w:sz w:val="24"/>
                <w:szCs w:val="24"/>
                <w:u w:val="none"/>
              </w:rPr>
            </w:pPr>
          </w:p>
        </w:tc>
        <w:tc>
          <w:tcPr>
            <w:tcW w:w="916" w:type="dxa"/>
            <w:noWrap w:val="0"/>
            <w:vAlign w:val="center"/>
          </w:tcPr>
          <w:p w14:paraId="7BA598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1项</w:t>
            </w:r>
          </w:p>
        </w:tc>
        <w:tc>
          <w:tcPr>
            <w:tcW w:w="1241" w:type="dxa"/>
            <w:noWrap/>
            <w:vAlign w:val="center"/>
          </w:tcPr>
          <w:p w14:paraId="0F2EAD49">
            <w:pPr>
              <w:jc w:val="center"/>
              <w:rPr>
                <w:rFonts w:hint="eastAsia" w:ascii="宋体" w:hAnsi="宋体" w:eastAsia="宋体" w:cs="宋体"/>
                <w:i w:val="0"/>
                <w:iCs w:val="0"/>
                <w:color w:val="000000"/>
                <w:sz w:val="24"/>
                <w:szCs w:val="24"/>
                <w:u w:val="none"/>
              </w:rPr>
            </w:pPr>
          </w:p>
        </w:tc>
        <w:tc>
          <w:tcPr>
            <w:tcW w:w="815" w:type="dxa"/>
            <w:noWrap/>
            <w:vAlign w:val="center"/>
          </w:tcPr>
          <w:p w14:paraId="6E25FD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2182B10E">
            <w:pPr>
              <w:jc w:val="center"/>
              <w:rPr>
                <w:rFonts w:hint="eastAsia" w:ascii="宋体" w:hAnsi="宋体" w:eastAsia="宋体" w:cs="宋体"/>
                <w:i w:val="0"/>
                <w:iCs w:val="0"/>
                <w:color w:val="000000"/>
                <w:sz w:val="24"/>
                <w:szCs w:val="24"/>
                <w:u w:val="none"/>
              </w:rPr>
            </w:pPr>
          </w:p>
        </w:tc>
      </w:tr>
      <w:tr w14:paraId="2050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856" w:type="dxa"/>
            <w:noWrap/>
            <w:vAlign w:val="center"/>
          </w:tcPr>
          <w:p w14:paraId="7D3742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报告数据采集与核查</w:t>
            </w:r>
          </w:p>
        </w:tc>
        <w:tc>
          <w:tcPr>
            <w:tcW w:w="1938" w:type="dxa"/>
            <w:noWrap w:val="0"/>
            <w:vAlign w:val="center"/>
          </w:tcPr>
          <w:p w14:paraId="4B863270">
            <w:pPr>
              <w:jc w:val="center"/>
              <w:rPr>
                <w:rFonts w:hint="eastAsia" w:ascii="宋体" w:hAnsi="宋体" w:eastAsia="宋体" w:cs="宋体"/>
                <w:i w:val="0"/>
                <w:iCs w:val="0"/>
                <w:color w:val="000000"/>
                <w:sz w:val="24"/>
                <w:szCs w:val="24"/>
                <w:u w:val="none"/>
              </w:rPr>
            </w:pPr>
          </w:p>
        </w:tc>
        <w:tc>
          <w:tcPr>
            <w:tcW w:w="3860" w:type="dxa"/>
            <w:noWrap w:val="0"/>
            <w:vAlign w:val="center"/>
          </w:tcPr>
          <w:p w14:paraId="766A9D2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开展初评工作，对上报采集数据根据省厅指导手册的模型指标通过软件模型平台计算，得到初步评估结果，输出初版风险清单和风险分布图，根据清单可确定实地调查重点区域和对象。初版风险分布图用于为进行现场复核提供依据。</w:t>
            </w:r>
          </w:p>
        </w:tc>
        <w:tc>
          <w:tcPr>
            <w:tcW w:w="2604" w:type="dxa"/>
            <w:noWrap w:val="0"/>
            <w:vAlign w:val="center"/>
          </w:tcPr>
          <w:p w14:paraId="482AF1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《西安市城市生命线燃气/桥隧/供热风险评估清单（初版）》</w:t>
            </w:r>
          </w:p>
        </w:tc>
        <w:tc>
          <w:tcPr>
            <w:tcW w:w="916" w:type="dxa"/>
            <w:noWrap w:val="0"/>
            <w:vAlign w:val="center"/>
          </w:tcPr>
          <w:p w14:paraId="2AF8B213">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套</w:t>
            </w:r>
          </w:p>
        </w:tc>
        <w:tc>
          <w:tcPr>
            <w:tcW w:w="1241" w:type="dxa"/>
            <w:noWrap/>
            <w:vAlign w:val="center"/>
          </w:tcPr>
          <w:p w14:paraId="4265171A">
            <w:pPr>
              <w:jc w:val="center"/>
              <w:rPr>
                <w:rFonts w:hint="eastAsia" w:ascii="宋体" w:hAnsi="宋体" w:eastAsia="宋体" w:cs="宋体"/>
                <w:i w:val="0"/>
                <w:iCs w:val="0"/>
                <w:color w:val="000000"/>
                <w:sz w:val="24"/>
                <w:szCs w:val="24"/>
                <w:u w:val="none"/>
              </w:rPr>
            </w:pPr>
          </w:p>
        </w:tc>
        <w:tc>
          <w:tcPr>
            <w:tcW w:w="815" w:type="dxa"/>
            <w:noWrap/>
            <w:vAlign w:val="center"/>
          </w:tcPr>
          <w:p w14:paraId="14DD10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0B202BD3">
            <w:pPr>
              <w:jc w:val="center"/>
              <w:rPr>
                <w:rFonts w:hint="eastAsia" w:ascii="宋体" w:hAnsi="宋体" w:eastAsia="宋体" w:cs="宋体"/>
                <w:i w:val="0"/>
                <w:iCs w:val="0"/>
                <w:color w:val="000000"/>
                <w:sz w:val="24"/>
                <w:szCs w:val="24"/>
                <w:u w:val="none"/>
              </w:rPr>
            </w:pPr>
          </w:p>
        </w:tc>
      </w:tr>
      <w:tr w14:paraId="5094D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856" w:type="dxa"/>
            <w:noWrap/>
            <w:vAlign w:val="center"/>
          </w:tcPr>
          <w:p w14:paraId="5C0106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实地调查</w:t>
            </w:r>
          </w:p>
        </w:tc>
        <w:tc>
          <w:tcPr>
            <w:tcW w:w="1938" w:type="dxa"/>
            <w:noWrap w:val="0"/>
            <w:vAlign w:val="center"/>
          </w:tcPr>
          <w:p w14:paraId="13F3CB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现场勘察</w:t>
            </w:r>
          </w:p>
        </w:tc>
        <w:tc>
          <w:tcPr>
            <w:tcW w:w="3860" w:type="dxa"/>
            <w:noWrap w:val="0"/>
            <w:vAlign w:val="center"/>
          </w:tcPr>
          <w:p w14:paraId="75F7411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基于初步风险辨识与分析结果对重点燃气管道、供热管道、桥隧开展现场勘察调研，进一步核实和完善风险分析结果。</w:t>
            </w:r>
          </w:p>
        </w:tc>
        <w:tc>
          <w:tcPr>
            <w:tcW w:w="2604" w:type="dxa"/>
            <w:noWrap w:val="0"/>
            <w:vAlign w:val="center"/>
          </w:tcPr>
          <w:p w14:paraId="0A9188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《西安市城市生命线燃气桥隧/供热风险勘察报告》</w:t>
            </w:r>
          </w:p>
        </w:tc>
        <w:tc>
          <w:tcPr>
            <w:tcW w:w="916" w:type="dxa"/>
            <w:noWrap w:val="0"/>
            <w:vAlign w:val="center"/>
          </w:tcPr>
          <w:p w14:paraId="44F075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套</w:t>
            </w:r>
          </w:p>
        </w:tc>
        <w:tc>
          <w:tcPr>
            <w:tcW w:w="1241" w:type="dxa"/>
            <w:noWrap/>
            <w:vAlign w:val="center"/>
          </w:tcPr>
          <w:p w14:paraId="78EAA78E">
            <w:pPr>
              <w:jc w:val="center"/>
              <w:rPr>
                <w:rFonts w:hint="eastAsia" w:ascii="宋体" w:hAnsi="宋体" w:eastAsia="宋体" w:cs="宋体"/>
                <w:i w:val="0"/>
                <w:iCs w:val="0"/>
                <w:color w:val="000000"/>
                <w:sz w:val="24"/>
                <w:szCs w:val="24"/>
                <w:u w:val="none"/>
              </w:rPr>
            </w:pPr>
          </w:p>
        </w:tc>
        <w:tc>
          <w:tcPr>
            <w:tcW w:w="815" w:type="dxa"/>
            <w:noWrap/>
            <w:vAlign w:val="center"/>
          </w:tcPr>
          <w:p w14:paraId="630CAE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6DFCF8C9">
            <w:pPr>
              <w:jc w:val="center"/>
              <w:rPr>
                <w:rFonts w:hint="eastAsia" w:ascii="宋体" w:hAnsi="宋体" w:eastAsia="宋体" w:cs="宋体"/>
                <w:i w:val="0"/>
                <w:iCs w:val="0"/>
                <w:color w:val="000000"/>
                <w:sz w:val="24"/>
                <w:szCs w:val="24"/>
                <w:u w:val="none"/>
              </w:rPr>
            </w:pPr>
          </w:p>
        </w:tc>
      </w:tr>
      <w:tr w14:paraId="11B0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856" w:type="dxa"/>
            <w:noWrap w:val="0"/>
            <w:vAlign w:val="center"/>
          </w:tcPr>
          <w:p w14:paraId="74D17E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安全风险辨识</w:t>
            </w:r>
          </w:p>
        </w:tc>
        <w:tc>
          <w:tcPr>
            <w:tcW w:w="1938" w:type="dxa"/>
            <w:noWrap w:val="0"/>
            <w:vAlign w:val="center"/>
          </w:tcPr>
          <w:p w14:paraId="7D6C601E">
            <w:pPr>
              <w:jc w:val="center"/>
              <w:rPr>
                <w:rFonts w:hint="eastAsia" w:ascii="宋体" w:hAnsi="宋体" w:eastAsia="宋体" w:cs="宋体"/>
                <w:i w:val="0"/>
                <w:iCs w:val="0"/>
                <w:color w:val="000000"/>
                <w:sz w:val="24"/>
                <w:szCs w:val="24"/>
                <w:u w:val="none"/>
              </w:rPr>
            </w:pPr>
          </w:p>
        </w:tc>
        <w:tc>
          <w:tcPr>
            <w:tcW w:w="3860" w:type="dxa"/>
            <w:noWrap w:val="0"/>
            <w:vAlign w:val="center"/>
          </w:tcPr>
          <w:p w14:paraId="4443278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对区域内燃气管网、燃气场站、桥隧、供热管网、热力厂等风险评估单元进行风险分析与评价工作，输出初步的风险等级清单。</w:t>
            </w:r>
          </w:p>
        </w:tc>
        <w:tc>
          <w:tcPr>
            <w:tcW w:w="2604" w:type="dxa"/>
            <w:noWrap w:val="0"/>
            <w:vAlign w:val="center"/>
          </w:tcPr>
          <w:p w14:paraId="4C63E6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《西安市城市生命线燃气设施/桥隧设施/供热设施风险辨识清单》</w:t>
            </w:r>
          </w:p>
        </w:tc>
        <w:tc>
          <w:tcPr>
            <w:tcW w:w="916" w:type="dxa"/>
            <w:noWrap w:val="0"/>
            <w:vAlign w:val="center"/>
          </w:tcPr>
          <w:p w14:paraId="203787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套</w:t>
            </w:r>
          </w:p>
        </w:tc>
        <w:tc>
          <w:tcPr>
            <w:tcW w:w="1241" w:type="dxa"/>
            <w:noWrap/>
            <w:vAlign w:val="center"/>
          </w:tcPr>
          <w:p w14:paraId="75A5CB98">
            <w:pPr>
              <w:jc w:val="center"/>
              <w:rPr>
                <w:rFonts w:hint="eastAsia" w:ascii="宋体" w:hAnsi="宋体" w:eastAsia="宋体" w:cs="宋体"/>
                <w:i w:val="0"/>
                <w:iCs w:val="0"/>
                <w:color w:val="000000"/>
                <w:sz w:val="24"/>
                <w:szCs w:val="24"/>
                <w:u w:val="none"/>
              </w:rPr>
            </w:pPr>
          </w:p>
        </w:tc>
        <w:tc>
          <w:tcPr>
            <w:tcW w:w="815" w:type="dxa"/>
            <w:noWrap/>
            <w:vAlign w:val="center"/>
          </w:tcPr>
          <w:p w14:paraId="7BF26D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21A540EE">
            <w:pPr>
              <w:jc w:val="center"/>
              <w:rPr>
                <w:rFonts w:hint="eastAsia" w:ascii="宋体" w:hAnsi="宋体" w:eastAsia="宋体" w:cs="宋体"/>
                <w:i w:val="0"/>
                <w:iCs w:val="0"/>
                <w:color w:val="000000"/>
                <w:sz w:val="24"/>
                <w:szCs w:val="24"/>
                <w:u w:val="none"/>
              </w:rPr>
            </w:pPr>
          </w:p>
        </w:tc>
      </w:tr>
      <w:tr w14:paraId="77F9D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856" w:type="dxa"/>
            <w:noWrap w:val="0"/>
            <w:vAlign w:val="center"/>
          </w:tcPr>
          <w:p w14:paraId="087721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安全风险分析</w:t>
            </w:r>
          </w:p>
        </w:tc>
        <w:tc>
          <w:tcPr>
            <w:tcW w:w="1938" w:type="dxa"/>
            <w:noWrap w:val="0"/>
            <w:vAlign w:val="center"/>
          </w:tcPr>
          <w:p w14:paraId="0EE20D40">
            <w:pPr>
              <w:jc w:val="center"/>
              <w:rPr>
                <w:rFonts w:hint="eastAsia" w:ascii="宋体" w:hAnsi="宋体" w:eastAsia="宋体" w:cs="宋体"/>
                <w:i w:val="0"/>
                <w:iCs w:val="0"/>
                <w:color w:val="000000"/>
                <w:sz w:val="24"/>
                <w:szCs w:val="24"/>
                <w:u w:val="none"/>
              </w:rPr>
            </w:pPr>
          </w:p>
        </w:tc>
        <w:tc>
          <w:tcPr>
            <w:tcW w:w="3860" w:type="dxa"/>
            <w:noWrap w:val="0"/>
            <w:vAlign w:val="center"/>
          </w:tcPr>
          <w:p w14:paraId="6C66766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对区域内燃气管网、燃气场站、桥隧、供热管网、热力厂等风险评估单元进行风险分析与评价工作，输出初步的风险等级清单。</w:t>
            </w:r>
          </w:p>
        </w:tc>
        <w:tc>
          <w:tcPr>
            <w:tcW w:w="2604" w:type="dxa"/>
            <w:noWrap w:val="0"/>
            <w:vAlign w:val="center"/>
          </w:tcPr>
          <w:p w14:paraId="6542AC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《西安市城市生命线燃气设施/桥隧设施/供热设施风险辨识清单》</w:t>
            </w:r>
          </w:p>
        </w:tc>
        <w:tc>
          <w:tcPr>
            <w:tcW w:w="916" w:type="dxa"/>
            <w:noWrap w:val="0"/>
            <w:vAlign w:val="center"/>
          </w:tcPr>
          <w:p w14:paraId="47CD0C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套</w:t>
            </w:r>
          </w:p>
        </w:tc>
        <w:tc>
          <w:tcPr>
            <w:tcW w:w="1241" w:type="dxa"/>
            <w:noWrap/>
            <w:vAlign w:val="center"/>
          </w:tcPr>
          <w:p w14:paraId="2DE43DF4">
            <w:pPr>
              <w:jc w:val="center"/>
              <w:rPr>
                <w:rFonts w:hint="eastAsia" w:ascii="宋体" w:hAnsi="宋体" w:eastAsia="宋体" w:cs="宋体"/>
                <w:i w:val="0"/>
                <w:iCs w:val="0"/>
                <w:color w:val="000000"/>
                <w:sz w:val="24"/>
                <w:szCs w:val="24"/>
                <w:u w:val="none"/>
              </w:rPr>
            </w:pPr>
          </w:p>
        </w:tc>
        <w:tc>
          <w:tcPr>
            <w:tcW w:w="815" w:type="dxa"/>
            <w:noWrap/>
            <w:vAlign w:val="center"/>
          </w:tcPr>
          <w:p w14:paraId="67AC80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2E7CD22B">
            <w:pPr>
              <w:jc w:val="center"/>
              <w:rPr>
                <w:rFonts w:hint="eastAsia" w:ascii="宋体" w:hAnsi="宋体" w:eastAsia="宋体" w:cs="宋体"/>
                <w:i w:val="0"/>
                <w:iCs w:val="0"/>
                <w:color w:val="000000"/>
                <w:sz w:val="24"/>
                <w:szCs w:val="24"/>
                <w:u w:val="none"/>
              </w:rPr>
            </w:pPr>
          </w:p>
        </w:tc>
      </w:tr>
      <w:tr w14:paraId="44F65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856" w:type="dxa"/>
            <w:noWrap/>
            <w:vAlign w:val="center"/>
          </w:tcPr>
          <w:p w14:paraId="478FBB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安全风险评价</w:t>
            </w:r>
          </w:p>
        </w:tc>
        <w:tc>
          <w:tcPr>
            <w:tcW w:w="1938" w:type="dxa"/>
            <w:noWrap w:val="0"/>
            <w:vAlign w:val="center"/>
          </w:tcPr>
          <w:p w14:paraId="4A04B9DF">
            <w:pPr>
              <w:jc w:val="center"/>
              <w:rPr>
                <w:rFonts w:hint="eastAsia" w:ascii="宋体" w:hAnsi="宋体" w:eastAsia="宋体" w:cs="宋体"/>
                <w:i w:val="0"/>
                <w:iCs w:val="0"/>
                <w:color w:val="000000"/>
                <w:sz w:val="24"/>
                <w:szCs w:val="24"/>
                <w:u w:val="none"/>
              </w:rPr>
            </w:pPr>
          </w:p>
        </w:tc>
        <w:tc>
          <w:tcPr>
            <w:tcW w:w="3860" w:type="dxa"/>
            <w:noWrap w:val="0"/>
            <w:vAlign w:val="center"/>
          </w:tcPr>
          <w:p w14:paraId="0D3D26D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对区域内燃气管网、燃气场站、桥隧、供热管网、热力厂等风险评估单元进行风险分析与评价工作，输出初步的风险等级清单。</w:t>
            </w:r>
          </w:p>
        </w:tc>
        <w:tc>
          <w:tcPr>
            <w:tcW w:w="2604" w:type="dxa"/>
            <w:noWrap w:val="0"/>
            <w:vAlign w:val="center"/>
          </w:tcPr>
          <w:p w14:paraId="390DD5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《西安市城市生命线燃气设施/桥隧设施/供热设施风险辨识清单》</w:t>
            </w:r>
          </w:p>
        </w:tc>
        <w:tc>
          <w:tcPr>
            <w:tcW w:w="916" w:type="dxa"/>
            <w:noWrap w:val="0"/>
            <w:vAlign w:val="center"/>
          </w:tcPr>
          <w:p w14:paraId="0447E9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套</w:t>
            </w:r>
          </w:p>
        </w:tc>
        <w:tc>
          <w:tcPr>
            <w:tcW w:w="1241" w:type="dxa"/>
            <w:noWrap/>
            <w:vAlign w:val="center"/>
          </w:tcPr>
          <w:p w14:paraId="0F3640AE">
            <w:pPr>
              <w:jc w:val="center"/>
              <w:rPr>
                <w:rFonts w:hint="eastAsia" w:ascii="宋体" w:hAnsi="宋体" w:eastAsia="宋体" w:cs="宋体"/>
                <w:i w:val="0"/>
                <w:iCs w:val="0"/>
                <w:color w:val="000000"/>
                <w:sz w:val="24"/>
                <w:szCs w:val="24"/>
                <w:u w:val="none"/>
              </w:rPr>
            </w:pPr>
          </w:p>
        </w:tc>
        <w:tc>
          <w:tcPr>
            <w:tcW w:w="815" w:type="dxa"/>
            <w:noWrap/>
            <w:vAlign w:val="center"/>
          </w:tcPr>
          <w:p w14:paraId="021DDE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2EFD0D09">
            <w:pPr>
              <w:jc w:val="center"/>
              <w:rPr>
                <w:rFonts w:hint="eastAsia" w:ascii="宋体" w:hAnsi="宋体" w:eastAsia="宋体" w:cs="宋体"/>
                <w:i w:val="0"/>
                <w:iCs w:val="0"/>
                <w:color w:val="000000"/>
                <w:sz w:val="24"/>
                <w:szCs w:val="24"/>
                <w:u w:val="none"/>
              </w:rPr>
            </w:pPr>
          </w:p>
        </w:tc>
      </w:tr>
      <w:tr w14:paraId="7F80B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856" w:type="dxa"/>
            <w:vMerge w:val="restart"/>
            <w:noWrap/>
            <w:vAlign w:val="center"/>
          </w:tcPr>
          <w:p w14:paraId="4D9F74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风险评估成果</w:t>
            </w:r>
          </w:p>
        </w:tc>
        <w:tc>
          <w:tcPr>
            <w:tcW w:w="1938" w:type="dxa"/>
            <w:noWrap w:val="0"/>
            <w:vAlign w:val="center"/>
          </w:tcPr>
          <w:p w14:paraId="25A710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风险清单</w:t>
            </w:r>
          </w:p>
        </w:tc>
        <w:tc>
          <w:tcPr>
            <w:tcW w:w="3860" w:type="dxa"/>
            <w:noWrap w:val="0"/>
            <w:vAlign w:val="center"/>
          </w:tcPr>
          <w:p w14:paraId="4B436AF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在汇总分析城市生命线评价加过的基础上，结合现场核查结果，对风险进行辨识、最终形成风险清单，本项服务可提供城市燃气、桥隧、供热行业风险清单。</w:t>
            </w:r>
          </w:p>
        </w:tc>
        <w:tc>
          <w:tcPr>
            <w:tcW w:w="2604" w:type="dxa"/>
            <w:noWrap w:val="0"/>
            <w:vAlign w:val="center"/>
          </w:tcPr>
          <w:p w14:paraId="1631B3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w:t>
            </w:r>
            <w:r>
              <w:rPr>
                <w:rFonts w:hint="eastAsia" w:ascii="宋体" w:hAnsi="宋体" w:cs="宋体"/>
                <w:i w:val="0"/>
                <w:iCs w:val="0"/>
                <w:color w:val="000000"/>
                <w:kern w:val="0"/>
                <w:sz w:val="24"/>
                <w:szCs w:val="24"/>
                <w:u w:val="none"/>
                <w:lang w:val="en-US" w:eastAsia="zh-CN" w:bidi="ar"/>
              </w:rPr>
              <w:t>城六区、西咸新区及郊</w:t>
            </w:r>
            <w:r>
              <w:rPr>
                <w:rFonts w:hint="eastAsia" w:ascii="宋体" w:hAnsi="宋体" w:eastAsia="宋体" w:cs="宋体"/>
                <w:i w:val="0"/>
                <w:iCs w:val="0"/>
                <w:color w:val="000000"/>
                <w:kern w:val="0"/>
                <w:sz w:val="24"/>
                <w:szCs w:val="24"/>
                <w:u w:val="none"/>
                <w:lang w:val="en-US" w:eastAsia="zh-CN" w:bidi="ar"/>
              </w:rPr>
              <w:t>区</w:t>
            </w:r>
            <w:r>
              <w:rPr>
                <w:rFonts w:hint="eastAsia" w:ascii="宋体" w:hAnsi="宋体" w:cs="宋体"/>
                <w:i w:val="0"/>
                <w:iCs w:val="0"/>
                <w:color w:val="000000"/>
                <w:kern w:val="0"/>
                <w:sz w:val="24"/>
                <w:szCs w:val="24"/>
                <w:u w:val="none"/>
                <w:lang w:val="en-US" w:eastAsia="zh-CN" w:bidi="ar"/>
              </w:rPr>
              <w:t>县</w:t>
            </w:r>
            <w:r>
              <w:rPr>
                <w:rFonts w:hint="eastAsia" w:ascii="宋体" w:hAnsi="宋体" w:eastAsia="宋体" w:cs="宋体"/>
                <w:i w:val="0"/>
                <w:iCs w:val="0"/>
                <w:color w:val="000000"/>
                <w:kern w:val="0"/>
                <w:sz w:val="24"/>
                <w:szCs w:val="24"/>
                <w:u w:val="none"/>
                <w:lang w:val="en-US" w:eastAsia="zh-CN" w:bidi="ar"/>
              </w:rPr>
              <w:t>城市生命线风险清单》</w:t>
            </w:r>
          </w:p>
        </w:tc>
        <w:tc>
          <w:tcPr>
            <w:tcW w:w="916" w:type="dxa"/>
            <w:noWrap w:val="0"/>
            <w:vAlign w:val="center"/>
          </w:tcPr>
          <w:p w14:paraId="01BF7A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r>
              <w:rPr>
                <w:rFonts w:hint="eastAsia" w:ascii="宋体" w:hAnsi="宋体" w:cs="宋体"/>
                <w:i w:val="0"/>
                <w:iCs w:val="0"/>
                <w:color w:val="000000"/>
                <w:kern w:val="0"/>
                <w:sz w:val="24"/>
                <w:szCs w:val="24"/>
                <w:u w:val="none"/>
                <w:lang w:val="en-US" w:eastAsia="zh-CN" w:bidi="ar"/>
              </w:rPr>
              <w:t>套</w:t>
            </w:r>
          </w:p>
        </w:tc>
        <w:tc>
          <w:tcPr>
            <w:tcW w:w="1241" w:type="dxa"/>
            <w:noWrap/>
            <w:vAlign w:val="center"/>
          </w:tcPr>
          <w:p w14:paraId="2D6A2115">
            <w:pPr>
              <w:jc w:val="center"/>
              <w:rPr>
                <w:rFonts w:hint="eastAsia" w:ascii="宋体" w:hAnsi="宋体" w:eastAsia="宋体" w:cs="宋体"/>
                <w:i w:val="0"/>
                <w:iCs w:val="0"/>
                <w:color w:val="000000"/>
                <w:sz w:val="24"/>
                <w:szCs w:val="24"/>
                <w:u w:val="none"/>
              </w:rPr>
            </w:pPr>
          </w:p>
        </w:tc>
        <w:tc>
          <w:tcPr>
            <w:tcW w:w="815" w:type="dxa"/>
            <w:noWrap/>
            <w:vAlign w:val="center"/>
          </w:tcPr>
          <w:p w14:paraId="59572C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70FE963A">
            <w:pPr>
              <w:jc w:val="center"/>
              <w:rPr>
                <w:rFonts w:hint="eastAsia" w:ascii="宋体" w:hAnsi="宋体" w:eastAsia="宋体" w:cs="宋体"/>
                <w:i w:val="0"/>
                <w:iCs w:val="0"/>
                <w:color w:val="000000"/>
                <w:sz w:val="24"/>
                <w:szCs w:val="24"/>
                <w:u w:val="none"/>
              </w:rPr>
            </w:pPr>
          </w:p>
        </w:tc>
      </w:tr>
      <w:tr w14:paraId="10A23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856" w:type="dxa"/>
            <w:vMerge w:val="continue"/>
            <w:noWrap/>
            <w:vAlign w:val="center"/>
          </w:tcPr>
          <w:p w14:paraId="0B0A61A4">
            <w:pPr>
              <w:jc w:val="center"/>
              <w:rPr>
                <w:rFonts w:hint="eastAsia" w:ascii="宋体" w:hAnsi="宋体" w:eastAsia="宋体" w:cs="宋体"/>
                <w:i w:val="0"/>
                <w:iCs w:val="0"/>
                <w:color w:val="000000"/>
                <w:sz w:val="24"/>
                <w:szCs w:val="24"/>
                <w:u w:val="none"/>
              </w:rPr>
            </w:pPr>
          </w:p>
        </w:tc>
        <w:tc>
          <w:tcPr>
            <w:tcW w:w="1938" w:type="dxa"/>
            <w:noWrap/>
            <w:vAlign w:val="center"/>
          </w:tcPr>
          <w:p w14:paraId="705EC60A">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四色图</w:t>
            </w:r>
            <w:r>
              <w:rPr>
                <w:rFonts w:hint="eastAsia" w:ascii="宋体" w:hAnsi="宋体" w:cs="宋体"/>
                <w:i w:val="0"/>
                <w:iCs w:val="0"/>
                <w:color w:val="000000"/>
                <w:kern w:val="0"/>
                <w:sz w:val="24"/>
                <w:szCs w:val="24"/>
                <w:u w:val="none"/>
                <w:lang w:val="en-US" w:eastAsia="zh-CN" w:bidi="ar"/>
              </w:rPr>
              <w:t>绘制</w:t>
            </w:r>
          </w:p>
        </w:tc>
        <w:tc>
          <w:tcPr>
            <w:tcW w:w="3860" w:type="dxa"/>
            <w:noWrap w:val="0"/>
            <w:vAlign w:val="center"/>
          </w:tcPr>
          <w:p w14:paraId="49302A4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结合己有的GIS、各项基础数据、风险源数据、地上防护目标数据以及数据分析结果绘制风险四色图</w:t>
            </w:r>
          </w:p>
        </w:tc>
        <w:tc>
          <w:tcPr>
            <w:tcW w:w="2604" w:type="dxa"/>
            <w:noWrap/>
            <w:vAlign w:val="center"/>
          </w:tcPr>
          <w:p w14:paraId="513266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w:t>
            </w:r>
            <w:r>
              <w:rPr>
                <w:rFonts w:hint="eastAsia" w:ascii="宋体" w:hAnsi="宋体" w:cs="宋体"/>
                <w:i w:val="0"/>
                <w:iCs w:val="0"/>
                <w:color w:val="000000"/>
                <w:kern w:val="0"/>
                <w:sz w:val="24"/>
                <w:szCs w:val="24"/>
                <w:u w:val="none"/>
                <w:lang w:val="en-US" w:eastAsia="zh-CN" w:bidi="ar"/>
              </w:rPr>
              <w:t>城六区、西咸新区及郊</w:t>
            </w:r>
            <w:r>
              <w:rPr>
                <w:rFonts w:hint="eastAsia" w:ascii="宋体" w:hAnsi="宋体" w:eastAsia="宋体" w:cs="宋体"/>
                <w:i w:val="0"/>
                <w:iCs w:val="0"/>
                <w:color w:val="000000"/>
                <w:kern w:val="0"/>
                <w:sz w:val="24"/>
                <w:szCs w:val="24"/>
                <w:u w:val="none"/>
                <w:lang w:val="en-US" w:eastAsia="zh-CN" w:bidi="ar"/>
              </w:rPr>
              <w:t>区</w:t>
            </w:r>
            <w:r>
              <w:rPr>
                <w:rFonts w:hint="eastAsia" w:ascii="宋体" w:hAnsi="宋体" w:cs="宋体"/>
                <w:i w:val="0"/>
                <w:iCs w:val="0"/>
                <w:color w:val="000000"/>
                <w:kern w:val="0"/>
                <w:sz w:val="24"/>
                <w:szCs w:val="24"/>
                <w:u w:val="none"/>
                <w:lang w:val="en-US" w:eastAsia="zh-CN" w:bidi="ar"/>
              </w:rPr>
              <w:t>县</w:t>
            </w:r>
            <w:r>
              <w:rPr>
                <w:rFonts w:hint="eastAsia" w:ascii="宋体" w:hAnsi="宋体" w:eastAsia="宋体" w:cs="宋体"/>
                <w:i w:val="0"/>
                <w:iCs w:val="0"/>
                <w:color w:val="000000"/>
                <w:kern w:val="0"/>
                <w:sz w:val="24"/>
                <w:szCs w:val="24"/>
                <w:u w:val="none"/>
                <w:lang w:val="en-US" w:eastAsia="zh-CN" w:bidi="ar"/>
              </w:rPr>
              <w:t>风险四色图》</w:t>
            </w:r>
          </w:p>
        </w:tc>
        <w:tc>
          <w:tcPr>
            <w:tcW w:w="916" w:type="dxa"/>
            <w:noWrap/>
            <w:vAlign w:val="center"/>
          </w:tcPr>
          <w:p w14:paraId="7AAEB8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r>
              <w:rPr>
                <w:rFonts w:hint="eastAsia" w:ascii="宋体" w:hAnsi="宋体" w:cs="宋体"/>
                <w:i w:val="0"/>
                <w:iCs w:val="0"/>
                <w:color w:val="000000"/>
                <w:kern w:val="0"/>
                <w:sz w:val="24"/>
                <w:szCs w:val="24"/>
                <w:u w:val="none"/>
                <w:lang w:val="en-US" w:eastAsia="zh-CN" w:bidi="ar"/>
              </w:rPr>
              <w:t>套</w:t>
            </w:r>
          </w:p>
        </w:tc>
        <w:tc>
          <w:tcPr>
            <w:tcW w:w="1241" w:type="dxa"/>
            <w:noWrap/>
            <w:vAlign w:val="center"/>
          </w:tcPr>
          <w:p w14:paraId="3B5394E9">
            <w:pPr>
              <w:jc w:val="center"/>
              <w:rPr>
                <w:rFonts w:hint="eastAsia" w:ascii="宋体" w:hAnsi="宋体" w:eastAsia="宋体" w:cs="宋体"/>
                <w:i w:val="0"/>
                <w:iCs w:val="0"/>
                <w:color w:val="000000"/>
                <w:sz w:val="24"/>
                <w:szCs w:val="24"/>
                <w:u w:val="none"/>
              </w:rPr>
            </w:pPr>
          </w:p>
        </w:tc>
        <w:tc>
          <w:tcPr>
            <w:tcW w:w="815" w:type="dxa"/>
            <w:noWrap/>
            <w:vAlign w:val="center"/>
          </w:tcPr>
          <w:p w14:paraId="705E81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56E2FD8F">
            <w:pPr>
              <w:jc w:val="center"/>
              <w:rPr>
                <w:rFonts w:hint="eastAsia" w:ascii="宋体" w:hAnsi="宋体" w:eastAsia="宋体" w:cs="宋体"/>
                <w:i w:val="0"/>
                <w:iCs w:val="0"/>
                <w:color w:val="000000"/>
                <w:sz w:val="24"/>
                <w:szCs w:val="24"/>
                <w:u w:val="none"/>
              </w:rPr>
            </w:pPr>
          </w:p>
        </w:tc>
      </w:tr>
      <w:tr w14:paraId="4B4E7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856" w:type="dxa"/>
            <w:vMerge w:val="continue"/>
            <w:noWrap/>
            <w:vAlign w:val="center"/>
          </w:tcPr>
          <w:p w14:paraId="26C93998">
            <w:pPr>
              <w:jc w:val="center"/>
              <w:rPr>
                <w:rFonts w:hint="eastAsia" w:ascii="宋体" w:hAnsi="宋体" w:eastAsia="宋体" w:cs="宋体"/>
                <w:i w:val="0"/>
                <w:iCs w:val="0"/>
                <w:color w:val="000000"/>
                <w:sz w:val="24"/>
                <w:szCs w:val="24"/>
                <w:u w:val="none"/>
              </w:rPr>
            </w:pPr>
          </w:p>
        </w:tc>
        <w:tc>
          <w:tcPr>
            <w:tcW w:w="1938" w:type="dxa"/>
            <w:noWrap/>
            <w:vAlign w:val="center"/>
          </w:tcPr>
          <w:p w14:paraId="08823E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风险评估报告</w:t>
            </w:r>
          </w:p>
        </w:tc>
        <w:tc>
          <w:tcPr>
            <w:tcW w:w="3860" w:type="dxa"/>
            <w:noWrap w:val="0"/>
            <w:vAlign w:val="center"/>
          </w:tcPr>
          <w:p w14:paraId="6D377D7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基于风险分级结果输出XX区城市生命线安全风险评估报告，报告涵盖城市燃气、桥隧、供热行业安全运行现状风险辨识、评估结果以及风险处置建议措施等。</w:t>
            </w:r>
          </w:p>
        </w:tc>
        <w:tc>
          <w:tcPr>
            <w:tcW w:w="2604" w:type="dxa"/>
            <w:noWrap w:val="0"/>
            <w:vAlign w:val="center"/>
          </w:tcPr>
          <w:p w14:paraId="104D03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《西安市</w:t>
            </w:r>
            <w:r>
              <w:rPr>
                <w:rFonts w:hint="eastAsia" w:ascii="宋体" w:hAnsi="宋体" w:cs="宋体"/>
                <w:i w:val="0"/>
                <w:iCs w:val="0"/>
                <w:color w:val="000000"/>
                <w:kern w:val="0"/>
                <w:sz w:val="24"/>
                <w:szCs w:val="24"/>
                <w:u w:val="none"/>
                <w:lang w:val="en-US" w:eastAsia="zh-CN" w:bidi="ar"/>
              </w:rPr>
              <w:t>城六区、西咸新区及郊</w:t>
            </w:r>
            <w:r>
              <w:rPr>
                <w:rFonts w:hint="eastAsia" w:ascii="宋体" w:hAnsi="宋体" w:eastAsia="宋体" w:cs="宋体"/>
                <w:i w:val="0"/>
                <w:iCs w:val="0"/>
                <w:color w:val="000000"/>
                <w:kern w:val="0"/>
                <w:sz w:val="24"/>
                <w:szCs w:val="24"/>
                <w:u w:val="none"/>
                <w:lang w:val="en-US" w:eastAsia="zh-CN" w:bidi="ar"/>
              </w:rPr>
              <w:t>区</w:t>
            </w:r>
            <w:r>
              <w:rPr>
                <w:rFonts w:hint="eastAsia" w:ascii="宋体" w:hAnsi="宋体" w:cs="宋体"/>
                <w:i w:val="0"/>
                <w:iCs w:val="0"/>
                <w:color w:val="000000"/>
                <w:kern w:val="0"/>
                <w:sz w:val="24"/>
                <w:szCs w:val="24"/>
                <w:u w:val="none"/>
                <w:lang w:val="en-US" w:eastAsia="zh-CN" w:bidi="ar"/>
              </w:rPr>
              <w:t>县</w:t>
            </w:r>
            <w:r>
              <w:rPr>
                <w:rFonts w:hint="eastAsia" w:ascii="宋体" w:hAnsi="宋体" w:eastAsia="宋体" w:cs="宋体"/>
                <w:i w:val="0"/>
                <w:iCs w:val="0"/>
                <w:color w:val="000000"/>
                <w:kern w:val="0"/>
                <w:sz w:val="24"/>
                <w:szCs w:val="24"/>
                <w:u w:val="none"/>
                <w:lang w:val="en-US" w:eastAsia="zh-CN" w:bidi="ar"/>
              </w:rPr>
              <w:t>城市生命线安全风险评估报告》</w:t>
            </w:r>
          </w:p>
        </w:tc>
        <w:tc>
          <w:tcPr>
            <w:tcW w:w="916" w:type="dxa"/>
            <w:noWrap/>
            <w:vAlign w:val="center"/>
          </w:tcPr>
          <w:p w14:paraId="253AA83A">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8</w:t>
            </w:r>
            <w:r>
              <w:rPr>
                <w:rFonts w:hint="eastAsia" w:ascii="宋体" w:hAnsi="宋体" w:cs="宋体"/>
                <w:i w:val="0"/>
                <w:iCs w:val="0"/>
                <w:color w:val="000000"/>
                <w:kern w:val="0"/>
                <w:sz w:val="24"/>
                <w:szCs w:val="24"/>
                <w:u w:val="none"/>
                <w:lang w:val="en-US" w:eastAsia="zh-CN" w:bidi="ar"/>
              </w:rPr>
              <w:t>套</w:t>
            </w:r>
          </w:p>
        </w:tc>
        <w:tc>
          <w:tcPr>
            <w:tcW w:w="1241" w:type="dxa"/>
            <w:noWrap/>
            <w:vAlign w:val="center"/>
          </w:tcPr>
          <w:p w14:paraId="7315FBA0">
            <w:pPr>
              <w:jc w:val="center"/>
              <w:rPr>
                <w:rFonts w:hint="eastAsia" w:ascii="宋体" w:hAnsi="宋体" w:eastAsia="宋体" w:cs="宋体"/>
                <w:i w:val="0"/>
                <w:iCs w:val="0"/>
                <w:color w:val="000000"/>
                <w:sz w:val="24"/>
                <w:szCs w:val="24"/>
                <w:u w:val="none"/>
              </w:rPr>
            </w:pPr>
          </w:p>
        </w:tc>
        <w:tc>
          <w:tcPr>
            <w:tcW w:w="815" w:type="dxa"/>
            <w:noWrap/>
            <w:vAlign w:val="center"/>
          </w:tcPr>
          <w:p w14:paraId="2CF5F3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3248F730">
            <w:pPr>
              <w:jc w:val="center"/>
              <w:rPr>
                <w:rFonts w:hint="eastAsia" w:ascii="宋体" w:hAnsi="宋体" w:eastAsia="宋体" w:cs="宋体"/>
                <w:i w:val="0"/>
                <w:iCs w:val="0"/>
                <w:color w:val="000000"/>
                <w:sz w:val="24"/>
                <w:szCs w:val="24"/>
                <w:u w:val="none"/>
              </w:rPr>
            </w:pPr>
          </w:p>
        </w:tc>
      </w:tr>
      <w:tr w14:paraId="2F169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856" w:type="dxa"/>
            <w:vMerge w:val="restart"/>
            <w:noWrap/>
            <w:vAlign w:val="center"/>
          </w:tcPr>
          <w:p w14:paraId="666067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风险运维服务</w:t>
            </w:r>
          </w:p>
        </w:tc>
        <w:tc>
          <w:tcPr>
            <w:tcW w:w="1938" w:type="dxa"/>
            <w:noWrap/>
            <w:vAlign w:val="center"/>
          </w:tcPr>
          <w:p w14:paraId="56D5BD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风险评估动态更新</w:t>
            </w:r>
          </w:p>
        </w:tc>
        <w:tc>
          <w:tcPr>
            <w:tcW w:w="3860" w:type="dxa"/>
            <w:noWrap w:val="0"/>
            <w:vAlign w:val="center"/>
          </w:tcPr>
          <w:p w14:paraId="49242F1F">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每年结合监测报警情况，预警处置情况、更新改造情况对前期风险评估结果进行动态更新，输出更新的风险清单。</w:t>
            </w:r>
            <w:r>
              <w:rPr>
                <w:rFonts w:hint="eastAsia" w:ascii="宋体" w:hAnsi="宋体" w:cs="宋体"/>
                <w:i w:val="0"/>
                <w:iCs w:val="0"/>
                <w:color w:val="000000"/>
                <w:kern w:val="0"/>
                <w:sz w:val="24"/>
                <w:szCs w:val="24"/>
                <w:u w:val="none"/>
                <w:lang w:val="en-US" w:eastAsia="zh-CN" w:bidi="ar"/>
              </w:rPr>
              <w:t>服务期限：3年</w:t>
            </w:r>
          </w:p>
        </w:tc>
        <w:tc>
          <w:tcPr>
            <w:tcW w:w="2604" w:type="dxa"/>
            <w:noWrap/>
            <w:vAlign w:val="center"/>
          </w:tcPr>
          <w:p w14:paraId="317A087A">
            <w:pPr>
              <w:jc w:val="right"/>
              <w:rPr>
                <w:rFonts w:hint="eastAsia" w:ascii="宋体" w:hAnsi="宋体" w:eastAsia="宋体" w:cs="宋体"/>
                <w:i w:val="0"/>
                <w:iCs w:val="0"/>
                <w:color w:val="000000"/>
                <w:sz w:val="24"/>
                <w:szCs w:val="24"/>
                <w:u w:val="none"/>
              </w:rPr>
            </w:pPr>
          </w:p>
        </w:tc>
        <w:tc>
          <w:tcPr>
            <w:tcW w:w="916" w:type="dxa"/>
            <w:vMerge w:val="restart"/>
            <w:noWrap/>
            <w:vAlign w:val="center"/>
          </w:tcPr>
          <w:p w14:paraId="4DC0FF5A">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年</w:t>
            </w:r>
          </w:p>
        </w:tc>
        <w:tc>
          <w:tcPr>
            <w:tcW w:w="1241" w:type="dxa"/>
            <w:vMerge w:val="restart"/>
            <w:noWrap/>
            <w:vAlign w:val="center"/>
          </w:tcPr>
          <w:p w14:paraId="5B06AFAC">
            <w:pPr>
              <w:jc w:val="center"/>
              <w:rPr>
                <w:rFonts w:hint="eastAsia" w:ascii="宋体" w:hAnsi="宋体" w:eastAsia="宋体" w:cs="宋体"/>
                <w:i w:val="0"/>
                <w:iCs w:val="0"/>
                <w:color w:val="000000"/>
                <w:sz w:val="24"/>
                <w:szCs w:val="24"/>
                <w:u w:val="none"/>
              </w:rPr>
            </w:pPr>
            <w:bookmarkStart w:id="0" w:name="_GoBack"/>
            <w:bookmarkEnd w:id="0"/>
          </w:p>
        </w:tc>
        <w:tc>
          <w:tcPr>
            <w:tcW w:w="815" w:type="dxa"/>
            <w:vMerge w:val="restart"/>
            <w:noWrap/>
            <w:vAlign w:val="center"/>
          </w:tcPr>
          <w:p w14:paraId="35E382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vMerge w:val="restart"/>
            <w:noWrap/>
            <w:vAlign w:val="center"/>
          </w:tcPr>
          <w:p w14:paraId="61119B9F">
            <w:pPr>
              <w:jc w:val="center"/>
              <w:rPr>
                <w:rFonts w:hint="eastAsia" w:ascii="宋体" w:hAnsi="宋体" w:eastAsia="宋体" w:cs="宋体"/>
                <w:i w:val="0"/>
                <w:iCs w:val="0"/>
                <w:color w:val="000000"/>
                <w:sz w:val="24"/>
                <w:szCs w:val="24"/>
                <w:u w:val="none"/>
              </w:rPr>
            </w:pPr>
          </w:p>
        </w:tc>
      </w:tr>
      <w:tr w14:paraId="7A4EF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856" w:type="dxa"/>
            <w:vMerge w:val="continue"/>
            <w:noWrap/>
            <w:vAlign w:val="center"/>
          </w:tcPr>
          <w:p w14:paraId="33F3731B">
            <w:pPr>
              <w:jc w:val="center"/>
              <w:rPr>
                <w:rFonts w:hint="eastAsia" w:ascii="宋体" w:hAnsi="宋体" w:eastAsia="宋体" w:cs="宋体"/>
                <w:i w:val="0"/>
                <w:iCs w:val="0"/>
                <w:color w:val="000000"/>
                <w:sz w:val="24"/>
                <w:szCs w:val="24"/>
                <w:u w:val="none"/>
              </w:rPr>
            </w:pPr>
          </w:p>
        </w:tc>
        <w:tc>
          <w:tcPr>
            <w:tcW w:w="1938" w:type="dxa"/>
            <w:vMerge w:val="restart"/>
            <w:noWrap/>
            <w:vAlign w:val="center"/>
          </w:tcPr>
          <w:p w14:paraId="7C2D34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风险评估报告</w:t>
            </w:r>
          </w:p>
        </w:tc>
        <w:tc>
          <w:tcPr>
            <w:tcW w:w="3860" w:type="dxa"/>
            <w:noWrap/>
            <w:vAlign w:val="center"/>
          </w:tcPr>
          <w:p w14:paraId="3E0706F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每年输出更新后的风险四色图。</w:t>
            </w:r>
            <w:r>
              <w:rPr>
                <w:rFonts w:hint="eastAsia" w:ascii="宋体" w:hAnsi="宋体" w:cs="宋体"/>
                <w:i w:val="0"/>
                <w:iCs w:val="0"/>
                <w:color w:val="000000"/>
                <w:kern w:val="0"/>
                <w:sz w:val="24"/>
                <w:szCs w:val="24"/>
                <w:u w:val="none"/>
                <w:lang w:val="en-US" w:eastAsia="zh-CN" w:bidi="ar"/>
              </w:rPr>
              <w:t>服务期限：3年</w:t>
            </w:r>
          </w:p>
        </w:tc>
        <w:tc>
          <w:tcPr>
            <w:tcW w:w="2604" w:type="dxa"/>
            <w:noWrap/>
            <w:vAlign w:val="center"/>
          </w:tcPr>
          <w:p w14:paraId="15E9A030">
            <w:pPr>
              <w:jc w:val="right"/>
              <w:rPr>
                <w:rFonts w:hint="eastAsia" w:ascii="宋体" w:hAnsi="宋体" w:eastAsia="宋体" w:cs="宋体"/>
                <w:i w:val="0"/>
                <w:iCs w:val="0"/>
                <w:color w:val="000000"/>
                <w:sz w:val="24"/>
                <w:szCs w:val="24"/>
                <w:u w:val="none"/>
              </w:rPr>
            </w:pPr>
          </w:p>
        </w:tc>
        <w:tc>
          <w:tcPr>
            <w:tcW w:w="916" w:type="dxa"/>
            <w:vMerge w:val="continue"/>
            <w:noWrap/>
            <w:vAlign w:val="center"/>
          </w:tcPr>
          <w:p w14:paraId="275C6DEE">
            <w:pPr>
              <w:jc w:val="center"/>
              <w:rPr>
                <w:rFonts w:hint="eastAsia" w:ascii="宋体" w:hAnsi="宋体" w:eastAsia="宋体" w:cs="宋体"/>
                <w:i w:val="0"/>
                <w:iCs w:val="0"/>
                <w:color w:val="000000"/>
                <w:sz w:val="24"/>
                <w:szCs w:val="24"/>
                <w:u w:val="none"/>
              </w:rPr>
            </w:pPr>
          </w:p>
        </w:tc>
        <w:tc>
          <w:tcPr>
            <w:tcW w:w="1241" w:type="dxa"/>
            <w:vMerge w:val="continue"/>
            <w:noWrap/>
            <w:vAlign w:val="center"/>
          </w:tcPr>
          <w:p w14:paraId="3FB49413">
            <w:pPr>
              <w:jc w:val="center"/>
              <w:rPr>
                <w:rFonts w:hint="eastAsia" w:ascii="宋体" w:hAnsi="宋体" w:eastAsia="宋体" w:cs="宋体"/>
                <w:i w:val="0"/>
                <w:iCs w:val="0"/>
                <w:color w:val="000000"/>
                <w:sz w:val="24"/>
                <w:szCs w:val="24"/>
                <w:u w:val="none"/>
              </w:rPr>
            </w:pPr>
          </w:p>
        </w:tc>
        <w:tc>
          <w:tcPr>
            <w:tcW w:w="815" w:type="dxa"/>
            <w:vMerge w:val="continue"/>
            <w:noWrap/>
            <w:vAlign w:val="center"/>
          </w:tcPr>
          <w:p w14:paraId="7C1AC924">
            <w:pPr>
              <w:jc w:val="center"/>
              <w:rPr>
                <w:rFonts w:hint="eastAsia" w:ascii="宋体" w:hAnsi="宋体" w:eastAsia="宋体" w:cs="宋体"/>
                <w:i w:val="0"/>
                <w:iCs w:val="0"/>
                <w:color w:val="000000"/>
                <w:sz w:val="24"/>
                <w:szCs w:val="24"/>
                <w:u w:val="none"/>
              </w:rPr>
            </w:pPr>
          </w:p>
        </w:tc>
        <w:tc>
          <w:tcPr>
            <w:tcW w:w="725" w:type="dxa"/>
            <w:vMerge w:val="continue"/>
            <w:noWrap/>
            <w:vAlign w:val="center"/>
          </w:tcPr>
          <w:p w14:paraId="74CFA2AF">
            <w:pPr>
              <w:jc w:val="center"/>
              <w:rPr>
                <w:rFonts w:hint="eastAsia" w:ascii="宋体" w:hAnsi="宋体" w:eastAsia="宋体" w:cs="宋体"/>
                <w:i w:val="0"/>
                <w:iCs w:val="0"/>
                <w:color w:val="000000"/>
                <w:sz w:val="24"/>
                <w:szCs w:val="24"/>
                <w:u w:val="none"/>
              </w:rPr>
            </w:pPr>
          </w:p>
        </w:tc>
      </w:tr>
      <w:tr w14:paraId="64EBA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856" w:type="dxa"/>
            <w:vMerge w:val="continue"/>
            <w:noWrap/>
            <w:vAlign w:val="center"/>
          </w:tcPr>
          <w:p w14:paraId="67403B03">
            <w:pPr>
              <w:jc w:val="center"/>
              <w:rPr>
                <w:rFonts w:hint="eastAsia" w:ascii="宋体" w:hAnsi="宋体" w:eastAsia="宋体" w:cs="宋体"/>
                <w:i w:val="0"/>
                <w:iCs w:val="0"/>
                <w:color w:val="000000"/>
                <w:sz w:val="24"/>
                <w:szCs w:val="24"/>
                <w:u w:val="none"/>
              </w:rPr>
            </w:pPr>
          </w:p>
        </w:tc>
        <w:tc>
          <w:tcPr>
            <w:tcW w:w="1938" w:type="dxa"/>
            <w:vMerge w:val="continue"/>
            <w:noWrap/>
            <w:vAlign w:val="center"/>
          </w:tcPr>
          <w:p w14:paraId="1169BAD7">
            <w:pPr>
              <w:jc w:val="center"/>
              <w:rPr>
                <w:rFonts w:hint="eastAsia" w:ascii="宋体" w:hAnsi="宋体" w:eastAsia="宋体" w:cs="宋体"/>
                <w:i w:val="0"/>
                <w:iCs w:val="0"/>
                <w:color w:val="000000"/>
                <w:sz w:val="24"/>
                <w:szCs w:val="24"/>
                <w:u w:val="none"/>
              </w:rPr>
            </w:pPr>
          </w:p>
        </w:tc>
        <w:tc>
          <w:tcPr>
            <w:tcW w:w="3860" w:type="dxa"/>
            <w:noWrap w:val="0"/>
            <w:vAlign w:val="center"/>
          </w:tcPr>
          <w:p w14:paraId="22EB25E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每年输出更新后的风险评估报告，更新风险管控建议和措施，指导布点优化。</w:t>
            </w:r>
            <w:r>
              <w:rPr>
                <w:rFonts w:hint="eastAsia" w:ascii="宋体" w:hAnsi="宋体" w:cs="宋体"/>
                <w:i w:val="0"/>
                <w:iCs w:val="0"/>
                <w:color w:val="000000"/>
                <w:kern w:val="0"/>
                <w:sz w:val="24"/>
                <w:szCs w:val="24"/>
                <w:u w:val="none"/>
                <w:lang w:val="en-US" w:eastAsia="zh-CN" w:bidi="ar"/>
              </w:rPr>
              <w:t>服务期限：3年</w:t>
            </w:r>
          </w:p>
        </w:tc>
        <w:tc>
          <w:tcPr>
            <w:tcW w:w="2604" w:type="dxa"/>
            <w:noWrap/>
            <w:vAlign w:val="center"/>
          </w:tcPr>
          <w:p w14:paraId="4841433A">
            <w:pPr>
              <w:jc w:val="right"/>
              <w:rPr>
                <w:rFonts w:hint="eastAsia" w:ascii="宋体" w:hAnsi="宋体" w:eastAsia="宋体" w:cs="宋体"/>
                <w:i w:val="0"/>
                <w:iCs w:val="0"/>
                <w:color w:val="000000"/>
                <w:sz w:val="24"/>
                <w:szCs w:val="24"/>
                <w:u w:val="none"/>
              </w:rPr>
            </w:pPr>
          </w:p>
        </w:tc>
        <w:tc>
          <w:tcPr>
            <w:tcW w:w="916" w:type="dxa"/>
            <w:vMerge w:val="continue"/>
            <w:noWrap/>
            <w:vAlign w:val="center"/>
          </w:tcPr>
          <w:p w14:paraId="55EC2FF6">
            <w:pPr>
              <w:jc w:val="center"/>
              <w:rPr>
                <w:rFonts w:hint="eastAsia" w:ascii="宋体" w:hAnsi="宋体" w:eastAsia="宋体" w:cs="宋体"/>
                <w:i w:val="0"/>
                <w:iCs w:val="0"/>
                <w:color w:val="000000"/>
                <w:sz w:val="24"/>
                <w:szCs w:val="24"/>
                <w:u w:val="none"/>
              </w:rPr>
            </w:pPr>
          </w:p>
        </w:tc>
        <w:tc>
          <w:tcPr>
            <w:tcW w:w="1241" w:type="dxa"/>
            <w:vMerge w:val="continue"/>
            <w:noWrap/>
            <w:vAlign w:val="center"/>
          </w:tcPr>
          <w:p w14:paraId="6015CFDD">
            <w:pPr>
              <w:jc w:val="center"/>
              <w:rPr>
                <w:rFonts w:hint="eastAsia" w:ascii="宋体" w:hAnsi="宋体" w:eastAsia="宋体" w:cs="宋体"/>
                <w:i w:val="0"/>
                <w:iCs w:val="0"/>
                <w:color w:val="000000"/>
                <w:sz w:val="24"/>
                <w:szCs w:val="24"/>
                <w:u w:val="none"/>
              </w:rPr>
            </w:pPr>
          </w:p>
        </w:tc>
        <w:tc>
          <w:tcPr>
            <w:tcW w:w="815" w:type="dxa"/>
            <w:vMerge w:val="continue"/>
            <w:noWrap/>
            <w:vAlign w:val="center"/>
          </w:tcPr>
          <w:p w14:paraId="2D754110">
            <w:pPr>
              <w:jc w:val="center"/>
              <w:rPr>
                <w:rFonts w:hint="eastAsia" w:ascii="宋体" w:hAnsi="宋体" w:eastAsia="宋体" w:cs="宋体"/>
                <w:i w:val="0"/>
                <w:iCs w:val="0"/>
                <w:color w:val="000000"/>
                <w:sz w:val="24"/>
                <w:szCs w:val="24"/>
                <w:u w:val="none"/>
              </w:rPr>
            </w:pPr>
          </w:p>
        </w:tc>
        <w:tc>
          <w:tcPr>
            <w:tcW w:w="725" w:type="dxa"/>
            <w:vMerge w:val="continue"/>
            <w:noWrap/>
            <w:vAlign w:val="center"/>
          </w:tcPr>
          <w:p w14:paraId="0DF3A7ED">
            <w:pPr>
              <w:jc w:val="center"/>
              <w:rPr>
                <w:rFonts w:hint="eastAsia" w:ascii="宋体" w:hAnsi="宋体" w:eastAsia="宋体" w:cs="宋体"/>
                <w:i w:val="0"/>
                <w:iCs w:val="0"/>
                <w:color w:val="000000"/>
                <w:sz w:val="24"/>
                <w:szCs w:val="24"/>
                <w:u w:val="none"/>
              </w:rPr>
            </w:pPr>
          </w:p>
        </w:tc>
      </w:tr>
      <w:tr w14:paraId="25933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1856" w:type="dxa"/>
            <w:noWrap/>
            <w:vAlign w:val="center"/>
          </w:tcPr>
          <w:p w14:paraId="5F4A5D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以上合计</w:t>
            </w:r>
          </w:p>
        </w:tc>
        <w:tc>
          <w:tcPr>
            <w:tcW w:w="1938" w:type="dxa"/>
            <w:noWrap/>
            <w:vAlign w:val="center"/>
          </w:tcPr>
          <w:p w14:paraId="05494A7B">
            <w:pPr>
              <w:jc w:val="center"/>
              <w:rPr>
                <w:rFonts w:hint="eastAsia" w:ascii="宋体" w:hAnsi="宋体" w:eastAsia="宋体" w:cs="宋体"/>
                <w:i w:val="0"/>
                <w:iCs w:val="0"/>
                <w:color w:val="000000"/>
                <w:sz w:val="24"/>
                <w:szCs w:val="24"/>
                <w:u w:val="none"/>
              </w:rPr>
            </w:pPr>
          </w:p>
        </w:tc>
        <w:tc>
          <w:tcPr>
            <w:tcW w:w="3860" w:type="dxa"/>
            <w:noWrap/>
            <w:vAlign w:val="center"/>
          </w:tcPr>
          <w:p w14:paraId="71564059">
            <w:pPr>
              <w:jc w:val="left"/>
              <w:rPr>
                <w:rFonts w:hint="eastAsia" w:ascii="宋体" w:hAnsi="宋体" w:eastAsia="宋体" w:cs="宋体"/>
                <w:i w:val="0"/>
                <w:iCs w:val="0"/>
                <w:color w:val="000000"/>
                <w:sz w:val="24"/>
                <w:szCs w:val="24"/>
                <w:u w:val="none"/>
              </w:rPr>
            </w:pPr>
          </w:p>
        </w:tc>
        <w:tc>
          <w:tcPr>
            <w:tcW w:w="2604" w:type="dxa"/>
            <w:noWrap/>
            <w:vAlign w:val="center"/>
          </w:tcPr>
          <w:p w14:paraId="02E751E2">
            <w:pPr>
              <w:jc w:val="center"/>
              <w:rPr>
                <w:rFonts w:hint="eastAsia" w:ascii="宋体" w:hAnsi="宋体" w:eastAsia="宋体" w:cs="宋体"/>
                <w:i w:val="0"/>
                <w:iCs w:val="0"/>
                <w:color w:val="000000"/>
                <w:sz w:val="24"/>
                <w:szCs w:val="24"/>
                <w:u w:val="none"/>
              </w:rPr>
            </w:pPr>
          </w:p>
        </w:tc>
        <w:tc>
          <w:tcPr>
            <w:tcW w:w="916" w:type="dxa"/>
            <w:noWrap/>
            <w:vAlign w:val="center"/>
          </w:tcPr>
          <w:p w14:paraId="38C1E732">
            <w:pPr>
              <w:jc w:val="center"/>
              <w:rPr>
                <w:rFonts w:hint="eastAsia" w:ascii="宋体" w:hAnsi="宋体" w:eastAsia="宋体" w:cs="宋体"/>
                <w:i w:val="0"/>
                <w:iCs w:val="0"/>
                <w:color w:val="000000"/>
                <w:sz w:val="24"/>
                <w:szCs w:val="24"/>
                <w:u w:val="none"/>
              </w:rPr>
            </w:pPr>
          </w:p>
        </w:tc>
        <w:tc>
          <w:tcPr>
            <w:tcW w:w="2056" w:type="dxa"/>
            <w:gridSpan w:val="2"/>
            <w:noWrap/>
            <w:vAlign w:val="center"/>
          </w:tcPr>
          <w:p w14:paraId="74E10A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725" w:type="dxa"/>
            <w:noWrap/>
            <w:vAlign w:val="center"/>
          </w:tcPr>
          <w:p w14:paraId="4EA144A6">
            <w:pPr>
              <w:jc w:val="center"/>
              <w:rPr>
                <w:rFonts w:hint="eastAsia" w:ascii="宋体" w:hAnsi="宋体" w:eastAsia="宋体" w:cs="宋体"/>
                <w:i w:val="0"/>
                <w:iCs w:val="0"/>
                <w:color w:val="000000"/>
                <w:sz w:val="24"/>
                <w:szCs w:val="24"/>
                <w:u w:val="none"/>
              </w:rPr>
            </w:pPr>
          </w:p>
        </w:tc>
      </w:tr>
    </w:tbl>
    <w:p w14:paraId="3529B5F2"/>
    <w:p w14:paraId="3B0E5749">
      <w:pPr>
        <w:pStyle w:val="2"/>
      </w:pPr>
    </w:p>
    <w:p w14:paraId="3B8DD6A8">
      <w:pPr>
        <w:pStyle w:val="2"/>
      </w:pPr>
    </w:p>
    <w:tbl>
      <w:tblPr>
        <w:tblStyle w:val="4"/>
        <w:tblW w:w="0" w:type="auto"/>
        <w:jc w:val="right"/>
        <w:tblLayout w:type="fixed"/>
        <w:tblCellMar>
          <w:top w:w="0" w:type="dxa"/>
          <w:left w:w="108" w:type="dxa"/>
          <w:bottom w:w="0" w:type="dxa"/>
          <w:right w:w="108" w:type="dxa"/>
        </w:tblCellMar>
      </w:tblPr>
      <w:tblGrid>
        <w:gridCol w:w="2410"/>
        <w:gridCol w:w="287"/>
        <w:gridCol w:w="4107"/>
      </w:tblGrid>
      <w:tr w14:paraId="18F96182">
        <w:tblPrEx>
          <w:tblCellMar>
            <w:top w:w="0" w:type="dxa"/>
            <w:left w:w="108" w:type="dxa"/>
            <w:bottom w:w="0" w:type="dxa"/>
            <w:right w:w="108" w:type="dxa"/>
          </w:tblCellMar>
        </w:tblPrEx>
        <w:trPr>
          <w:trHeight w:val="680" w:hRule="atLeast"/>
          <w:jc w:val="right"/>
        </w:trPr>
        <w:tc>
          <w:tcPr>
            <w:tcW w:w="2410" w:type="dxa"/>
            <w:noWrap w:val="0"/>
            <w:vAlign w:val="bottom"/>
          </w:tcPr>
          <w:p w14:paraId="5D11B296">
            <w:pPr>
              <w:pStyle w:val="3"/>
              <w:jc w:val="distribute"/>
              <w:rPr>
                <w:rFonts w:ascii="仿宋" w:hAnsi="仿宋" w:eastAsia="仿宋"/>
                <w:b w:val="0"/>
                <w:bCs w:val="0"/>
                <w:sz w:val="24"/>
                <w:szCs w:val="24"/>
              </w:rPr>
            </w:pPr>
            <w:r>
              <w:rPr>
                <w:rFonts w:hint="eastAsia" w:ascii="仿宋" w:hAnsi="仿宋" w:eastAsia="仿宋" w:cs="仿宋_GB2312"/>
                <w:b w:val="0"/>
                <w:bCs w:val="0"/>
                <w:sz w:val="24"/>
              </w:rPr>
              <w:t>供应商名称</w:t>
            </w:r>
          </w:p>
        </w:tc>
        <w:tc>
          <w:tcPr>
            <w:tcW w:w="287" w:type="dxa"/>
            <w:noWrap w:val="0"/>
            <w:vAlign w:val="bottom"/>
          </w:tcPr>
          <w:p w14:paraId="695B91D0">
            <w:pPr>
              <w:pStyle w:val="3"/>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4107" w:type="dxa"/>
            <w:noWrap w:val="0"/>
            <w:vAlign w:val="bottom"/>
          </w:tcPr>
          <w:p w14:paraId="68FB19FA">
            <w:pPr>
              <w:pStyle w:val="3"/>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r>
              <w:rPr>
                <w:rFonts w:hint="eastAsia" w:ascii="仿宋" w:hAnsi="仿宋" w:eastAsia="仿宋" w:cs="仿宋_GB2312"/>
                <w:b w:val="0"/>
                <w:bCs w:val="0"/>
                <w:sz w:val="24"/>
                <w:u w:val="single"/>
              </w:rPr>
              <w:t>（公章）</w:t>
            </w:r>
            <w:r>
              <w:rPr>
                <w:rFonts w:hint="eastAsia" w:ascii="仿宋" w:hAnsi="仿宋" w:eastAsia="仿宋"/>
                <w:b w:val="0"/>
                <w:bCs w:val="0"/>
                <w:sz w:val="24"/>
                <w:szCs w:val="24"/>
                <w:u w:val="single"/>
              </w:rPr>
              <w:t xml:space="preserve">           </w:t>
            </w:r>
          </w:p>
        </w:tc>
      </w:tr>
      <w:tr w14:paraId="2294898D">
        <w:tblPrEx>
          <w:tblCellMar>
            <w:top w:w="0" w:type="dxa"/>
            <w:left w:w="108" w:type="dxa"/>
            <w:bottom w:w="0" w:type="dxa"/>
            <w:right w:w="108" w:type="dxa"/>
          </w:tblCellMar>
        </w:tblPrEx>
        <w:trPr>
          <w:trHeight w:val="680" w:hRule="atLeast"/>
          <w:jc w:val="right"/>
        </w:trPr>
        <w:tc>
          <w:tcPr>
            <w:tcW w:w="2410" w:type="dxa"/>
            <w:noWrap w:val="0"/>
            <w:vAlign w:val="bottom"/>
          </w:tcPr>
          <w:p w14:paraId="336F64B7">
            <w:pPr>
              <w:pStyle w:val="3"/>
              <w:jc w:val="distribute"/>
              <w:rPr>
                <w:rFonts w:ascii="仿宋" w:hAnsi="仿宋" w:eastAsia="仿宋"/>
                <w:b w:val="0"/>
                <w:bCs w:val="0"/>
                <w:sz w:val="24"/>
                <w:szCs w:val="24"/>
              </w:rPr>
            </w:pPr>
            <w:r>
              <w:rPr>
                <w:rFonts w:hint="eastAsia" w:ascii="仿宋" w:hAnsi="仿宋" w:eastAsia="仿宋" w:cs="仿宋_GB2312"/>
                <w:b w:val="0"/>
                <w:bCs w:val="0"/>
                <w:sz w:val="24"/>
              </w:rPr>
              <w:t>法定代表人或被授权代表（签字或盖章）</w:t>
            </w:r>
          </w:p>
        </w:tc>
        <w:tc>
          <w:tcPr>
            <w:tcW w:w="287" w:type="dxa"/>
            <w:noWrap w:val="0"/>
            <w:vAlign w:val="bottom"/>
          </w:tcPr>
          <w:p w14:paraId="63AB744D">
            <w:pPr>
              <w:pStyle w:val="3"/>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4107" w:type="dxa"/>
            <w:noWrap w:val="0"/>
            <w:vAlign w:val="bottom"/>
          </w:tcPr>
          <w:p w14:paraId="785303FE">
            <w:pPr>
              <w:pStyle w:val="3"/>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p>
        </w:tc>
      </w:tr>
      <w:tr w14:paraId="77E6FD6B">
        <w:tblPrEx>
          <w:tblCellMar>
            <w:top w:w="0" w:type="dxa"/>
            <w:left w:w="108" w:type="dxa"/>
            <w:bottom w:w="0" w:type="dxa"/>
            <w:right w:w="108" w:type="dxa"/>
          </w:tblCellMar>
        </w:tblPrEx>
        <w:trPr>
          <w:trHeight w:val="680" w:hRule="atLeast"/>
          <w:jc w:val="right"/>
        </w:trPr>
        <w:tc>
          <w:tcPr>
            <w:tcW w:w="2410" w:type="dxa"/>
            <w:noWrap w:val="0"/>
            <w:vAlign w:val="bottom"/>
          </w:tcPr>
          <w:p w14:paraId="69267400">
            <w:pPr>
              <w:pStyle w:val="3"/>
              <w:jc w:val="distribute"/>
              <w:rPr>
                <w:rFonts w:ascii="仿宋" w:hAnsi="仿宋" w:eastAsia="仿宋"/>
                <w:b w:val="0"/>
                <w:bCs w:val="0"/>
                <w:sz w:val="24"/>
                <w:szCs w:val="24"/>
              </w:rPr>
            </w:pPr>
            <w:r>
              <w:rPr>
                <w:rFonts w:hint="eastAsia" w:ascii="仿宋" w:hAnsi="仿宋" w:eastAsia="仿宋" w:cs="仿宋_GB2312"/>
                <w:b w:val="0"/>
                <w:bCs w:val="0"/>
                <w:sz w:val="24"/>
                <w:szCs w:val="24"/>
              </w:rPr>
              <w:t>日期</w:t>
            </w:r>
          </w:p>
        </w:tc>
        <w:tc>
          <w:tcPr>
            <w:tcW w:w="287" w:type="dxa"/>
            <w:noWrap w:val="0"/>
            <w:vAlign w:val="bottom"/>
          </w:tcPr>
          <w:p w14:paraId="2CD53238">
            <w:pPr>
              <w:pStyle w:val="3"/>
              <w:jc w:val="left"/>
              <w:rPr>
                <w:rFonts w:ascii="仿宋" w:hAnsi="仿宋" w:eastAsia="仿宋" w:cs="仿宋_GB2312"/>
                <w:b w:val="0"/>
                <w:bCs w:val="0"/>
                <w:sz w:val="24"/>
                <w:szCs w:val="24"/>
              </w:rPr>
            </w:pPr>
            <w:r>
              <w:rPr>
                <w:rFonts w:hint="eastAsia" w:ascii="仿宋" w:hAnsi="仿宋" w:eastAsia="仿宋" w:cs="仿宋_GB2312"/>
                <w:b w:val="0"/>
                <w:bCs w:val="0"/>
                <w:sz w:val="24"/>
                <w:szCs w:val="24"/>
              </w:rPr>
              <w:t>：</w:t>
            </w:r>
          </w:p>
        </w:tc>
        <w:tc>
          <w:tcPr>
            <w:tcW w:w="4107" w:type="dxa"/>
            <w:noWrap w:val="0"/>
            <w:vAlign w:val="bottom"/>
          </w:tcPr>
          <w:p w14:paraId="0AD10A54">
            <w:pPr>
              <w:pStyle w:val="3"/>
              <w:rPr>
                <w:rFonts w:ascii="仿宋" w:hAnsi="仿宋" w:eastAsia="仿宋"/>
                <w:b w:val="0"/>
                <w:bCs w:val="0"/>
                <w:sz w:val="24"/>
                <w:szCs w:val="24"/>
                <w:u w:val="single"/>
              </w:rPr>
            </w:pPr>
            <w:r>
              <w:rPr>
                <w:rFonts w:hint="eastAsia" w:ascii="仿宋" w:hAnsi="仿宋" w:eastAsia="仿宋"/>
                <w:b w:val="0"/>
                <w:bCs w:val="0"/>
                <w:sz w:val="24"/>
                <w:szCs w:val="24"/>
                <w:u w:val="single"/>
              </w:rPr>
              <w:t xml:space="preserve">                              </w:t>
            </w:r>
          </w:p>
        </w:tc>
      </w:tr>
    </w:tbl>
    <w:p w14:paraId="6DE302E1">
      <w:pPr>
        <w:ind w:firstLine="420" w:firstLineChars="200"/>
      </w:pPr>
    </w:p>
    <w:sectPr>
      <w:pgSz w:w="16838" w:h="11906" w:orient="landscape"/>
      <w:pgMar w:top="1134" w:right="1800" w:bottom="1134"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MDk1YzZlZTFkOThhNzI0OGFjMDlkYTFlZDI4NDgifQ=="/>
  </w:docVars>
  <w:rsids>
    <w:rsidRoot w:val="00000000"/>
    <w:rsid w:val="1A963434"/>
    <w:rsid w:val="32080736"/>
    <w:rsid w:val="320F75A3"/>
    <w:rsid w:val="5190038F"/>
    <w:rsid w:val="5E8D62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首行缩进"/>
    <w:basedOn w:val="1"/>
    <w:qFormat/>
    <w:uiPriority w:val="99"/>
    <w:pPr>
      <w:ind w:firstLine="480" w:firstLineChars="200"/>
    </w:pPr>
    <w:rPr>
      <w:lang w:val="zh-CN"/>
    </w:rPr>
  </w:style>
  <w:style w:type="paragraph" w:styleId="3">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1238</Words>
  <Characters>1255</Characters>
  <Lines>0</Lines>
  <Paragraphs>0</Paragraphs>
  <TotalTime>11</TotalTime>
  <ScaleCrop>false</ScaleCrop>
  <LinksUpToDate>false</LinksUpToDate>
  <CharactersWithSpaces>1337</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2024-09-03T09:16:00Z</dcterms:created>
  <dc:creator>Lenovouser</dc:creator>
  <cp:lastModifiedBy>陕西邦达建设</cp:lastModifiedBy>
  <dcterms:modified xsi:type="dcterms:W3CDTF">2024-09-04T05:10:36Z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565A3F0D9F4D44EA89EB8F74AC7A511C_13</vt:lpwstr>
  </property>
</Properties>
</file>