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99FFA0">
      <w:pPr>
        <w:pStyle w:val="5"/>
        <w:jc w:val="center"/>
        <w:outlineLvl w:val="1"/>
        <w:rPr>
          <w:rFonts w:hint="default" w:ascii="宋体" w:hAnsi="宋体" w:eastAsia="宋体" w:cs="宋体"/>
          <w:highlight w:val="none"/>
          <w:lang w:eastAsia="zh-CN"/>
        </w:rPr>
      </w:pPr>
      <w:r>
        <w:rPr>
          <w:rFonts w:ascii="宋体" w:hAnsi="宋体" w:eastAsia="宋体" w:cs="宋体"/>
          <w:b/>
          <w:sz w:val="36"/>
          <w:highlight w:val="none"/>
        </w:rPr>
        <w:t>拟签订合同文本</w:t>
      </w:r>
    </w:p>
    <w:p w14:paraId="108B0227">
      <w:pPr>
        <w:spacing w:line="200" w:lineRule="exact"/>
        <w:rPr>
          <w:rFonts w:ascii="宋体" w:hAnsi="宋体" w:cs="宋体"/>
          <w:sz w:val="24"/>
          <w:szCs w:val="24"/>
          <w:highlight w:val="none"/>
        </w:rPr>
      </w:pPr>
    </w:p>
    <w:p w14:paraId="33A5F580">
      <w:pPr>
        <w:spacing w:line="287" w:lineRule="exact"/>
        <w:rPr>
          <w:rFonts w:ascii="宋体" w:hAnsi="宋体" w:cs="宋体"/>
          <w:sz w:val="24"/>
          <w:szCs w:val="24"/>
          <w:highlight w:val="none"/>
        </w:rPr>
      </w:pPr>
    </w:p>
    <w:p w14:paraId="36A869D4">
      <w:pPr>
        <w:adjustRightInd w:val="0"/>
        <w:snapToGrid w:val="0"/>
        <w:spacing w:line="360" w:lineRule="auto"/>
        <w:ind w:firstLine="803" w:firstLineChars="200"/>
        <w:jc w:val="center"/>
        <w:rPr>
          <w:rFonts w:hint="eastAsia" w:asciiTheme="majorEastAsia" w:hAnsiTheme="majorEastAsia" w:eastAsiaTheme="majorEastAsia" w:cstheme="majorEastAsia"/>
          <w:b/>
          <w:bCs/>
          <w:sz w:val="44"/>
          <w:szCs w:val="44"/>
          <w:highlight w:val="none"/>
        </w:rPr>
      </w:pPr>
      <w:r>
        <w:rPr>
          <w:rFonts w:hint="eastAsia" w:asciiTheme="majorEastAsia" w:hAnsiTheme="majorEastAsia" w:eastAsiaTheme="majorEastAsia" w:cstheme="majorEastAsia"/>
          <w:b/>
          <w:bCs/>
          <w:sz w:val="40"/>
          <w:szCs w:val="40"/>
          <w:highlight w:val="none"/>
        </w:rPr>
        <w:t>西安市精神卫生中心</w:t>
      </w:r>
      <w:r>
        <w:rPr>
          <w:rFonts w:hint="eastAsia" w:asciiTheme="majorEastAsia" w:hAnsiTheme="majorEastAsia" w:eastAsiaTheme="majorEastAsia" w:cstheme="majorEastAsia"/>
          <w:b/>
          <w:bCs/>
          <w:color w:val="auto"/>
          <w:sz w:val="40"/>
          <w:szCs w:val="40"/>
          <w:highlight w:val="none"/>
        </w:rPr>
        <w:t>xxxxxxxx</w:t>
      </w:r>
      <w:r>
        <w:rPr>
          <w:rFonts w:hint="eastAsia" w:asciiTheme="majorEastAsia" w:hAnsiTheme="majorEastAsia" w:eastAsiaTheme="majorEastAsia" w:cstheme="majorEastAsia"/>
          <w:b/>
          <w:bCs/>
          <w:sz w:val="40"/>
          <w:szCs w:val="40"/>
          <w:highlight w:val="none"/>
        </w:rPr>
        <w:t>项目合同</w:t>
      </w:r>
    </w:p>
    <w:p w14:paraId="5CB1C295">
      <w:pPr>
        <w:spacing w:line="360" w:lineRule="auto"/>
        <w:ind w:firstLine="480" w:firstLineChars="200"/>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甲方：西安市精神卫生中心</w:t>
      </w:r>
    </w:p>
    <w:p w14:paraId="39ACFC5F">
      <w:pPr>
        <w:tabs>
          <w:tab w:val="left" w:pos="480"/>
        </w:tabs>
        <w:spacing w:line="360" w:lineRule="auto"/>
        <w:ind w:firstLine="480" w:firstLineChars="200"/>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 xml:space="preserve">乙方： </w:t>
      </w:r>
    </w:p>
    <w:p w14:paraId="273E22A6">
      <w:pPr>
        <w:spacing w:line="360" w:lineRule="auto"/>
        <w:ind w:firstLine="480" w:firstLineChars="200"/>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依据《中华人民共和国政府采购法》、《中华人民共和国招标投标法》、《中华人民共和国民法典》以及该项目的招标文件、成交供应商应标文件正本和澄清表（函）、中标通知书，经甲、乙双方协商，达成如下条款。</w:t>
      </w:r>
    </w:p>
    <w:p w14:paraId="5BB00552">
      <w:pPr>
        <w:tabs>
          <w:tab w:val="left" w:pos="480"/>
        </w:tabs>
        <w:spacing w:line="360" w:lineRule="auto"/>
        <w:ind w:firstLine="482" w:firstLineChars="200"/>
        <w:rPr>
          <w:rFonts w:hint="eastAsia" w:asciiTheme="majorEastAsia" w:hAnsiTheme="majorEastAsia" w:eastAsiaTheme="majorEastAsia" w:cstheme="majorEastAsia"/>
          <w:b/>
          <w:sz w:val="24"/>
          <w:highlight w:val="none"/>
        </w:rPr>
      </w:pPr>
      <w:r>
        <w:rPr>
          <w:rFonts w:hint="eastAsia" w:asciiTheme="majorEastAsia" w:hAnsiTheme="majorEastAsia" w:eastAsiaTheme="majorEastAsia" w:cstheme="majorEastAsia"/>
          <w:b/>
          <w:sz w:val="24"/>
          <w:highlight w:val="none"/>
        </w:rPr>
        <w:t>一、合同标的物内容及数量</w:t>
      </w:r>
      <w:r>
        <w:rPr>
          <w:rFonts w:hint="eastAsia" w:asciiTheme="majorEastAsia" w:hAnsiTheme="majorEastAsia" w:eastAsiaTheme="majorEastAsia" w:cstheme="majorEastAsia"/>
          <w:sz w:val="24"/>
          <w:highlight w:val="none"/>
        </w:rPr>
        <w:t>（以</w:t>
      </w:r>
      <w:r>
        <w:rPr>
          <w:rFonts w:hint="eastAsia" w:asciiTheme="majorEastAsia" w:hAnsiTheme="majorEastAsia" w:eastAsiaTheme="majorEastAsia" w:cstheme="majorEastAsia"/>
          <w:sz w:val="24"/>
          <w:highlight w:val="none"/>
          <w:lang w:eastAsia="zh-CN"/>
        </w:rPr>
        <w:t>投标</w:t>
      </w:r>
      <w:r>
        <w:rPr>
          <w:rFonts w:hint="eastAsia" w:asciiTheme="majorEastAsia" w:hAnsiTheme="majorEastAsia" w:eastAsiaTheme="majorEastAsia" w:cstheme="majorEastAsia"/>
          <w:sz w:val="24"/>
          <w:highlight w:val="none"/>
        </w:rPr>
        <w:t>响应文件正本和澄清表〈函〉为准）</w:t>
      </w:r>
    </w:p>
    <w:tbl>
      <w:tblPr>
        <w:tblStyle w:val="3"/>
        <w:tblW w:w="86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2"/>
        <w:gridCol w:w="2260"/>
        <w:gridCol w:w="2268"/>
        <w:gridCol w:w="1134"/>
        <w:gridCol w:w="1134"/>
        <w:gridCol w:w="1091"/>
      </w:tblGrid>
      <w:tr w14:paraId="303C1E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2" w:type="dxa"/>
            <w:tcBorders>
              <w:top w:val="single" w:color="auto" w:sz="4" w:space="0"/>
              <w:left w:val="single" w:color="auto" w:sz="4" w:space="0"/>
              <w:bottom w:val="single" w:color="auto" w:sz="4" w:space="0"/>
              <w:right w:val="single" w:color="auto" w:sz="4" w:space="0"/>
            </w:tcBorders>
            <w:noWrap w:val="0"/>
            <w:vAlign w:val="center"/>
          </w:tcPr>
          <w:p w14:paraId="3665D0FE">
            <w:pPr>
              <w:tabs>
                <w:tab w:val="left" w:pos="480"/>
              </w:tabs>
              <w:spacing w:line="360" w:lineRule="auto"/>
              <w:jc w:val="center"/>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序号</w:t>
            </w:r>
          </w:p>
        </w:tc>
        <w:tc>
          <w:tcPr>
            <w:tcW w:w="2260" w:type="dxa"/>
            <w:tcBorders>
              <w:top w:val="single" w:color="auto" w:sz="4" w:space="0"/>
              <w:left w:val="single" w:color="auto" w:sz="4" w:space="0"/>
              <w:bottom w:val="single" w:color="auto" w:sz="4" w:space="0"/>
              <w:right w:val="single" w:color="auto" w:sz="4" w:space="0"/>
            </w:tcBorders>
            <w:noWrap w:val="0"/>
            <w:vAlign w:val="center"/>
          </w:tcPr>
          <w:p w14:paraId="0E4768F5">
            <w:pPr>
              <w:tabs>
                <w:tab w:val="left" w:pos="480"/>
              </w:tabs>
              <w:spacing w:line="360" w:lineRule="auto"/>
              <w:jc w:val="center"/>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货物名称</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7D07B242">
            <w:pPr>
              <w:tabs>
                <w:tab w:val="left" w:pos="480"/>
              </w:tabs>
              <w:spacing w:line="360" w:lineRule="auto"/>
              <w:jc w:val="center"/>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规格型号</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78B52E50">
            <w:pPr>
              <w:tabs>
                <w:tab w:val="left" w:pos="480"/>
              </w:tabs>
              <w:spacing w:line="360" w:lineRule="auto"/>
              <w:jc w:val="center"/>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数量</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6E8E4A38">
            <w:pPr>
              <w:tabs>
                <w:tab w:val="left" w:pos="480"/>
              </w:tabs>
              <w:spacing w:line="360" w:lineRule="auto"/>
              <w:jc w:val="center"/>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产地</w:t>
            </w:r>
          </w:p>
        </w:tc>
        <w:tc>
          <w:tcPr>
            <w:tcW w:w="1091" w:type="dxa"/>
            <w:tcBorders>
              <w:top w:val="single" w:color="auto" w:sz="4" w:space="0"/>
              <w:left w:val="single" w:color="auto" w:sz="4" w:space="0"/>
              <w:bottom w:val="single" w:color="auto" w:sz="4" w:space="0"/>
              <w:right w:val="single" w:color="auto" w:sz="4" w:space="0"/>
            </w:tcBorders>
            <w:noWrap w:val="0"/>
            <w:vAlign w:val="top"/>
          </w:tcPr>
          <w:p w14:paraId="691C8634">
            <w:pPr>
              <w:tabs>
                <w:tab w:val="left" w:pos="480"/>
              </w:tabs>
              <w:spacing w:line="360" w:lineRule="auto"/>
              <w:jc w:val="center"/>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价格</w:t>
            </w:r>
          </w:p>
        </w:tc>
      </w:tr>
      <w:tr w14:paraId="1F7773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732" w:type="dxa"/>
            <w:tcBorders>
              <w:top w:val="single" w:color="auto" w:sz="4" w:space="0"/>
              <w:left w:val="single" w:color="auto" w:sz="4" w:space="0"/>
              <w:bottom w:val="single" w:color="auto" w:sz="4" w:space="0"/>
              <w:right w:val="single" w:color="auto" w:sz="4" w:space="0"/>
            </w:tcBorders>
            <w:noWrap w:val="0"/>
            <w:vAlign w:val="center"/>
          </w:tcPr>
          <w:p w14:paraId="584F5582">
            <w:pPr>
              <w:tabs>
                <w:tab w:val="left" w:pos="480"/>
              </w:tabs>
              <w:spacing w:line="360" w:lineRule="auto"/>
              <w:jc w:val="center"/>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1</w:t>
            </w:r>
          </w:p>
        </w:tc>
        <w:tc>
          <w:tcPr>
            <w:tcW w:w="2260" w:type="dxa"/>
            <w:tcBorders>
              <w:top w:val="single" w:color="auto" w:sz="4" w:space="0"/>
              <w:left w:val="single" w:color="auto" w:sz="4" w:space="0"/>
              <w:bottom w:val="single" w:color="auto" w:sz="4" w:space="0"/>
              <w:right w:val="single" w:color="auto" w:sz="4" w:space="0"/>
            </w:tcBorders>
            <w:noWrap w:val="0"/>
            <w:vAlign w:val="center"/>
          </w:tcPr>
          <w:p w14:paraId="4C935FF9">
            <w:pPr>
              <w:spacing w:line="360" w:lineRule="auto"/>
              <w:jc w:val="center"/>
              <w:rPr>
                <w:rFonts w:hint="eastAsia" w:asciiTheme="majorEastAsia" w:hAnsiTheme="majorEastAsia" w:eastAsiaTheme="majorEastAsia" w:cstheme="majorEastAsia"/>
                <w:sz w:val="24"/>
                <w:highlight w:val="none"/>
              </w:rPr>
            </w:pPr>
          </w:p>
        </w:tc>
        <w:tc>
          <w:tcPr>
            <w:tcW w:w="2268" w:type="dxa"/>
            <w:tcBorders>
              <w:top w:val="single" w:color="auto" w:sz="4" w:space="0"/>
              <w:left w:val="single" w:color="auto" w:sz="4" w:space="0"/>
              <w:bottom w:val="single" w:color="auto" w:sz="4" w:space="0"/>
              <w:right w:val="single" w:color="auto" w:sz="4" w:space="0"/>
            </w:tcBorders>
            <w:noWrap w:val="0"/>
            <w:vAlign w:val="center"/>
          </w:tcPr>
          <w:p w14:paraId="649FC7C2">
            <w:pPr>
              <w:spacing w:line="360" w:lineRule="auto"/>
              <w:jc w:val="center"/>
              <w:rPr>
                <w:rFonts w:hint="eastAsia" w:asciiTheme="majorEastAsia" w:hAnsiTheme="majorEastAsia" w:eastAsiaTheme="majorEastAsia" w:cstheme="majorEastAsia"/>
                <w:sz w:val="24"/>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1BA00527">
            <w:pPr>
              <w:spacing w:line="360" w:lineRule="auto"/>
              <w:jc w:val="center"/>
              <w:rPr>
                <w:rFonts w:hint="eastAsia" w:asciiTheme="majorEastAsia" w:hAnsiTheme="majorEastAsia" w:eastAsiaTheme="majorEastAsia" w:cstheme="majorEastAsia"/>
                <w:sz w:val="24"/>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469F37F9">
            <w:pPr>
              <w:spacing w:line="360" w:lineRule="auto"/>
              <w:jc w:val="center"/>
              <w:rPr>
                <w:rFonts w:hint="eastAsia" w:asciiTheme="majorEastAsia" w:hAnsiTheme="majorEastAsia" w:eastAsiaTheme="majorEastAsia" w:cstheme="majorEastAsia"/>
                <w:sz w:val="24"/>
                <w:highlight w:val="none"/>
              </w:rPr>
            </w:pPr>
          </w:p>
        </w:tc>
        <w:tc>
          <w:tcPr>
            <w:tcW w:w="1091" w:type="dxa"/>
            <w:tcBorders>
              <w:top w:val="single" w:color="auto" w:sz="4" w:space="0"/>
              <w:left w:val="single" w:color="auto" w:sz="4" w:space="0"/>
              <w:bottom w:val="single" w:color="auto" w:sz="4" w:space="0"/>
              <w:right w:val="single" w:color="auto" w:sz="4" w:space="0"/>
            </w:tcBorders>
            <w:noWrap w:val="0"/>
            <w:vAlign w:val="top"/>
          </w:tcPr>
          <w:p w14:paraId="7542CEEE">
            <w:pPr>
              <w:tabs>
                <w:tab w:val="left" w:pos="480"/>
              </w:tabs>
              <w:spacing w:line="360" w:lineRule="auto"/>
              <w:jc w:val="center"/>
              <w:rPr>
                <w:rFonts w:hint="eastAsia" w:asciiTheme="majorEastAsia" w:hAnsiTheme="majorEastAsia" w:eastAsiaTheme="majorEastAsia" w:cstheme="majorEastAsia"/>
                <w:sz w:val="24"/>
                <w:highlight w:val="none"/>
              </w:rPr>
            </w:pPr>
          </w:p>
        </w:tc>
      </w:tr>
      <w:tr w14:paraId="1CED25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2" w:type="dxa"/>
            <w:tcBorders>
              <w:top w:val="single" w:color="auto" w:sz="4" w:space="0"/>
              <w:left w:val="single" w:color="auto" w:sz="4" w:space="0"/>
              <w:bottom w:val="single" w:color="auto" w:sz="4" w:space="0"/>
              <w:right w:val="single" w:color="auto" w:sz="4" w:space="0"/>
            </w:tcBorders>
            <w:noWrap w:val="0"/>
            <w:vAlign w:val="center"/>
          </w:tcPr>
          <w:p w14:paraId="5EAC57F4">
            <w:pPr>
              <w:tabs>
                <w:tab w:val="left" w:pos="480"/>
              </w:tabs>
              <w:spacing w:line="360" w:lineRule="auto"/>
              <w:jc w:val="center"/>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2</w:t>
            </w:r>
          </w:p>
        </w:tc>
        <w:tc>
          <w:tcPr>
            <w:tcW w:w="2260" w:type="dxa"/>
            <w:tcBorders>
              <w:top w:val="single" w:color="auto" w:sz="4" w:space="0"/>
              <w:left w:val="single" w:color="auto" w:sz="4" w:space="0"/>
              <w:bottom w:val="single" w:color="auto" w:sz="4" w:space="0"/>
              <w:right w:val="single" w:color="auto" w:sz="4" w:space="0"/>
            </w:tcBorders>
            <w:noWrap w:val="0"/>
            <w:vAlign w:val="center"/>
          </w:tcPr>
          <w:p w14:paraId="513B9348">
            <w:pPr>
              <w:spacing w:line="360" w:lineRule="auto"/>
              <w:jc w:val="center"/>
              <w:rPr>
                <w:rFonts w:hint="eastAsia" w:asciiTheme="majorEastAsia" w:hAnsiTheme="majorEastAsia" w:eastAsiaTheme="majorEastAsia" w:cstheme="majorEastAsia"/>
                <w:sz w:val="24"/>
                <w:highlight w:val="none"/>
              </w:rPr>
            </w:pP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971F062">
            <w:pPr>
              <w:spacing w:line="360" w:lineRule="auto"/>
              <w:jc w:val="center"/>
              <w:rPr>
                <w:rFonts w:hint="eastAsia" w:asciiTheme="majorEastAsia" w:hAnsiTheme="majorEastAsia" w:eastAsiaTheme="majorEastAsia" w:cstheme="majorEastAsia"/>
                <w:sz w:val="24"/>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5E259803">
            <w:pPr>
              <w:spacing w:line="360" w:lineRule="auto"/>
              <w:jc w:val="center"/>
              <w:rPr>
                <w:rFonts w:hint="eastAsia" w:asciiTheme="majorEastAsia" w:hAnsiTheme="majorEastAsia" w:eastAsiaTheme="majorEastAsia" w:cstheme="majorEastAsia"/>
                <w:sz w:val="24"/>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1F9BA6C0">
            <w:pPr>
              <w:spacing w:line="360" w:lineRule="auto"/>
              <w:jc w:val="center"/>
              <w:rPr>
                <w:rFonts w:hint="eastAsia" w:asciiTheme="majorEastAsia" w:hAnsiTheme="majorEastAsia" w:eastAsiaTheme="majorEastAsia" w:cstheme="majorEastAsia"/>
                <w:sz w:val="24"/>
                <w:highlight w:val="none"/>
              </w:rPr>
            </w:pPr>
          </w:p>
        </w:tc>
        <w:tc>
          <w:tcPr>
            <w:tcW w:w="1091" w:type="dxa"/>
            <w:tcBorders>
              <w:top w:val="single" w:color="auto" w:sz="4" w:space="0"/>
              <w:left w:val="single" w:color="auto" w:sz="4" w:space="0"/>
              <w:bottom w:val="single" w:color="auto" w:sz="4" w:space="0"/>
              <w:right w:val="single" w:color="auto" w:sz="4" w:space="0"/>
            </w:tcBorders>
            <w:noWrap w:val="0"/>
            <w:vAlign w:val="top"/>
          </w:tcPr>
          <w:p w14:paraId="4B7D5C94">
            <w:pPr>
              <w:tabs>
                <w:tab w:val="left" w:pos="480"/>
              </w:tabs>
              <w:spacing w:line="360" w:lineRule="auto"/>
              <w:jc w:val="center"/>
              <w:rPr>
                <w:rFonts w:hint="eastAsia" w:asciiTheme="majorEastAsia" w:hAnsiTheme="majorEastAsia" w:eastAsiaTheme="majorEastAsia" w:cstheme="majorEastAsia"/>
                <w:sz w:val="24"/>
                <w:highlight w:val="none"/>
              </w:rPr>
            </w:pPr>
          </w:p>
        </w:tc>
      </w:tr>
      <w:tr w14:paraId="68AB6F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2" w:type="dxa"/>
            <w:tcBorders>
              <w:top w:val="single" w:color="auto" w:sz="4" w:space="0"/>
              <w:left w:val="single" w:color="auto" w:sz="4" w:space="0"/>
              <w:bottom w:val="single" w:color="auto" w:sz="4" w:space="0"/>
              <w:right w:val="single" w:color="auto" w:sz="4" w:space="0"/>
            </w:tcBorders>
            <w:noWrap w:val="0"/>
            <w:vAlign w:val="center"/>
          </w:tcPr>
          <w:p w14:paraId="0F8B2771">
            <w:pPr>
              <w:tabs>
                <w:tab w:val="left" w:pos="480"/>
              </w:tabs>
              <w:spacing w:line="360" w:lineRule="auto"/>
              <w:jc w:val="center"/>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3</w:t>
            </w:r>
          </w:p>
        </w:tc>
        <w:tc>
          <w:tcPr>
            <w:tcW w:w="2260" w:type="dxa"/>
            <w:tcBorders>
              <w:top w:val="single" w:color="auto" w:sz="4" w:space="0"/>
              <w:left w:val="single" w:color="auto" w:sz="4" w:space="0"/>
              <w:bottom w:val="single" w:color="auto" w:sz="4" w:space="0"/>
              <w:right w:val="single" w:color="auto" w:sz="4" w:space="0"/>
            </w:tcBorders>
            <w:noWrap w:val="0"/>
            <w:vAlign w:val="center"/>
          </w:tcPr>
          <w:p w14:paraId="55EB62E2">
            <w:pPr>
              <w:spacing w:line="360" w:lineRule="auto"/>
              <w:jc w:val="center"/>
              <w:rPr>
                <w:rFonts w:hint="eastAsia" w:asciiTheme="majorEastAsia" w:hAnsiTheme="majorEastAsia" w:eastAsiaTheme="majorEastAsia" w:cstheme="majorEastAsia"/>
                <w:sz w:val="24"/>
                <w:highlight w:val="none"/>
              </w:rPr>
            </w:pPr>
          </w:p>
        </w:tc>
        <w:tc>
          <w:tcPr>
            <w:tcW w:w="2268" w:type="dxa"/>
            <w:tcBorders>
              <w:top w:val="single" w:color="auto" w:sz="4" w:space="0"/>
              <w:left w:val="single" w:color="auto" w:sz="4" w:space="0"/>
              <w:bottom w:val="single" w:color="auto" w:sz="4" w:space="0"/>
              <w:right w:val="single" w:color="auto" w:sz="4" w:space="0"/>
            </w:tcBorders>
            <w:noWrap w:val="0"/>
            <w:vAlign w:val="center"/>
          </w:tcPr>
          <w:p w14:paraId="68917E02">
            <w:pPr>
              <w:spacing w:line="360" w:lineRule="auto"/>
              <w:jc w:val="center"/>
              <w:rPr>
                <w:rFonts w:hint="eastAsia" w:asciiTheme="majorEastAsia" w:hAnsiTheme="majorEastAsia" w:eastAsiaTheme="majorEastAsia" w:cstheme="majorEastAsia"/>
                <w:sz w:val="24"/>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2E34A9EA">
            <w:pPr>
              <w:spacing w:line="360" w:lineRule="auto"/>
              <w:jc w:val="center"/>
              <w:rPr>
                <w:rFonts w:hint="eastAsia" w:asciiTheme="majorEastAsia" w:hAnsiTheme="majorEastAsia" w:eastAsiaTheme="majorEastAsia" w:cstheme="majorEastAsia"/>
                <w:sz w:val="24"/>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2E54689B">
            <w:pPr>
              <w:spacing w:line="360" w:lineRule="auto"/>
              <w:jc w:val="center"/>
              <w:rPr>
                <w:rFonts w:hint="eastAsia" w:asciiTheme="majorEastAsia" w:hAnsiTheme="majorEastAsia" w:eastAsiaTheme="majorEastAsia" w:cstheme="majorEastAsia"/>
                <w:sz w:val="24"/>
                <w:highlight w:val="none"/>
              </w:rPr>
            </w:pPr>
          </w:p>
        </w:tc>
        <w:tc>
          <w:tcPr>
            <w:tcW w:w="1091" w:type="dxa"/>
            <w:tcBorders>
              <w:top w:val="single" w:color="auto" w:sz="4" w:space="0"/>
              <w:left w:val="single" w:color="auto" w:sz="4" w:space="0"/>
              <w:bottom w:val="single" w:color="auto" w:sz="4" w:space="0"/>
              <w:right w:val="single" w:color="auto" w:sz="4" w:space="0"/>
            </w:tcBorders>
            <w:noWrap w:val="0"/>
            <w:vAlign w:val="top"/>
          </w:tcPr>
          <w:p w14:paraId="4C2DF488">
            <w:pPr>
              <w:tabs>
                <w:tab w:val="left" w:pos="480"/>
              </w:tabs>
              <w:spacing w:line="360" w:lineRule="auto"/>
              <w:jc w:val="center"/>
              <w:rPr>
                <w:rFonts w:hint="eastAsia" w:asciiTheme="majorEastAsia" w:hAnsiTheme="majorEastAsia" w:eastAsiaTheme="majorEastAsia" w:cstheme="majorEastAsia"/>
                <w:sz w:val="24"/>
                <w:highlight w:val="none"/>
              </w:rPr>
            </w:pPr>
          </w:p>
        </w:tc>
      </w:tr>
      <w:tr w14:paraId="7AF861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2" w:type="dxa"/>
            <w:tcBorders>
              <w:top w:val="single" w:color="auto" w:sz="4" w:space="0"/>
              <w:left w:val="single" w:color="auto" w:sz="4" w:space="0"/>
              <w:bottom w:val="single" w:color="auto" w:sz="4" w:space="0"/>
              <w:right w:val="single" w:color="auto" w:sz="4" w:space="0"/>
            </w:tcBorders>
            <w:noWrap w:val="0"/>
            <w:vAlign w:val="center"/>
          </w:tcPr>
          <w:p w14:paraId="65F2DC87">
            <w:pPr>
              <w:tabs>
                <w:tab w:val="left" w:pos="480"/>
              </w:tabs>
              <w:spacing w:line="360" w:lineRule="auto"/>
              <w:jc w:val="center"/>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说明</w:t>
            </w:r>
          </w:p>
        </w:tc>
        <w:tc>
          <w:tcPr>
            <w:tcW w:w="7887" w:type="dxa"/>
            <w:gridSpan w:val="5"/>
            <w:tcBorders>
              <w:top w:val="single" w:color="auto" w:sz="4" w:space="0"/>
              <w:left w:val="single" w:color="auto" w:sz="4" w:space="0"/>
              <w:bottom w:val="single" w:color="auto" w:sz="4" w:space="0"/>
              <w:right w:val="single" w:color="auto" w:sz="4" w:space="0"/>
            </w:tcBorders>
            <w:noWrap w:val="0"/>
            <w:vAlign w:val="center"/>
          </w:tcPr>
          <w:p w14:paraId="2119BCC8">
            <w:pPr>
              <w:tabs>
                <w:tab w:val="left" w:pos="480"/>
              </w:tabs>
              <w:spacing w:line="360" w:lineRule="auto"/>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配套设备、资料按照乙方响应文件承诺执行。</w:t>
            </w:r>
          </w:p>
        </w:tc>
      </w:tr>
    </w:tbl>
    <w:p w14:paraId="0CE8217F">
      <w:pPr>
        <w:tabs>
          <w:tab w:val="left" w:pos="480"/>
        </w:tabs>
        <w:spacing w:line="360" w:lineRule="auto"/>
        <w:ind w:firstLine="472" w:firstLineChars="196"/>
        <w:rPr>
          <w:rFonts w:hint="eastAsia" w:asciiTheme="majorEastAsia" w:hAnsiTheme="majorEastAsia" w:eastAsiaTheme="majorEastAsia" w:cstheme="majorEastAsia"/>
          <w:b/>
          <w:sz w:val="24"/>
          <w:highlight w:val="none"/>
        </w:rPr>
      </w:pPr>
      <w:r>
        <w:rPr>
          <w:rFonts w:hint="eastAsia" w:asciiTheme="majorEastAsia" w:hAnsiTheme="majorEastAsia" w:eastAsiaTheme="majorEastAsia" w:cstheme="majorEastAsia"/>
          <w:b/>
          <w:sz w:val="24"/>
          <w:highlight w:val="none"/>
        </w:rPr>
        <w:t>二、合同价款</w:t>
      </w:r>
    </w:p>
    <w:p w14:paraId="532DD833">
      <w:pPr>
        <w:tabs>
          <w:tab w:val="left" w:pos="480"/>
        </w:tabs>
        <w:spacing w:line="360" w:lineRule="auto"/>
        <w:ind w:firstLine="480" w:firstLineChars="200"/>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（一）合同总价款为人民币（大写）</w:t>
      </w:r>
      <w:r>
        <w:rPr>
          <w:rFonts w:hint="eastAsia" w:asciiTheme="majorEastAsia" w:hAnsiTheme="majorEastAsia" w:eastAsiaTheme="majorEastAsia" w:cstheme="majorEastAsia"/>
          <w:sz w:val="24"/>
          <w:highlight w:val="none"/>
          <w:u w:val="single"/>
        </w:rPr>
        <w:t xml:space="preserve"> xxxx</w:t>
      </w:r>
      <w:r>
        <w:rPr>
          <w:rFonts w:hint="eastAsia" w:asciiTheme="majorEastAsia" w:hAnsiTheme="majorEastAsia" w:eastAsiaTheme="majorEastAsia" w:cstheme="majorEastAsia"/>
          <w:sz w:val="24"/>
          <w:highlight w:val="none"/>
        </w:rPr>
        <w:t>元整。</w:t>
      </w:r>
    </w:p>
    <w:p w14:paraId="60C359D5">
      <w:pPr>
        <w:tabs>
          <w:tab w:val="left" w:pos="480"/>
        </w:tabs>
        <w:spacing w:line="360" w:lineRule="auto"/>
        <w:ind w:firstLine="480" w:firstLineChars="200"/>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（二）合同总价包括：货物价款(含通常配备的备品备件、易损件）、人工费、运杂费（含保险费）、验收费、售后服务、利润、风险、税金及在项目实施过程中所发生的所有费用。</w:t>
      </w:r>
    </w:p>
    <w:p w14:paraId="0DBF3720">
      <w:pPr>
        <w:tabs>
          <w:tab w:val="left" w:pos="480"/>
        </w:tabs>
        <w:spacing w:line="360" w:lineRule="auto"/>
        <w:ind w:firstLine="480" w:firstLineChars="200"/>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（三）合同总价一次性包死，不受市场价格变化因素的影响。</w:t>
      </w:r>
    </w:p>
    <w:p w14:paraId="42CEE726">
      <w:pPr>
        <w:tabs>
          <w:tab w:val="left" w:pos="480"/>
        </w:tabs>
        <w:spacing w:line="360" w:lineRule="auto"/>
        <w:ind w:firstLine="472" w:firstLineChars="196"/>
        <w:rPr>
          <w:rFonts w:hint="eastAsia" w:asciiTheme="majorEastAsia" w:hAnsiTheme="majorEastAsia" w:eastAsiaTheme="majorEastAsia" w:cstheme="majorEastAsia"/>
          <w:b/>
          <w:sz w:val="24"/>
          <w:highlight w:val="none"/>
        </w:rPr>
      </w:pPr>
      <w:r>
        <w:rPr>
          <w:rFonts w:hint="eastAsia" w:asciiTheme="majorEastAsia" w:hAnsiTheme="majorEastAsia" w:eastAsiaTheme="majorEastAsia" w:cstheme="majorEastAsia"/>
          <w:b/>
          <w:sz w:val="24"/>
          <w:highlight w:val="none"/>
        </w:rPr>
        <w:t>三、款项结算</w:t>
      </w:r>
    </w:p>
    <w:p w14:paraId="22844F92">
      <w:pPr>
        <w:tabs>
          <w:tab w:val="left" w:pos="480"/>
        </w:tabs>
        <w:spacing w:line="360" w:lineRule="auto"/>
        <w:ind w:firstLine="480" w:firstLineChars="200"/>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（一）货款支付方式：</w:t>
      </w:r>
    </w:p>
    <w:p w14:paraId="59F42390">
      <w:pPr>
        <w:pStyle w:val="5"/>
        <w:spacing w:line="360" w:lineRule="auto"/>
        <w:ind w:firstLine="440" w:firstLineChars="200"/>
        <w:rPr>
          <w:rFonts w:hint="eastAsia" w:asciiTheme="majorEastAsia" w:hAnsiTheme="majorEastAsia" w:eastAsiaTheme="majorEastAsia" w:cstheme="majorEastAsia"/>
          <w:sz w:val="22"/>
          <w:szCs w:val="22"/>
          <w:highlight w:val="none"/>
          <w:lang w:val="en-US" w:eastAsia="zh-CN"/>
        </w:rPr>
      </w:pPr>
      <w:r>
        <w:rPr>
          <w:rFonts w:hint="eastAsia" w:asciiTheme="majorEastAsia" w:hAnsiTheme="majorEastAsia" w:eastAsiaTheme="majorEastAsia" w:cstheme="majorEastAsia"/>
          <w:sz w:val="22"/>
          <w:szCs w:val="22"/>
          <w:highlight w:val="none"/>
          <w:lang w:val="en-US" w:eastAsia="zh-CN"/>
        </w:rPr>
        <w:t>1.所有货物按甲方指定地点安装、调试、验收合格后，乙方持甲方验收合格证明与甲方办理结算后，甲方一次性支付合同总价款的95%，</w:t>
      </w:r>
    </w:p>
    <w:p w14:paraId="5427D9F2">
      <w:pPr>
        <w:pStyle w:val="5"/>
        <w:spacing w:line="360" w:lineRule="auto"/>
        <w:ind w:firstLine="440" w:firstLineChars="200"/>
        <w:rPr>
          <w:rFonts w:hint="eastAsia" w:asciiTheme="majorEastAsia" w:hAnsiTheme="majorEastAsia" w:eastAsiaTheme="majorEastAsia" w:cstheme="majorEastAsia"/>
          <w:b/>
          <w:bCs/>
          <w:sz w:val="22"/>
          <w:szCs w:val="22"/>
          <w:highlight w:val="none"/>
          <w:lang w:val="en-US" w:eastAsia="zh-CN"/>
        </w:rPr>
      </w:pPr>
      <w:r>
        <w:rPr>
          <w:rFonts w:hint="eastAsia" w:asciiTheme="majorEastAsia" w:hAnsiTheme="majorEastAsia" w:eastAsiaTheme="majorEastAsia" w:cstheme="majorEastAsia"/>
          <w:sz w:val="22"/>
          <w:szCs w:val="22"/>
          <w:highlight w:val="none"/>
          <w:lang w:val="en-US" w:eastAsia="zh-CN"/>
        </w:rPr>
        <w:t>2.剩余合同总价的5%，从验收合格之日起满1年后，由甲方使用科室确认无质量问题，10个工作日内一次性无息付清。乙方应</w:t>
      </w:r>
      <w:r>
        <w:rPr>
          <w:rFonts w:hint="eastAsia" w:ascii="宋体" w:hAnsi="宋体" w:cs="宋体"/>
          <w:sz w:val="22"/>
          <w:szCs w:val="22"/>
          <w:highlight w:val="none"/>
          <w:lang w:val="en-US" w:eastAsia="zh-CN"/>
        </w:rPr>
        <w:t>在甲方首次付款前提供等额合规发票，否则甲方有权拒付合同款项，且不承担任何责任。</w:t>
      </w:r>
    </w:p>
    <w:p w14:paraId="0E523D0C">
      <w:pPr>
        <w:pStyle w:val="5"/>
        <w:spacing w:line="360" w:lineRule="auto"/>
        <w:ind w:firstLine="440" w:firstLineChars="200"/>
        <w:jc w:val="both"/>
        <w:rPr>
          <w:rFonts w:hint="eastAsia" w:asciiTheme="majorEastAsia" w:hAnsiTheme="majorEastAsia" w:eastAsiaTheme="majorEastAsia" w:cstheme="majorEastAsia"/>
          <w:sz w:val="22"/>
          <w:szCs w:val="22"/>
          <w:highlight w:val="none"/>
          <w:lang w:val="en-US" w:eastAsia="zh-CN"/>
        </w:rPr>
      </w:pPr>
    </w:p>
    <w:p w14:paraId="53501693">
      <w:pPr>
        <w:tabs>
          <w:tab w:val="left" w:pos="480"/>
        </w:tabs>
        <w:spacing w:line="360" w:lineRule="auto"/>
        <w:ind w:firstLine="472" w:firstLineChars="196"/>
        <w:rPr>
          <w:rFonts w:hint="eastAsia" w:asciiTheme="majorEastAsia" w:hAnsiTheme="majorEastAsia" w:eastAsiaTheme="majorEastAsia" w:cstheme="majorEastAsia"/>
          <w:b/>
          <w:sz w:val="24"/>
          <w:highlight w:val="none"/>
        </w:rPr>
      </w:pPr>
      <w:r>
        <w:rPr>
          <w:rFonts w:hint="eastAsia" w:asciiTheme="majorEastAsia" w:hAnsiTheme="majorEastAsia" w:eastAsiaTheme="majorEastAsia" w:cstheme="majorEastAsia"/>
          <w:b/>
          <w:sz w:val="24"/>
          <w:highlight w:val="none"/>
        </w:rPr>
        <w:t>四、双方的权利和义务</w:t>
      </w:r>
    </w:p>
    <w:p w14:paraId="4A234E2E">
      <w:pPr>
        <w:spacing w:line="360" w:lineRule="auto"/>
        <w:ind w:firstLine="240" w:firstLineChars="100"/>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（一）甲方的权利和义务</w:t>
      </w:r>
    </w:p>
    <w:p w14:paraId="78E8420A">
      <w:pPr>
        <w:spacing w:line="360" w:lineRule="auto"/>
        <w:ind w:firstLine="600" w:firstLineChars="250"/>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1. 产品性能必须与其标示的技术指标相符合，甲方有权在产品的有效保证期内依据技术指标对该产品进行技术验收，其主要的技术参数达不到标准时，甲方有权无条件退货或依据有关法律索赔。</w:t>
      </w:r>
    </w:p>
    <w:p w14:paraId="2D1C0473">
      <w:pPr>
        <w:snapToGrid w:val="0"/>
        <w:spacing w:line="360" w:lineRule="auto"/>
        <w:ind w:firstLine="616" w:firstLineChars="257"/>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2. 质保期内，乙方在接到甲方故障保修后排除响应时间为30分钟，故障排除的期限不得超过</w:t>
      </w:r>
      <w:r>
        <w:rPr>
          <w:rFonts w:hint="eastAsia" w:asciiTheme="majorEastAsia" w:hAnsiTheme="majorEastAsia" w:eastAsiaTheme="majorEastAsia" w:cstheme="majorEastAsia"/>
          <w:sz w:val="24"/>
          <w:highlight w:val="none"/>
          <w:u w:val="single"/>
        </w:rPr>
        <w:t xml:space="preserve"> 24 </w:t>
      </w:r>
      <w:r>
        <w:rPr>
          <w:rFonts w:hint="eastAsia" w:asciiTheme="majorEastAsia" w:hAnsiTheme="majorEastAsia" w:eastAsiaTheme="majorEastAsia" w:cstheme="majorEastAsia"/>
          <w:sz w:val="24"/>
          <w:highlight w:val="none"/>
        </w:rPr>
        <w:t>小时。否则甲方有权指定第三方维修，维修费用由乙方承担或从质保金中扣除。乙方拒不履行上述故障排除义务时，甲方有权在故障排除前按天向乙方收取500--5000元</w:t>
      </w:r>
      <w:bookmarkStart w:id="0" w:name="_GoBack"/>
      <w:bookmarkEnd w:id="0"/>
      <w:r>
        <w:rPr>
          <w:rFonts w:hint="eastAsia" w:asciiTheme="majorEastAsia" w:hAnsiTheme="majorEastAsia" w:eastAsiaTheme="majorEastAsia" w:cstheme="majorEastAsia"/>
          <w:sz w:val="24"/>
          <w:highlight w:val="none"/>
        </w:rPr>
        <w:t>的违约金，违约金直接从质保金中扣除。</w:t>
      </w:r>
    </w:p>
    <w:p w14:paraId="3E5B1807">
      <w:pPr>
        <w:snapToGrid w:val="0"/>
        <w:spacing w:line="360" w:lineRule="auto"/>
        <w:ind w:firstLine="616" w:firstLineChars="257"/>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3. 质保期内，所投设备发生故障，乙方接到通知后，</w:t>
      </w:r>
      <w:r>
        <w:rPr>
          <w:rFonts w:hint="eastAsia" w:asciiTheme="majorEastAsia" w:hAnsiTheme="majorEastAsia" w:eastAsiaTheme="majorEastAsia" w:cstheme="majorEastAsia"/>
          <w:sz w:val="24"/>
          <w:highlight w:val="none"/>
          <w:u w:val="single"/>
        </w:rPr>
        <w:t xml:space="preserve"> 4 </w:t>
      </w:r>
      <w:r>
        <w:rPr>
          <w:rFonts w:hint="eastAsia" w:asciiTheme="majorEastAsia" w:hAnsiTheme="majorEastAsia" w:eastAsiaTheme="majorEastAsia" w:cstheme="majorEastAsia"/>
          <w:sz w:val="24"/>
          <w:highlight w:val="none"/>
        </w:rPr>
        <w:t>小时派出合格的维修人员到用户现场进行维修，维修全部费用由乙方承担，</w:t>
      </w:r>
      <w:r>
        <w:rPr>
          <w:rFonts w:hint="eastAsia" w:asciiTheme="majorEastAsia" w:hAnsiTheme="majorEastAsia" w:eastAsiaTheme="majorEastAsia" w:cstheme="majorEastAsia"/>
          <w:sz w:val="24"/>
          <w:highlight w:val="none"/>
          <w:u w:val="single"/>
        </w:rPr>
        <w:t xml:space="preserve"> 4 </w:t>
      </w:r>
      <w:r>
        <w:rPr>
          <w:rFonts w:hint="eastAsia" w:asciiTheme="majorEastAsia" w:hAnsiTheme="majorEastAsia" w:eastAsiaTheme="majorEastAsia" w:cstheme="majorEastAsia"/>
          <w:sz w:val="24"/>
          <w:highlight w:val="none"/>
        </w:rPr>
        <w:t>小时解决故障，若需将产品送回生产厂，乙方还需承担往返费用，若维修超过</w:t>
      </w:r>
      <w:r>
        <w:rPr>
          <w:rFonts w:hint="eastAsia" w:asciiTheme="majorEastAsia" w:hAnsiTheme="majorEastAsia" w:eastAsiaTheme="majorEastAsia" w:cstheme="majorEastAsia"/>
          <w:sz w:val="24"/>
          <w:highlight w:val="none"/>
          <w:u w:val="single"/>
        </w:rPr>
        <w:t xml:space="preserve"> 24 </w:t>
      </w:r>
      <w:r>
        <w:rPr>
          <w:rFonts w:hint="eastAsia" w:asciiTheme="majorEastAsia" w:hAnsiTheme="majorEastAsia" w:eastAsiaTheme="majorEastAsia" w:cstheme="majorEastAsia"/>
          <w:sz w:val="24"/>
          <w:highlight w:val="none"/>
        </w:rPr>
        <w:t>小时，乙方提供同型号备用产品。</w:t>
      </w:r>
    </w:p>
    <w:p w14:paraId="05DF9166">
      <w:pPr>
        <w:spacing w:line="360" w:lineRule="auto"/>
        <w:ind w:firstLine="600" w:firstLineChars="250"/>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4. 质保期满设备维修只收取材料费,工时费免。</w:t>
      </w:r>
    </w:p>
    <w:p w14:paraId="3F73AADF">
      <w:pPr>
        <w:spacing w:line="360" w:lineRule="auto"/>
        <w:ind w:firstLine="600" w:firstLineChars="250"/>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5. 质保期满消耗品只收取成本费,其他费用免。</w:t>
      </w:r>
    </w:p>
    <w:p w14:paraId="02979533">
      <w:pPr>
        <w:spacing w:line="360" w:lineRule="auto"/>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 xml:space="preserve">     6. 质保期满软硬件终身维保。</w:t>
      </w:r>
    </w:p>
    <w:p w14:paraId="4B78841E">
      <w:pPr>
        <w:spacing w:line="360" w:lineRule="auto"/>
        <w:ind w:firstLine="240" w:firstLineChars="100"/>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（二）乙方的权利和义务</w:t>
      </w:r>
    </w:p>
    <w:p w14:paraId="13E3E279">
      <w:pPr>
        <w:spacing w:line="360" w:lineRule="auto"/>
        <w:ind w:firstLine="480" w:firstLineChars="200"/>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1、乙方提供给甲方的产品必须是设计科学、技术成熟、工艺精良，原厂生产的未曾使用过的、全新的合格产品。</w:t>
      </w:r>
    </w:p>
    <w:p w14:paraId="396CD898">
      <w:pPr>
        <w:spacing w:line="360" w:lineRule="auto"/>
        <w:ind w:firstLine="480" w:firstLineChars="200"/>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2、设计技术专利、外型专利、应用软件专利等知识产权均应符合我国的有关法律及行业标准，凡因以上问题与第三方发生的任何纠纷均与甲方无关，由乙方负责协调处理并承担全部赔偿责任。甲方因此被索赔时有权向乙方追偿。</w:t>
      </w:r>
    </w:p>
    <w:p w14:paraId="02E8A682">
      <w:pPr>
        <w:spacing w:line="360" w:lineRule="auto"/>
        <w:ind w:firstLine="480" w:firstLineChars="200"/>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3、安全可靠。在正常使用下不应对甲方现有设备设施、储存的数据造成损害，否则应当就甲方损失承担全部赔偿责任。</w:t>
      </w:r>
    </w:p>
    <w:p w14:paraId="11AA454C">
      <w:pPr>
        <w:spacing w:line="360" w:lineRule="auto"/>
        <w:ind w:firstLine="480" w:firstLineChars="200"/>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4、有强制性安全标准的产品，乙方应提供该产品的制造许可证证明。</w:t>
      </w:r>
    </w:p>
    <w:p w14:paraId="6A9C3F2C">
      <w:pPr>
        <w:spacing w:line="360" w:lineRule="auto"/>
        <w:ind w:firstLine="480" w:firstLineChars="200"/>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5、长期提供相关的技术服务与支持。</w:t>
      </w:r>
    </w:p>
    <w:p w14:paraId="417F70AA">
      <w:pPr>
        <w:spacing w:line="360" w:lineRule="auto"/>
        <w:ind w:firstLine="480" w:firstLineChars="200"/>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6、乙方有义务对本合同项目甲方需要的系统运营、维护、使用等方面事宜提供有关咨询解答服务。</w:t>
      </w:r>
    </w:p>
    <w:p w14:paraId="068A6003">
      <w:pPr>
        <w:spacing w:line="360" w:lineRule="auto"/>
        <w:ind w:firstLine="480" w:firstLineChars="200"/>
        <w:rPr>
          <w:rFonts w:hint="eastAsia" w:asciiTheme="majorEastAsia" w:hAnsiTheme="majorEastAsia" w:eastAsiaTheme="majorEastAsia" w:cstheme="majorEastAsia"/>
          <w:sz w:val="24"/>
          <w:highlight w:val="none"/>
          <w:lang w:val="en-US" w:eastAsia="zh-CN"/>
        </w:rPr>
      </w:pPr>
      <w:r>
        <w:rPr>
          <w:rFonts w:hint="eastAsia" w:asciiTheme="majorEastAsia" w:hAnsiTheme="majorEastAsia" w:eastAsiaTheme="majorEastAsia" w:cstheme="majorEastAsia"/>
          <w:sz w:val="24"/>
          <w:highlight w:val="none"/>
          <w:lang w:val="en-US" w:eastAsia="zh-CN"/>
        </w:rPr>
        <w:t>7、供应商应提供下列技术、售后等服务中的全部服务:</w:t>
      </w:r>
    </w:p>
    <w:p w14:paraId="24A6D231">
      <w:pPr>
        <w:spacing w:line="360" w:lineRule="auto"/>
        <w:ind w:firstLine="960" w:firstLineChars="400"/>
        <w:rPr>
          <w:rFonts w:hint="eastAsia" w:asciiTheme="majorEastAsia" w:hAnsiTheme="majorEastAsia" w:eastAsiaTheme="majorEastAsia" w:cstheme="majorEastAsia"/>
          <w:sz w:val="24"/>
          <w:highlight w:val="none"/>
          <w:lang w:val="en-US" w:eastAsia="zh-CN"/>
        </w:rPr>
      </w:pPr>
      <w:r>
        <w:rPr>
          <w:rFonts w:hint="eastAsia" w:asciiTheme="majorEastAsia" w:hAnsiTheme="majorEastAsia" w:eastAsiaTheme="majorEastAsia" w:cstheme="majorEastAsia"/>
          <w:sz w:val="24"/>
          <w:highlight w:val="none"/>
          <w:lang w:val="en-US" w:eastAsia="zh-CN"/>
        </w:rPr>
        <w:t>1.实施或监督货物的运输、现场移动、安装和调试;</w:t>
      </w:r>
    </w:p>
    <w:p w14:paraId="7FF75082">
      <w:pPr>
        <w:spacing w:line="360" w:lineRule="auto"/>
        <w:ind w:firstLine="960" w:firstLineChars="400"/>
        <w:rPr>
          <w:rFonts w:hint="eastAsia" w:asciiTheme="majorEastAsia" w:hAnsiTheme="majorEastAsia" w:eastAsiaTheme="majorEastAsia" w:cstheme="majorEastAsia"/>
          <w:sz w:val="24"/>
          <w:highlight w:val="none"/>
          <w:lang w:val="en-US" w:eastAsia="zh-CN"/>
        </w:rPr>
      </w:pPr>
      <w:r>
        <w:rPr>
          <w:rFonts w:hint="eastAsia" w:asciiTheme="majorEastAsia" w:hAnsiTheme="majorEastAsia" w:eastAsiaTheme="majorEastAsia" w:cstheme="majorEastAsia"/>
          <w:sz w:val="24"/>
          <w:highlight w:val="none"/>
          <w:lang w:val="en-US" w:eastAsia="zh-CN"/>
        </w:rPr>
        <w:t>2.提供货物组装和维修所需的专用工具和辅助材料;</w:t>
      </w:r>
    </w:p>
    <w:p w14:paraId="2783D13F">
      <w:pPr>
        <w:spacing w:line="360" w:lineRule="auto"/>
        <w:ind w:firstLine="960" w:firstLineChars="400"/>
        <w:rPr>
          <w:rFonts w:hint="eastAsia" w:asciiTheme="majorEastAsia" w:hAnsiTheme="majorEastAsia" w:eastAsiaTheme="majorEastAsia" w:cstheme="majorEastAsia"/>
          <w:sz w:val="24"/>
          <w:highlight w:val="none"/>
          <w:lang w:val="en-US" w:eastAsia="zh-CN"/>
        </w:rPr>
      </w:pPr>
      <w:r>
        <w:rPr>
          <w:rFonts w:hint="eastAsia" w:asciiTheme="majorEastAsia" w:hAnsiTheme="majorEastAsia" w:eastAsiaTheme="majorEastAsia" w:cstheme="majorEastAsia"/>
          <w:sz w:val="24"/>
          <w:highlight w:val="none"/>
          <w:lang w:val="en-US" w:eastAsia="zh-CN"/>
        </w:rPr>
        <w:t>3.提交所供货物的技术文件，包括中文技术文件，例如:货物目录、图纸、操作手册、使用说明、维护手册、服务指南;</w:t>
      </w:r>
    </w:p>
    <w:p w14:paraId="6B07FD07">
      <w:pPr>
        <w:spacing w:line="360" w:lineRule="auto"/>
        <w:ind w:firstLine="960" w:firstLineChars="400"/>
        <w:rPr>
          <w:rFonts w:hint="eastAsia" w:asciiTheme="majorEastAsia" w:hAnsiTheme="majorEastAsia" w:eastAsiaTheme="majorEastAsia" w:cstheme="majorEastAsia"/>
          <w:sz w:val="24"/>
          <w:highlight w:val="none"/>
          <w:lang w:val="en-US" w:eastAsia="zh-CN"/>
        </w:rPr>
      </w:pPr>
      <w:r>
        <w:rPr>
          <w:rFonts w:hint="eastAsia" w:asciiTheme="majorEastAsia" w:hAnsiTheme="majorEastAsia" w:eastAsiaTheme="majorEastAsia" w:cstheme="majorEastAsia"/>
          <w:sz w:val="24"/>
          <w:highlight w:val="none"/>
          <w:lang w:val="en-US" w:eastAsia="zh-CN"/>
        </w:rPr>
        <w:t>4.在项目现场就所供货物的组装、试运行、运行、维护、修理对买方人员进行培训。</w:t>
      </w:r>
    </w:p>
    <w:p w14:paraId="01BB8842">
      <w:pPr>
        <w:spacing w:line="360" w:lineRule="auto"/>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 xml:space="preserve">    </w:t>
      </w:r>
      <w:r>
        <w:rPr>
          <w:rFonts w:hint="eastAsia" w:asciiTheme="majorEastAsia" w:hAnsiTheme="majorEastAsia" w:eastAsiaTheme="majorEastAsia" w:cstheme="majorEastAsia"/>
          <w:b/>
          <w:sz w:val="24"/>
          <w:highlight w:val="none"/>
        </w:rPr>
        <w:t>五、交货条件：</w:t>
      </w:r>
    </w:p>
    <w:p w14:paraId="6A598E14">
      <w:pPr>
        <w:spacing w:line="360" w:lineRule="auto"/>
        <w:ind w:firstLine="480"/>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一、交货期：自合同签订之日起45个日历日完成全部项目内容，并交付采购人验收合格。</w:t>
      </w:r>
    </w:p>
    <w:p w14:paraId="7DBCE586">
      <w:pPr>
        <w:spacing w:line="360" w:lineRule="auto"/>
        <w:ind w:firstLine="480"/>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二、交货地点：甲方指定地点。</w:t>
      </w:r>
    </w:p>
    <w:p w14:paraId="0B86F9E3">
      <w:pPr>
        <w:tabs>
          <w:tab w:val="left" w:pos="480"/>
        </w:tabs>
        <w:spacing w:line="360" w:lineRule="auto"/>
        <w:ind w:firstLine="482" w:firstLineChars="200"/>
        <w:rPr>
          <w:rFonts w:hint="eastAsia" w:asciiTheme="majorEastAsia" w:hAnsiTheme="majorEastAsia" w:eastAsiaTheme="majorEastAsia" w:cstheme="majorEastAsia"/>
          <w:b/>
          <w:sz w:val="24"/>
          <w:highlight w:val="none"/>
        </w:rPr>
      </w:pPr>
      <w:r>
        <w:rPr>
          <w:rFonts w:hint="eastAsia" w:asciiTheme="majorEastAsia" w:hAnsiTheme="majorEastAsia" w:eastAsiaTheme="majorEastAsia" w:cstheme="majorEastAsia"/>
          <w:b/>
          <w:sz w:val="24"/>
          <w:highlight w:val="none"/>
        </w:rPr>
        <w:t>六、运输</w:t>
      </w:r>
    </w:p>
    <w:p w14:paraId="657B334F">
      <w:pPr>
        <w:tabs>
          <w:tab w:val="left" w:pos="480"/>
        </w:tabs>
        <w:spacing w:line="360" w:lineRule="auto"/>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ab/>
      </w:r>
      <w:r>
        <w:rPr>
          <w:rFonts w:hint="eastAsia" w:asciiTheme="majorEastAsia" w:hAnsiTheme="majorEastAsia" w:eastAsiaTheme="majorEastAsia" w:cstheme="majorEastAsia"/>
          <w:sz w:val="24"/>
          <w:highlight w:val="none"/>
        </w:rPr>
        <w:t>（一）运输由乙方负责，运杂费已包含在合同总价内，包括从货物供应地点所含的运输费、装卸费、仓储费、保险费等。</w:t>
      </w:r>
    </w:p>
    <w:p w14:paraId="6B8BAF51">
      <w:pPr>
        <w:spacing w:line="360" w:lineRule="auto"/>
        <w:ind w:firstLine="420"/>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（二）运输方式由乙方自行选择，但必须保证按期交货。</w:t>
      </w:r>
    </w:p>
    <w:p w14:paraId="33B389F6">
      <w:pPr>
        <w:spacing w:line="360" w:lineRule="auto"/>
        <w:ind w:firstLine="420"/>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（三）验收合格前货物毁损、灭失的风险由乙方承担。</w:t>
      </w:r>
    </w:p>
    <w:p w14:paraId="714F36F7">
      <w:pPr>
        <w:tabs>
          <w:tab w:val="left" w:pos="480"/>
        </w:tabs>
        <w:spacing w:line="360" w:lineRule="auto"/>
        <w:ind w:firstLine="472" w:firstLineChars="196"/>
        <w:rPr>
          <w:rFonts w:hint="eastAsia" w:asciiTheme="majorEastAsia" w:hAnsiTheme="majorEastAsia" w:eastAsiaTheme="majorEastAsia" w:cstheme="majorEastAsia"/>
          <w:b/>
          <w:sz w:val="24"/>
          <w:highlight w:val="none"/>
        </w:rPr>
      </w:pPr>
      <w:r>
        <w:rPr>
          <w:rFonts w:hint="eastAsia" w:asciiTheme="majorEastAsia" w:hAnsiTheme="majorEastAsia" w:eastAsiaTheme="majorEastAsia" w:cstheme="majorEastAsia"/>
          <w:b/>
          <w:sz w:val="24"/>
          <w:highlight w:val="none"/>
        </w:rPr>
        <w:t>七、质量保证</w:t>
      </w:r>
    </w:p>
    <w:p w14:paraId="3AC8AC44">
      <w:pPr>
        <w:spacing w:line="360" w:lineRule="auto"/>
        <w:ind w:firstLine="482" w:firstLineChars="200"/>
        <w:rPr>
          <w:rFonts w:hint="eastAsia" w:asciiTheme="majorEastAsia" w:hAnsiTheme="majorEastAsia" w:eastAsiaTheme="majorEastAsia" w:cstheme="majorEastAsia"/>
          <w:b/>
          <w:sz w:val="24"/>
          <w:highlight w:val="none"/>
        </w:rPr>
      </w:pPr>
      <w:r>
        <w:rPr>
          <w:rFonts w:hint="eastAsia" w:asciiTheme="majorEastAsia" w:hAnsiTheme="majorEastAsia" w:eastAsiaTheme="majorEastAsia" w:cstheme="majorEastAsia"/>
          <w:b/>
          <w:sz w:val="24"/>
          <w:highlight w:val="none"/>
          <w:lang w:eastAsia="zh-CN"/>
        </w:rPr>
        <w:t>质量保证期：整体质保期为三年。</w:t>
      </w:r>
    </w:p>
    <w:p w14:paraId="38D7136A">
      <w:pPr>
        <w:tabs>
          <w:tab w:val="left" w:pos="480"/>
        </w:tabs>
        <w:spacing w:line="360" w:lineRule="auto"/>
        <w:ind w:firstLine="470" w:firstLineChars="196"/>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乙方所供货物必须执行下列条款：</w:t>
      </w:r>
    </w:p>
    <w:p w14:paraId="2FF10110">
      <w:pPr>
        <w:tabs>
          <w:tab w:val="left" w:pos="480"/>
        </w:tabs>
        <w:spacing w:line="360" w:lineRule="auto"/>
        <w:ind w:firstLine="480" w:firstLineChars="200"/>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（一）保证技术指标先进、质量性能可靠、进货渠道正常，配置合理，全面满足</w:t>
      </w:r>
      <w:r>
        <w:rPr>
          <w:rFonts w:hint="eastAsia" w:asciiTheme="majorEastAsia" w:hAnsiTheme="majorEastAsia" w:eastAsiaTheme="majorEastAsia" w:cstheme="majorEastAsia"/>
          <w:sz w:val="24"/>
          <w:highlight w:val="none"/>
          <w:lang w:eastAsia="zh-CN"/>
        </w:rPr>
        <w:t>招标</w:t>
      </w:r>
      <w:r>
        <w:rPr>
          <w:rFonts w:hint="eastAsia" w:asciiTheme="majorEastAsia" w:hAnsiTheme="majorEastAsia" w:eastAsiaTheme="majorEastAsia" w:cstheme="majorEastAsia"/>
          <w:sz w:val="24"/>
          <w:highlight w:val="none"/>
        </w:rPr>
        <w:t>文件要求。</w:t>
      </w:r>
    </w:p>
    <w:p w14:paraId="58DE0C6E">
      <w:pPr>
        <w:tabs>
          <w:tab w:val="left" w:pos="480"/>
        </w:tabs>
        <w:spacing w:line="360" w:lineRule="auto"/>
        <w:ind w:firstLine="480" w:firstLineChars="200"/>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（二）符合国家有关规范要求，确保达到最佳运行状态。</w:t>
      </w:r>
    </w:p>
    <w:p w14:paraId="14F43410">
      <w:pPr>
        <w:tabs>
          <w:tab w:val="left" w:pos="480"/>
        </w:tabs>
        <w:spacing w:line="360" w:lineRule="auto"/>
        <w:ind w:firstLine="480" w:firstLineChars="200"/>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（三）具有良好的外观，适合安装场所的使用。</w:t>
      </w:r>
    </w:p>
    <w:p w14:paraId="322A28B0">
      <w:pPr>
        <w:tabs>
          <w:tab w:val="left" w:pos="480"/>
        </w:tabs>
        <w:spacing w:line="360" w:lineRule="auto"/>
        <w:ind w:firstLine="480" w:firstLineChars="200"/>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（四）自安装、调试正常运行并验收合格之日起：</w:t>
      </w:r>
    </w:p>
    <w:p w14:paraId="05827E4F">
      <w:pPr>
        <w:spacing w:line="360" w:lineRule="auto"/>
        <w:ind w:firstLine="482" w:firstLineChars="200"/>
        <w:rPr>
          <w:rFonts w:hint="eastAsia" w:asciiTheme="majorEastAsia" w:hAnsiTheme="majorEastAsia" w:eastAsiaTheme="majorEastAsia" w:cstheme="majorEastAsia"/>
          <w:b/>
          <w:sz w:val="24"/>
          <w:highlight w:val="none"/>
        </w:rPr>
      </w:pPr>
      <w:r>
        <w:rPr>
          <w:rFonts w:hint="eastAsia" w:asciiTheme="majorEastAsia" w:hAnsiTheme="majorEastAsia" w:eastAsiaTheme="majorEastAsia" w:cstheme="majorEastAsia"/>
          <w:b/>
          <w:sz w:val="24"/>
          <w:highlight w:val="none"/>
        </w:rPr>
        <w:t>八、售后服务要求</w:t>
      </w:r>
    </w:p>
    <w:p w14:paraId="195A9946">
      <w:pPr>
        <w:pStyle w:val="6"/>
        <w:ind w:firstLine="480"/>
        <w:rPr>
          <w:rFonts w:hint="eastAsia" w:asciiTheme="majorEastAsia" w:hAnsiTheme="majorEastAsia" w:eastAsiaTheme="majorEastAsia" w:cstheme="majorEastAsia"/>
          <w:sz w:val="24"/>
          <w:szCs w:val="24"/>
          <w:highlight w:val="none"/>
          <w:lang w:val="en-US"/>
        </w:rPr>
      </w:pPr>
      <w:r>
        <w:rPr>
          <w:rFonts w:hint="eastAsia" w:asciiTheme="majorEastAsia" w:hAnsiTheme="majorEastAsia" w:eastAsiaTheme="majorEastAsia" w:cstheme="majorEastAsia"/>
          <w:sz w:val="24"/>
          <w:highlight w:val="none"/>
        </w:rPr>
        <w:t>（一）</w:t>
      </w:r>
      <w:r>
        <w:rPr>
          <w:rFonts w:hint="eastAsia" w:asciiTheme="majorEastAsia" w:hAnsiTheme="majorEastAsia" w:eastAsiaTheme="majorEastAsia" w:cstheme="majorEastAsia"/>
          <w:sz w:val="24"/>
          <w:szCs w:val="24"/>
          <w:highlight w:val="none"/>
          <w:lang w:val="en-US"/>
        </w:rPr>
        <w:t>乙方需具备良好的应急处理能力，质保</w:t>
      </w:r>
      <w:r>
        <w:rPr>
          <w:rFonts w:hint="eastAsia" w:asciiTheme="majorEastAsia" w:hAnsiTheme="majorEastAsia" w:eastAsiaTheme="majorEastAsia" w:cstheme="majorEastAsia"/>
          <w:color w:val="000000"/>
          <w:sz w:val="24"/>
          <w:szCs w:val="24"/>
          <w:highlight w:val="none"/>
          <w:lang w:val="en-US"/>
        </w:rPr>
        <w:t>期内接到甲方故障通知后30分钟</w:t>
      </w:r>
      <w:r>
        <w:rPr>
          <w:rFonts w:hint="eastAsia" w:asciiTheme="majorEastAsia" w:hAnsiTheme="majorEastAsia" w:eastAsiaTheme="majorEastAsia" w:cstheme="majorEastAsia"/>
          <w:sz w:val="24"/>
          <w:szCs w:val="24"/>
          <w:highlight w:val="none"/>
          <w:lang w:val="en-US"/>
        </w:rPr>
        <w:t>内响应，需要进行现场支持的故障问题，</w:t>
      </w:r>
      <w:r>
        <w:rPr>
          <w:rFonts w:hint="eastAsia" w:asciiTheme="majorEastAsia" w:hAnsiTheme="majorEastAsia" w:eastAsiaTheme="majorEastAsia" w:cstheme="majorEastAsia"/>
          <w:sz w:val="24"/>
          <w:szCs w:val="24"/>
          <w:highlight w:val="none"/>
          <w:lang w:val="en-US" w:eastAsia="zh-CN"/>
        </w:rPr>
        <w:t>2</w:t>
      </w:r>
      <w:r>
        <w:rPr>
          <w:rFonts w:hint="eastAsia" w:asciiTheme="majorEastAsia" w:hAnsiTheme="majorEastAsia" w:eastAsiaTheme="majorEastAsia" w:cstheme="majorEastAsia"/>
          <w:sz w:val="24"/>
          <w:szCs w:val="24"/>
          <w:highlight w:val="none"/>
          <w:lang w:val="en-US"/>
        </w:rPr>
        <w:t>4小时内委派专业技术人员到现场免费提供咨询、维修等服务；</w:t>
      </w:r>
    </w:p>
    <w:p w14:paraId="04F6C2FE">
      <w:pPr>
        <w:pStyle w:val="6"/>
        <w:ind w:firstLine="480"/>
        <w:rPr>
          <w:rFonts w:hint="eastAsia" w:asciiTheme="majorEastAsia" w:hAnsiTheme="majorEastAsia" w:eastAsiaTheme="majorEastAsia" w:cstheme="majorEastAsia"/>
          <w:sz w:val="24"/>
          <w:szCs w:val="24"/>
          <w:highlight w:val="none"/>
          <w:lang w:val="en-US"/>
        </w:rPr>
      </w:pPr>
      <w:r>
        <w:rPr>
          <w:rFonts w:hint="eastAsia" w:asciiTheme="majorEastAsia" w:hAnsiTheme="majorEastAsia" w:eastAsiaTheme="majorEastAsia" w:cstheme="majorEastAsia"/>
          <w:sz w:val="24"/>
          <w:highlight w:val="none"/>
        </w:rPr>
        <w:t>（二）</w:t>
      </w:r>
      <w:r>
        <w:rPr>
          <w:rFonts w:hint="eastAsia" w:asciiTheme="majorEastAsia" w:hAnsiTheme="majorEastAsia" w:eastAsiaTheme="majorEastAsia" w:cstheme="majorEastAsia"/>
          <w:sz w:val="24"/>
          <w:szCs w:val="24"/>
          <w:highlight w:val="none"/>
          <w:lang w:val="en-US"/>
        </w:rPr>
        <w:t>乙方需能提供7*24的电话在线服务支持；</w:t>
      </w:r>
    </w:p>
    <w:p w14:paraId="43D97285">
      <w:pPr>
        <w:pStyle w:val="6"/>
        <w:ind w:firstLine="480"/>
        <w:rPr>
          <w:rFonts w:hint="eastAsia" w:asciiTheme="majorEastAsia" w:hAnsiTheme="majorEastAsia" w:eastAsiaTheme="majorEastAsia" w:cstheme="majorEastAsia"/>
          <w:sz w:val="24"/>
          <w:szCs w:val="24"/>
          <w:highlight w:val="none"/>
          <w:lang w:val="en-US"/>
        </w:rPr>
      </w:pPr>
      <w:r>
        <w:rPr>
          <w:rFonts w:hint="eastAsia" w:asciiTheme="majorEastAsia" w:hAnsiTheme="majorEastAsia" w:eastAsiaTheme="majorEastAsia" w:cstheme="majorEastAsia"/>
          <w:sz w:val="24"/>
          <w:highlight w:val="none"/>
        </w:rPr>
        <w:t>（</w:t>
      </w:r>
      <w:r>
        <w:rPr>
          <w:rFonts w:hint="eastAsia" w:asciiTheme="majorEastAsia" w:hAnsiTheme="majorEastAsia" w:eastAsiaTheme="majorEastAsia" w:cstheme="majorEastAsia"/>
          <w:sz w:val="24"/>
          <w:highlight w:val="none"/>
          <w:lang w:eastAsia="zh-CN"/>
        </w:rPr>
        <w:t>三</w:t>
      </w:r>
      <w:r>
        <w:rPr>
          <w:rFonts w:hint="eastAsia" w:asciiTheme="majorEastAsia" w:hAnsiTheme="majorEastAsia" w:eastAsiaTheme="majorEastAsia" w:cstheme="majorEastAsia"/>
          <w:sz w:val="24"/>
          <w:highlight w:val="none"/>
        </w:rPr>
        <w:t>）</w:t>
      </w:r>
      <w:r>
        <w:rPr>
          <w:rFonts w:hint="eastAsia" w:asciiTheme="majorEastAsia" w:hAnsiTheme="majorEastAsia" w:eastAsiaTheme="majorEastAsia" w:cstheme="majorEastAsia"/>
          <w:sz w:val="24"/>
          <w:szCs w:val="24"/>
          <w:highlight w:val="none"/>
          <w:lang w:val="en-US"/>
        </w:rPr>
        <w:t>投标所包含的产品提供从验收合格之日起三年的免费生产厂商质保服务。</w:t>
      </w:r>
    </w:p>
    <w:p w14:paraId="2D5328BA">
      <w:pPr>
        <w:pStyle w:val="6"/>
        <w:ind w:firstLine="480"/>
        <w:rPr>
          <w:rFonts w:hint="eastAsia" w:asciiTheme="majorEastAsia" w:hAnsiTheme="majorEastAsia" w:eastAsiaTheme="majorEastAsia" w:cstheme="majorEastAsia"/>
          <w:sz w:val="24"/>
          <w:szCs w:val="24"/>
          <w:highlight w:val="none"/>
          <w:lang w:val="en-US"/>
        </w:rPr>
      </w:pPr>
      <w:r>
        <w:rPr>
          <w:rFonts w:hint="eastAsia" w:asciiTheme="majorEastAsia" w:hAnsiTheme="majorEastAsia" w:eastAsiaTheme="majorEastAsia" w:cstheme="majorEastAsia"/>
          <w:sz w:val="24"/>
          <w:highlight w:val="none"/>
        </w:rPr>
        <w:t>（</w:t>
      </w:r>
      <w:r>
        <w:rPr>
          <w:rFonts w:hint="eastAsia" w:asciiTheme="majorEastAsia" w:hAnsiTheme="majorEastAsia" w:eastAsiaTheme="majorEastAsia" w:cstheme="majorEastAsia"/>
          <w:sz w:val="24"/>
          <w:highlight w:val="none"/>
          <w:lang w:eastAsia="zh-CN"/>
        </w:rPr>
        <w:t>四</w:t>
      </w:r>
      <w:r>
        <w:rPr>
          <w:rFonts w:hint="eastAsia" w:asciiTheme="majorEastAsia" w:hAnsiTheme="majorEastAsia" w:eastAsiaTheme="majorEastAsia" w:cstheme="majorEastAsia"/>
          <w:sz w:val="24"/>
          <w:highlight w:val="none"/>
        </w:rPr>
        <w:t>）</w:t>
      </w:r>
      <w:r>
        <w:rPr>
          <w:rFonts w:hint="eastAsia" w:asciiTheme="majorEastAsia" w:hAnsiTheme="majorEastAsia" w:eastAsiaTheme="majorEastAsia" w:cstheme="majorEastAsia"/>
          <w:sz w:val="24"/>
          <w:szCs w:val="24"/>
          <w:highlight w:val="none"/>
          <w:lang w:val="en-US"/>
        </w:rPr>
        <w:t>项目组织机构完整，实施计划完整可行。项目配置、安装调试、检测、启动运行方面措施得力，并有专业队伍和技术人员支持。</w:t>
      </w:r>
    </w:p>
    <w:p w14:paraId="6841CB95">
      <w:pPr>
        <w:pStyle w:val="6"/>
        <w:ind w:firstLine="602" w:firstLineChars="250"/>
        <w:rPr>
          <w:rFonts w:hint="eastAsia" w:asciiTheme="majorEastAsia" w:hAnsiTheme="majorEastAsia" w:eastAsiaTheme="majorEastAsia" w:cstheme="majorEastAsia"/>
          <w:b/>
          <w:sz w:val="24"/>
          <w:szCs w:val="24"/>
          <w:highlight w:val="none"/>
          <w:lang w:val="en-US"/>
        </w:rPr>
      </w:pPr>
      <w:r>
        <w:rPr>
          <w:rFonts w:hint="eastAsia" w:asciiTheme="majorEastAsia" w:hAnsiTheme="majorEastAsia" w:eastAsiaTheme="majorEastAsia" w:cstheme="majorEastAsia"/>
          <w:b/>
          <w:sz w:val="24"/>
          <w:szCs w:val="24"/>
          <w:highlight w:val="none"/>
          <w:lang w:val="en-US"/>
        </w:rPr>
        <w:t>九.人员要求</w:t>
      </w:r>
    </w:p>
    <w:p w14:paraId="4C8382C9">
      <w:pPr>
        <w:pStyle w:val="6"/>
        <w:ind w:firstLine="480"/>
        <w:rPr>
          <w:rFonts w:hint="eastAsia" w:asciiTheme="majorEastAsia" w:hAnsiTheme="majorEastAsia" w:eastAsiaTheme="majorEastAsia" w:cstheme="majorEastAsia"/>
          <w:sz w:val="24"/>
          <w:szCs w:val="24"/>
          <w:highlight w:val="none"/>
          <w:lang w:val="en-US"/>
        </w:rPr>
      </w:pPr>
      <w:r>
        <w:rPr>
          <w:rFonts w:hint="eastAsia" w:asciiTheme="majorEastAsia" w:hAnsiTheme="majorEastAsia" w:eastAsiaTheme="majorEastAsia" w:cstheme="majorEastAsia"/>
          <w:sz w:val="24"/>
          <w:szCs w:val="24"/>
          <w:highlight w:val="none"/>
          <w:lang w:val="en-US"/>
        </w:rPr>
        <w:t>签订合同后，在服务期间，中标供应商必须注意院内服务人员安全，加强安全措施，并对服务人员进行安全教育。服务人员必须持证上岗。项目实施过程中保障所有系统正常运行，技术保障人员必须有对应的工程师证书。因</w:t>
      </w:r>
      <w:r>
        <w:rPr>
          <w:rFonts w:hint="eastAsia" w:asciiTheme="majorEastAsia" w:hAnsiTheme="majorEastAsia" w:eastAsiaTheme="majorEastAsia" w:cstheme="majorEastAsia"/>
          <w:sz w:val="24"/>
          <w:szCs w:val="24"/>
          <w:highlight w:val="none"/>
          <w:lang w:val="en-US" w:eastAsia="zh-CN"/>
        </w:rPr>
        <w:t>产品安装调试</w:t>
      </w:r>
      <w:r>
        <w:rPr>
          <w:rFonts w:hint="eastAsia" w:asciiTheme="majorEastAsia" w:hAnsiTheme="majorEastAsia" w:eastAsiaTheme="majorEastAsia" w:cstheme="majorEastAsia"/>
          <w:sz w:val="24"/>
          <w:szCs w:val="24"/>
          <w:highlight w:val="none"/>
          <w:lang w:val="en-US"/>
        </w:rPr>
        <w:t>过程中产生对</w:t>
      </w:r>
      <w:r>
        <w:rPr>
          <w:rFonts w:hint="eastAsia" w:asciiTheme="majorEastAsia" w:hAnsiTheme="majorEastAsia" w:eastAsiaTheme="majorEastAsia" w:cstheme="majorEastAsia"/>
          <w:sz w:val="24"/>
          <w:szCs w:val="24"/>
          <w:highlight w:val="none"/>
          <w:lang w:val="en-US" w:eastAsia="zh-CN"/>
        </w:rPr>
        <w:t>我院</w:t>
      </w:r>
      <w:r>
        <w:rPr>
          <w:rFonts w:hint="eastAsia" w:asciiTheme="majorEastAsia" w:hAnsiTheme="majorEastAsia" w:eastAsiaTheme="majorEastAsia" w:cstheme="majorEastAsia"/>
          <w:sz w:val="24"/>
          <w:szCs w:val="24"/>
          <w:highlight w:val="none"/>
          <w:lang w:val="en-US"/>
        </w:rPr>
        <w:t>造成不良影响的由供应商负责。</w:t>
      </w:r>
    </w:p>
    <w:p w14:paraId="659FE75C">
      <w:pPr>
        <w:tabs>
          <w:tab w:val="left" w:pos="480"/>
        </w:tabs>
        <w:spacing w:line="360" w:lineRule="auto"/>
        <w:ind w:firstLine="482" w:firstLineChars="200"/>
        <w:rPr>
          <w:rFonts w:hint="eastAsia" w:asciiTheme="majorEastAsia" w:hAnsiTheme="majorEastAsia" w:eastAsiaTheme="majorEastAsia" w:cstheme="majorEastAsia"/>
          <w:b/>
          <w:sz w:val="24"/>
          <w:highlight w:val="none"/>
        </w:rPr>
      </w:pPr>
      <w:r>
        <w:rPr>
          <w:rFonts w:hint="eastAsia" w:asciiTheme="majorEastAsia" w:hAnsiTheme="majorEastAsia" w:eastAsiaTheme="majorEastAsia" w:cstheme="majorEastAsia"/>
          <w:b/>
          <w:sz w:val="24"/>
          <w:highlight w:val="none"/>
        </w:rPr>
        <w:t>十、技术与服务</w:t>
      </w:r>
    </w:p>
    <w:p w14:paraId="300A1DB3">
      <w:pPr>
        <w:tabs>
          <w:tab w:val="left" w:pos="480"/>
        </w:tabs>
        <w:spacing w:line="360" w:lineRule="auto"/>
        <w:ind w:firstLine="480" w:firstLineChars="200"/>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（一）技术资料：</w:t>
      </w:r>
    </w:p>
    <w:p w14:paraId="3F87D624">
      <w:pPr>
        <w:tabs>
          <w:tab w:val="left" w:pos="480"/>
        </w:tabs>
        <w:spacing w:line="360" w:lineRule="auto"/>
        <w:ind w:firstLine="480" w:firstLineChars="200"/>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1、货物合格证；</w:t>
      </w:r>
    </w:p>
    <w:p w14:paraId="1319A737">
      <w:pPr>
        <w:tabs>
          <w:tab w:val="left" w:pos="480"/>
        </w:tabs>
        <w:spacing w:line="360" w:lineRule="auto"/>
        <w:ind w:firstLine="480" w:firstLineChars="200"/>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2、货物使用说明书（中文）；</w:t>
      </w:r>
    </w:p>
    <w:p w14:paraId="341CD33E">
      <w:pPr>
        <w:tabs>
          <w:tab w:val="left" w:pos="480"/>
        </w:tabs>
        <w:spacing w:line="360" w:lineRule="auto"/>
        <w:ind w:firstLine="480" w:firstLineChars="200"/>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3、货物商检证明；</w:t>
      </w:r>
    </w:p>
    <w:p w14:paraId="4B75B248">
      <w:pPr>
        <w:tabs>
          <w:tab w:val="left" w:pos="480"/>
        </w:tabs>
        <w:spacing w:line="360" w:lineRule="auto"/>
        <w:ind w:firstLine="480" w:firstLineChars="200"/>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4、项目竣工资料、检验测试报告；</w:t>
      </w:r>
    </w:p>
    <w:p w14:paraId="3D661DCA">
      <w:pPr>
        <w:tabs>
          <w:tab w:val="left" w:pos="480"/>
        </w:tabs>
        <w:spacing w:line="360" w:lineRule="auto"/>
        <w:ind w:firstLine="480" w:firstLineChars="200"/>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5、其它资料。</w:t>
      </w:r>
    </w:p>
    <w:p w14:paraId="691E2BE6">
      <w:pPr>
        <w:tabs>
          <w:tab w:val="left" w:pos="480"/>
        </w:tabs>
        <w:spacing w:line="360" w:lineRule="auto"/>
        <w:ind w:firstLine="480" w:firstLineChars="200"/>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（二）服务承诺：以</w:t>
      </w:r>
      <w:r>
        <w:rPr>
          <w:rFonts w:hint="eastAsia" w:asciiTheme="majorEastAsia" w:hAnsiTheme="majorEastAsia" w:eastAsiaTheme="majorEastAsia" w:cstheme="majorEastAsia"/>
          <w:sz w:val="24"/>
          <w:highlight w:val="none"/>
          <w:lang w:eastAsia="zh-CN"/>
        </w:rPr>
        <w:t>投标</w:t>
      </w:r>
      <w:r>
        <w:rPr>
          <w:rFonts w:hint="eastAsia" w:asciiTheme="majorEastAsia" w:hAnsiTheme="majorEastAsia" w:eastAsiaTheme="majorEastAsia" w:cstheme="majorEastAsia"/>
          <w:sz w:val="24"/>
          <w:highlight w:val="none"/>
        </w:rPr>
        <w:t>响应文件、澄清表（函）、合同和随货物的相关文件为准。</w:t>
      </w:r>
    </w:p>
    <w:p w14:paraId="0A875A51">
      <w:pPr>
        <w:tabs>
          <w:tab w:val="left" w:pos="480"/>
        </w:tabs>
        <w:spacing w:line="360" w:lineRule="auto"/>
        <w:ind w:firstLine="482" w:firstLineChars="200"/>
        <w:rPr>
          <w:rFonts w:hint="eastAsia" w:asciiTheme="majorEastAsia" w:hAnsiTheme="majorEastAsia" w:eastAsiaTheme="majorEastAsia" w:cstheme="majorEastAsia"/>
          <w:b/>
          <w:sz w:val="24"/>
          <w:highlight w:val="none"/>
        </w:rPr>
      </w:pPr>
      <w:r>
        <w:rPr>
          <w:rFonts w:hint="eastAsia" w:asciiTheme="majorEastAsia" w:hAnsiTheme="majorEastAsia" w:eastAsiaTheme="majorEastAsia" w:cstheme="majorEastAsia"/>
          <w:b/>
          <w:sz w:val="24"/>
          <w:highlight w:val="none"/>
        </w:rPr>
        <w:t>十二、验收</w:t>
      </w:r>
    </w:p>
    <w:p w14:paraId="333DD3AA">
      <w:pPr>
        <w:tabs>
          <w:tab w:val="left" w:pos="480"/>
        </w:tabs>
        <w:spacing w:line="360" w:lineRule="auto"/>
        <w:ind w:firstLine="480" w:firstLineChars="200"/>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lang w:eastAsia="zh-CN"/>
        </w:rPr>
        <w:t>一、</w:t>
      </w:r>
      <w:r>
        <w:rPr>
          <w:rFonts w:hint="eastAsia" w:asciiTheme="majorEastAsia" w:hAnsiTheme="majorEastAsia" w:eastAsiaTheme="majorEastAsia" w:cstheme="majorEastAsia"/>
          <w:sz w:val="24"/>
          <w:highlight w:val="none"/>
        </w:rPr>
        <w:t>验收标准和依据</w:t>
      </w:r>
    </w:p>
    <w:p w14:paraId="63F3817F">
      <w:pPr>
        <w:tabs>
          <w:tab w:val="left" w:pos="480"/>
        </w:tabs>
        <w:spacing w:line="360" w:lineRule="auto"/>
        <w:ind w:firstLine="480" w:firstLineChars="200"/>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1、</w:t>
      </w:r>
      <w:r>
        <w:rPr>
          <w:rFonts w:hint="eastAsia" w:asciiTheme="majorEastAsia" w:hAnsiTheme="majorEastAsia" w:eastAsiaTheme="majorEastAsia" w:cstheme="majorEastAsia"/>
          <w:sz w:val="24"/>
          <w:highlight w:val="none"/>
          <w:lang w:eastAsia="zh-CN"/>
        </w:rPr>
        <w:t>招</w:t>
      </w:r>
      <w:r>
        <w:rPr>
          <w:rFonts w:hint="eastAsia" w:asciiTheme="majorEastAsia" w:hAnsiTheme="majorEastAsia" w:eastAsiaTheme="majorEastAsia" w:cstheme="majorEastAsia"/>
          <w:sz w:val="24"/>
          <w:highlight w:val="none"/>
        </w:rPr>
        <w:t>标文件、投标响应文件;</w:t>
      </w:r>
    </w:p>
    <w:p w14:paraId="79D11A1D">
      <w:pPr>
        <w:tabs>
          <w:tab w:val="left" w:pos="480"/>
        </w:tabs>
        <w:spacing w:line="360" w:lineRule="auto"/>
        <w:ind w:firstLine="480" w:firstLineChars="200"/>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2、本合同及附件文本;</w:t>
      </w:r>
    </w:p>
    <w:p w14:paraId="5467C41F">
      <w:pPr>
        <w:tabs>
          <w:tab w:val="left" w:pos="480"/>
        </w:tabs>
        <w:spacing w:line="360" w:lineRule="auto"/>
        <w:ind w:firstLine="480" w:firstLineChars="200"/>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3、国家相应的标准、规范。</w:t>
      </w:r>
    </w:p>
    <w:p w14:paraId="28431008">
      <w:pPr>
        <w:tabs>
          <w:tab w:val="left" w:pos="480"/>
        </w:tabs>
        <w:spacing w:line="360" w:lineRule="auto"/>
        <w:ind w:firstLine="480" w:firstLineChars="200"/>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lang w:eastAsia="zh-CN"/>
        </w:rPr>
        <w:t>二、</w:t>
      </w:r>
      <w:r>
        <w:rPr>
          <w:rFonts w:hint="eastAsia" w:asciiTheme="majorEastAsia" w:hAnsiTheme="majorEastAsia" w:eastAsiaTheme="majorEastAsia" w:cstheme="majorEastAsia"/>
          <w:sz w:val="24"/>
          <w:highlight w:val="none"/>
        </w:rPr>
        <w:t>规范</w:t>
      </w:r>
    </w:p>
    <w:p w14:paraId="71D49CE9">
      <w:pPr>
        <w:tabs>
          <w:tab w:val="left" w:pos="480"/>
        </w:tabs>
        <w:spacing w:line="360" w:lineRule="auto"/>
        <w:ind w:firstLine="480" w:firstLineChars="200"/>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合同中所有设备、备品备件，包括卖方自其他单位获得的所有附件和设备，除本规范书中规定的技术参数和要求外，其余均应遵照最新版本的国家标准(GB)和 IEC 标准及国际单位制(SI)，这是对设备的最低要求。</w:t>
      </w:r>
    </w:p>
    <w:p w14:paraId="5E1FDC5F">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0" w:firstLineChars="0"/>
        <w:jc w:val="left"/>
        <w:textAlignment w:val="auto"/>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《安全防范视频监控联网系统信息传输、交换、控制技术要求》GB/T28181-2016</w:t>
      </w:r>
    </w:p>
    <w:p w14:paraId="3F04A4CC">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0" w:firstLineChars="0"/>
        <w:jc w:val="left"/>
        <w:textAlignment w:val="auto"/>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《视频安防监控系统技术要求》GA/T367-2001</w:t>
      </w:r>
    </w:p>
    <w:p w14:paraId="2AF550A9">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0" w:firstLineChars="0"/>
        <w:jc w:val="left"/>
        <w:textAlignment w:val="auto"/>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《信息技术开放系统互连网络层安全协议》GB/T17963</w:t>
      </w:r>
    </w:p>
    <w:p w14:paraId="55BB300A">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0" w:firstLineChars="0"/>
        <w:jc w:val="left"/>
        <w:textAlignment w:val="auto"/>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《安全防范系统雷电浪涌防护技术要求》GA/T670-2006</w:t>
      </w:r>
    </w:p>
    <w:p w14:paraId="6BD6DBC9">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0" w:firstLineChars="0"/>
        <w:jc w:val="left"/>
        <w:textAlignment w:val="auto"/>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《安全防范工程技术规范》GB50348-2004</w:t>
      </w:r>
    </w:p>
    <w:p w14:paraId="54B42123">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0" w:firstLineChars="0"/>
        <w:jc w:val="left"/>
        <w:textAlignment w:val="auto"/>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《民用闭路电视系统工程技术规范》GB50198-2011</w:t>
      </w:r>
    </w:p>
    <w:p w14:paraId="592F3A33">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0" w:firstLineChars="0"/>
        <w:jc w:val="left"/>
        <w:textAlignment w:val="auto"/>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《安全防范工程程序与要求》GA/T75-1994</w:t>
      </w:r>
    </w:p>
    <w:p w14:paraId="38E5E85F">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0" w:firstLineChars="0"/>
        <w:jc w:val="left"/>
        <w:textAlignment w:val="auto"/>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《安全防范系统验收规则》GA308-2001</w:t>
      </w:r>
    </w:p>
    <w:p w14:paraId="06B3F7C3">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0" w:firstLineChars="0"/>
        <w:jc w:val="left"/>
        <w:textAlignment w:val="auto"/>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《综合布线系统工程验收规范》GB50312-2007</w:t>
      </w:r>
    </w:p>
    <w:p w14:paraId="18BF630F">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0" w:firstLineChars="0"/>
        <w:jc w:val="left"/>
        <w:textAlignment w:val="auto"/>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《电气装置安装工程电缆线路施工及验收规范》GB50168-2006</w:t>
      </w:r>
    </w:p>
    <w:p w14:paraId="4D6E1960">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0" w:firstLineChars="0"/>
        <w:jc w:val="left"/>
        <w:textAlignment w:val="auto"/>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《电气装置安装工程接地装置施工及验收规范》GB50169-2006</w:t>
      </w:r>
    </w:p>
    <w:p w14:paraId="2D3C9B9E">
      <w:pPr>
        <w:tabs>
          <w:tab w:val="left" w:pos="480"/>
        </w:tabs>
        <w:spacing w:line="360" w:lineRule="auto"/>
        <w:ind w:firstLine="482" w:firstLineChars="200"/>
        <w:rPr>
          <w:rFonts w:hint="eastAsia" w:asciiTheme="majorEastAsia" w:hAnsiTheme="majorEastAsia" w:eastAsiaTheme="majorEastAsia" w:cstheme="majorEastAsia"/>
          <w:b/>
          <w:sz w:val="24"/>
          <w:highlight w:val="none"/>
        </w:rPr>
      </w:pPr>
      <w:r>
        <w:rPr>
          <w:rFonts w:hint="eastAsia" w:asciiTheme="majorEastAsia" w:hAnsiTheme="majorEastAsia" w:eastAsiaTheme="majorEastAsia" w:cstheme="majorEastAsia"/>
          <w:b/>
          <w:sz w:val="24"/>
          <w:highlight w:val="none"/>
        </w:rPr>
        <w:t>十三、违约责任</w:t>
      </w:r>
    </w:p>
    <w:p w14:paraId="56EF13B1">
      <w:pPr>
        <w:tabs>
          <w:tab w:val="left" w:pos="480"/>
        </w:tabs>
        <w:spacing w:line="360" w:lineRule="auto"/>
        <w:ind w:firstLine="480" w:firstLineChars="200"/>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（一）按《政府采购法》、《中华人民共和国民法典》中的相关条款执行。</w:t>
      </w:r>
    </w:p>
    <w:p w14:paraId="4AB7846F">
      <w:pPr>
        <w:tabs>
          <w:tab w:val="left" w:pos="480"/>
        </w:tabs>
        <w:spacing w:line="360" w:lineRule="auto"/>
        <w:ind w:firstLine="480" w:firstLineChars="200"/>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（二）未按合同要求提供产品或产品质量不能满足</w:t>
      </w:r>
      <w:r>
        <w:rPr>
          <w:rFonts w:hint="eastAsia" w:asciiTheme="majorEastAsia" w:hAnsiTheme="majorEastAsia" w:eastAsiaTheme="majorEastAsia" w:cstheme="majorEastAsia"/>
          <w:sz w:val="24"/>
          <w:highlight w:val="none"/>
          <w:lang w:eastAsia="zh-CN"/>
        </w:rPr>
        <w:t>招标</w:t>
      </w:r>
      <w:r>
        <w:rPr>
          <w:rFonts w:hint="eastAsia" w:asciiTheme="majorEastAsia" w:hAnsiTheme="majorEastAsia" w:eastAsiaTheme="majorEastAsia" w:cstheme="majorEastAsia"/>
          <w:sz w:val="24"/>
          <w:highlight w:val="none"/>
        </w:rPr>
        <w:t>文件技术要求，乙方必须在【3】日内无条件免费更换或整改，提高技术，完善质量，同时需向甲方支付【1】%的违约金；乙方拒不整改调整或整改调整【1】次后仍无法达到</w:t>
      </w:r>
      <w:r>
        <w:rPr>
          <w:rFonts w:hint="eastAsia" w:asciiTheme="majorEastAsia" w:hAnsiTheme="majorEastAsia" w:eastAsiaTheme="majorEastAsia" w:cstheme="majorEastAsia"/>
          <w:sz w:val="24"/>
          <w:highlight w:val="none"/>
          <w:lang w:eastAsia="zh-CN"/>
        </w:rPr>
        <w:t>招标</w:t>
      </w:r>
      <w:r>
        <w:rPr>
          <w:rFonts w:hint="eastAsia" w:asciiTheme="majorEastAsia" w:hAnsiTheme="majorEastAsia" w:eastAsiaTheme="majorEastAsia" w:cstheme="majorEastAsia"/>
          <w:sz w:val="24"/>
          <w:highlight w:val="none"/>
        </w:rPr>
        <w:t>文件要求的，甲方会同鉴定方有权解除合同，合同自书面解除通知送达乙方之日起解除，乙方应当按照合同总价的</w:t>
      </w:r>
      <w:r>
        <w:rPr>
          <w:rFonts w:hint="eastAsia" w:asciiTheme="majorEastAsia" w:hAnsiTheme="majorEastAsia" w:eastAsiaTheme="majorEastAsia" w:cstheme="majorEastAsia"/>
          <w:color w:val="FF0000"/>
          <w:sz w:val="24"/>
          <w:highlight w:val="none"/>
        </w:rPr>
        <w:t>【</w:t>
      </w:r>
      <w:r>
        <w:rPr>
          <w:rFonts w:hint="eastAsia" w:asciiTheme="majorEastAsia" w:hAnsiTheme="majorEastAsia" w:eastAsiaTheme="majorEastAsia" w:cstheme="majorEastAsia"/>
          <w:color w:val="FF0000"/>
          <w:sz w:val="24"/>
          <w:highlight w:val="none"/>
          <w:lang w:val="en-US" w:eastAsia="zh-CN"/>
        </w:rPr>
        <w:t>30</w:t>
      </w:r>
      <w:r>
        <w:rPr>
          <w:rFonts w:hint="eastAsia" w:asciiTheme="majorEastAsia" w:hAnsiTheme="majorEastAsia" w:eastAsiaTheme="majorEastAsia" w:cstheme="majorEastAsia"/>
          <w:color w:val="FF0000"/>
          <w:sz w:val="24"/>
          <w:highlight w:val="none"/>
        </w:rPr>
        <w:t>】</w:t>
      </w:r>
      <w:r>
        <w:rPr>
          <w:rFonts w:hint="eastAsia" w:asciiTheme="majorEastAsia" w:hAnsiTheme="majorEastAsia" w:eastAsiaTheme="majorEastAsia" w:cstheme="majorEastAsia"/>
          <w:sz w:val="24"/>
          <w:highlight w:val="none"/>
        </w:rPr>
        <w:t>%向甲方支付违约金，违约金不足以弥补甲方损失的，乙方需另行支付。同时，甲方有权对乙方的违约行为报监管机构进行相应的处罚。</w:t>
      </w:r>
    </w:p>
    <w:p w14:paraId="7A59AB25">
      <w:pPr>
        <w:tabs>
          <w:tab w:val="left" w:pos="480"/>
        </w:tabs>
        <w:spacing w:line="360" w:lineRule="auto"/>
        <w:ind w:firstLine="480" w:firstLineChars="200"/>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（三）乙方未按照合同约定期限履行义务时，每迟延一天，应当按照合同总价款的</w:t>
      </w:r>
      <w:r>
        <w:rPr>
          <w:rFonts w:hint="eastAsia" w:asciiTheme="majorEastAsia" w:hAnsiTheme="majorEastAsia" w:eastAsiaTheme="majorEastAsia" w:cstheme="majorEastAsia"/>
          <w:sz w:val="24"/>
          <w:highlight w:val="none"/>
          <w:u w:val="single"/>
        </w:rPr>
        <w:t xml:space="preserve">5 </w:t>
      </w:r>
      <w:r>
        <w:rPr>
          <w:rFonts w:hint="eastAsia" w:asciiTheme="majorEastAsia" w:hAnsiTheme="majorEastAsia" w:eastAsiaTheme="majorEastAsia" w:cstheme="majorEastAsia"/>
          <w:sz w:val="24"/>
          <w:highlight w:val="none"/>
        </w:rPr>
        <w:t>‰向甲方支付违约金；累计迟延【7】天时，视为乙方根本违约，甲方有权单方解除合同，合同自甲方书面解除通知送达乙方之日起解除，乙方应当按照合同总价的</w:t>
      </w:r>
      <w:r>
        <w:rPr>
          <w:rFonts w:hint="eastAsia" w:asciiTheme="majorEastAsia" w:hAnsiTheme="majorEastAsia" w:eastAsiaTheme="majorEastAsia" w:cstheme="majorEastAsia"/>
          <w:color w:val="FF0000"/>
          <w:sz w:val="24"/>
          <w:highlight w:val="none"/>
        </w:rPr>
        <w:t>【</w:t>
      </w:r>
      <w:r>
        <w:rPr>
          <w:rFonts w:hint="eastAsia" w:asciiTheme="majorEastAsia" w:hAnsiTheme="majorEastAsia" w:eastAsiaTheme="majorEastAsia" w:cstheme="majorEastAsia"/>
          <w:color w:val="FF0000"/>
          <w:sz w:val="24"/>
          <w:highlight w:val="none"/>
          <w:lang w:val="en-US" w:eastAsia="zh-CN"/>
        </w:rPr>
        <w:t>30</w:t>
      </w:r>
      <w:r>
        <w:rPr>
          <w:rFonts w:hint="eastAsia" w:asciiTheme="majorEastAsia" w:hAnsiTheme="majorEastAsia" w:eastAsiaTheme="majorEastAsia" w:cstheme="majorEastAsia"/>
          <w:color w:val="FF0000"/>
          <w:sz w:val="24"/>
          <w:highlight w:val="none"/>
        </w:rPr>
        <w:t>】%</w:t>
      </w:r>
      <w:r>
        <w:rPr>
          <w:rFonts w:hint="eastAsia" w:asciiTheme="majorEastAsia" w:hAnsiTheme="majorEastAsia" w:eastAsiaTheme="majorEastAsia" w:cstheme="majorEastAsia"/>
          <w:sz w:val="24"/>
          <w:highlight w:val="none"/>
        </w:rPr>
        <w:t>向甲方支付违约金，违约金不足以弥补甲方损失的，乙方需另行支付。</w:t>
      </w:r>
    </w:p>
    <w:p w14:paraId="43BC19B4">
      <w:pPr>
        <w:tabs>
          <w:tab w:val="left" w:pos="480"/>
        </w:tabs>
        <w:spacing w:line="360" w:lineRule="auto"/>
        <w:ind w:firstLine="480" w:firstLineChars="200"/>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四）乙方应就履行本合同所获取的甲方一切非公开信息进行保密，不得向第三方泄露，亦不得将上述信息用于其他商业目的，否则，甲方有权单方解除合同，合同自甲方书面解除通知送达乙方之日起解除，乙方应当按照合同总价的</w:t>
      </w:r>
      <w:r>
        <w:rPr>
          <w:rFonts w:hint="eastAsia" w:asciiTheme="majorEastAsia" w:hAnsiTheme="majorEastAsia" w:eastAsiaTheme="majorEastAsia" w:cstheme="majorEastAsia"/>
          <w:color w:val="FF0000"/>
          <w:sz w:val="24"/>
          <w:highlight w:val="none"/>
        </w:rPr>
        <w:t>【</w:t>
      </w:r>
      <w:r>
        <w:rPr>
          <w:rFonts w:hint="eastAsia" w:asciiTheme="majorEastAsia" w:hAnsiTheme="majorEastAsia" w:eastAsiaTheme="majorEastAsia" w:cstheme="majorEastAsia"/>
          <w:color w:val="FF0000"/>
          <w:sz w:val="24"/>
          <w:highlight w:val="none"/>
          <w:lang w:val="en-US" w:eastAsia="zh-CN"/>
        </w:rPr>
        <w:t>30</w:t>
      </w:r>
      <w:r>
        <w:rPr>
          <w:rFonts w:hint="eastAsia" w:asciiTheme="majorEastAsia" w:hAnsiTheme="majorEastAsia" w:eastAsiaTheme="majorEastAsia" w:cstheme="majorEastAsia"/>
          <w:color w:val="FF0000"/>
          <w:sz w:val="24"/>
          <w:highlight w:val="none"/>
        </w:rPr>
        <w:t>】%</w:t>
      </w:r>
      <w:r>
        <w:rPr>
          <w:rFonts w:hint="eastAsia" w:asciiTheme="majorEastAsia" w:hAnsiTheme="majorEastAsia" w:eastAsiaTheme="majorEastAsia" w:cstheme="majorEastAsia"/>
          <w:sz w:val="24"/>
          <w:highlight w:val="none"/>
        </w:rPr>
        <w:t>向甲方支付违约金，违约金不足以弥补甲方损失的，乙方需另行支付。</w:t>
      </w:r>
    </w:p>
    <w:p w14:paraId="3A9C08F1">
      <w:pPr>
        <w:tabs>
          <w:tab w:val="left" w:pos="480"/>
        </w:tabs>
        <w:spacing w:line="360" w:lineRule="auto"/>
        <w:ind w:firstLine="480" w:firstLineChars="200"/>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（五）乙方应确保本合同项下系统安全、平稳运行，不会对甲方既有系统、数据安全造成影响，否则应当就甲方因此产生的损失承担全部赔偿责任。</w:t>
      </w:r>
    </w:p>
    <w:p w14:paraId="6BC0457A">
      <w:pPr>
        <w:tabs>
          <w:tab w:val="left" w:pos="480"/>
        </w:tabs>
        <w:spacing w:line="360" w:lineRule="auto"/>
        <w:ind w:firstLine="480" w:firstLineChars="200"/>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（六）乙方违约时，甲方为主张权利而支出的各项费用由乙方承担。</w:t>
      </w:r>
    </w:p>
    <w:p w14:paraId="514C645F">
      <w:pPr>
        <w:tabs>
          <w:tab w:val="left" w:pos="480"/>
        </w:tabs>
        <w:spacing w:line="360" w:lineRule="auto"/>
        <w:ind w:firstLine="482" w:firstLineChars="200"/>
        <w:rPr>
          <w:rFonts w:hint="eastAsia" w:asciiTheme="majorEastAsia" w:hAnsiTheme="majorEastAsia" w:eastAsiaTheme="majorEastAsia" w:cstheme="majorEastAsia"/>
          <w:b/>
          <w:sz w:val="24"/>
          <w:highlight w:val="none"/>
        </w:rPr>
      </w:pPr>
      <w:r>
        <w:rPr>
          <w:rFonts w:hint="eastAsia" w:asciiTheme="majorEastAsia" w:hAnsiTheme="majorEastAsia" w:eastAsiaTheme="majorEastAsia" w:cstheme="majorEastAsia"/>
          <w:b/>
          <w:sz w:val="24"/>
          <w:highlight w:val="none"/>
        </w:rPr>
        <w:t>十四、合同争议解决的方式</w:t>
      </w:r>
    </w:p>
    <w:p w14:paraId="5E769C25">
      <w:pPr>
        <w:tabs>
          <w:tab w:val="left" w:pos="480"/>
        </w:tabs>
        <w:spacing w:line="360" w:lineRule="auto"/>
        <w:ind w:firstLine="480" w:firstLineChars="200"/>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本合同在履行过程中发生的争议，由甲、乙双方当事人协商解决，协商不成的，任意一方有权向甲方所在地人民法院起诉。</w:t>
      </w:r>
    </w:p>
    <w:p w14:paraId="011B472E">
      <w:pPr>
        <w:tabs>
          <w:tab w:val="left" w:pos="480"/>
        </w:tabs>
        <w:spacing w:line="360" w:lineRule="auto"/>
        <w:ind w:firstLine="472" w:firstLineChars="196"/>
        <w:rPr>
          <w:rFonts w:hint="eastAsia" w:asciiTheme="majorEastAsia" w:hAnsiTheme="majorEastAsia" w:eastAsiaTheme="majorEastAsia" w:cstheme="majorEastAsia"/>
          <w:b/>
          <w:sz w:val="24"/>
          <w:highlight w:val="none"/>
        </w:rPr>
      </w:pPr>
      <w:r>
        <w:rPr>
          <w:rFonts w:hint="eastAsia" w:asciiTheme="majorEastAsia" w:hAnsiTheme="majorEastAsia" w:eastAsiaTheme="majorEastAsia" w:cstheme="majorEastAsia"/>
          <w:b/>
          <w:sz w:val="24"/>
          <w:highlight w:val="none"/>
        </w:rPr>
        <w:t>十五、合同生效</w:t>
      </w:r>
    </w:p>
    <w:p w14:paraId="666761C8">
      <w:pPr>
        <w:tabs>
          <w:tab w:val="left" w:pos="480"/>
        </w:tabs>
        <w:spacing w:line="360" w:lineRule="auto"/>
        <w:ind w:firstLine="480" w:firstLineChars="200"/>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本合同一式</w:t>
      </w:r>
      <w:r>
        <w:rPr>
          <w:rFonts w:hint="eastAsia" w:asciiTheme="majorEastAsia" w:hAnsiTheme="majorEastAsia" w:eastAsiaTheme="majorEastAsia" w:cstheme="majorEastAsia"/>
          <w:sz w:val="24"/>
          <w:highlight w:val="none"/>
          <w:u w:val="single"/>
        </w:rPr>
        <w:t xml:space="preserve">  </w:t>
      </w:r>
      <w:r>
        <w:rPr>
          <w:rFonts w:hint="eastAsia" w:asciiTheme="majorEastAsia" w:hAnsiTheme="majorEastAsia" w:eastAsiaTheme="majorEastAsia" w:cstheme="majorEastAsia"/>
          <w:sz w:val="24"/>
          <w:highlight w:val="none"/>
        </w:rPr>
        <w:t>份，甲方</w:t>
      </w:r>
      <w:r>
        <w:rPr>
          <w:rFonts w:hint="eastAsia" w:asciiTheme="majorEastAsia" w:hAnsiTheme="majorEastAsia" w:eastAsiaTheme="majorEastAsia" w:cstheme="majorEastAsia"/>
          <w:sz w:val="24"/>
          <w:highlight w:val="none"/>
          <w:u w:val="single"/>
        </w:rPr>
        <w:t xml:space="preserve"> 叁 </w:t>
      </w:r>
      <w:r>
        <w:rPr>
          <w:rFonts w:hint="eastAsia" w:asciiTheme="majorEastAsia" w:hAnsiTheme="majorEastAsia" w:eastAsiaTheme="majorEastAsia" w:cstheme="majorEastAsia"/>
          <w:sz w:val="24"/>
          <w:highlight w:val="none"/>
        </w:rPr>
        <w:t>份、乙方</w:t>
      </w:r>
      <w:r>
        <w:rPr>
          <w:rFonts w:hint="eastAsia" w:asciiTheme="majorEastAsia" w:hAnsiTheme="majorEastAsia" w:eastAsiaTheme="majorEastAsia" w:cstheme="majorEastAsia"/>
          <w:sz w:val="24"/>
          <w:highlight w:val="none"/>
          <w:u w:val="single"/>
        </w:rPr>
        <w:t xml:space="preserve">  </w:t>
      </w:r>
      <w:r>
        <w:rPr>
          <w:rFonts w:hint="eastAsia" w:asciiTheme="majorEastAsia" w:hAnsiTheme="majorEastAsia" w:eastAsiaTheme="majorEastAsia" w:cstheme="majorEastAsia"/>
          <w:sz w:val="24"/>
          <w:highlight w:val="none"/>
        </w:rPr>
        <w:t>份，具有同等法律效力。本合同自甲、乙双签字盖章后生效，合同执行完毕后，自动终止（合同的服务承诺则长期有效）。</w:t>
      </w:r>
    </w:p>
    <w:p w14:paraId="3F3B8724">
      <w:pPr>
        <w:tabs>
          <w:tab w:val="left" w:pos="480"/>
        </w:tabs>
        <w:spacing w:line="360" w:lineRule="auto"/>
        <w:ind w:firstLine="472" w:firstLineChars="196"/>
        <w:rPr>
          <w:rFonts w:hint="eastAsia" w:asciiTheme="majorEastAsia" w:hAnsiTheme="majorEastAsia" w:eastAsiaTheme="majorEastAsia" w:cstheme="majorEastAsia"/>
          <w:b/>
          <w:sz w:val="24"/>
          <w:highlight w:val="none"/>
        </w:rPr>
      </w:pPr>
      <w:r>
        <w:rPr>
          <w:rFonts w:hint="eastAsia" w:asciiTheme="majorEastAsia" w:hAnsiTheme="majorEastAsia" w:eastAsiaTheme="majorEastAsia" w:cstheme="majorEastAsia"/>
          <w:b/>
          <w:sz w:val="24"/>
          <w:highlight w:val="none"/>
        </w:rPr>
        <w:t>十六、其他事项</w:t>
      </w:r>
    </w:p>
    <w:p w14:paraId="0D9B4A84">
      <w:pPr>
        <w:tabs>
          <w:tab w:val="left" w:pos="480"/>
        </w:tabs>
        <w:spacing w:line="360" w:lineRule="auto"/>
        <w:ind w:firstLine="480" w:firstLineChars="200"/>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（一）鉴定方作为采购代理机构对合同进行确认。</w:t>
      </w:r>
    </w:p>
    <w:p w14:paraId="572E7E48">
      <w:pPr>
        <w:tabs>
          <w:tab w:val="left" w:pos="480"/>
        </w:tabs>
        <w:spacing w:line="360" w:lineRule="auto"/>
        <w:ind w:firstLine="480" w:firstLineChars="200"/>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（二）西安市财政局政府采购管理处在合同的履行期间以及履行期后，可以随时检查项目的执行情况，对采购内容、标准进行调查核实，并对发现的问题进行处理。</w:t>
      </w:r>
    </w:p>
    <w:p w14:paraId="460CFC74">
      <w:pPr>
        <w:tabs>
          <w:tab w:val="left" w:pos="480"/>
        </w:tabs>
        <w:spacing w:line="360" w:lineRule="auto"/>
        <w:ind w:firstLine="480" w:firstLineChars="200"/>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（三）招标文件、应标文件、澄清表（函）、中标通知书、合同附件均成为合同不可分割的部分。</w:t>
      </w:r>
    </w:p>
    <w:p w14:paraId="11475139">
      <w:pPr>
        <w:tabs>
          <w:tab w:val="left" w:pos="480"/>
        </w:tabs>
        <w:spacing w:line="360" w:lineRule="auto"/>
        <w:ind w:firstLine="480" w:firstLineChars="200"/>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（四）合同未尽事宜，由甲、乙双方协商，经鉴定方确认后，作为合同补充，与原合同具有同等法律效力。</w:t>
      </w:r>
    </w:p>
    <w:p w14:paraId="71C88881">
      <w:pPr>
        <w:tabs>
          <w:tab w:val="left" w:pos="480"/>
        </w:tabs>
        <w:spacing w:line="360" w:lineRule="auto"/>
        <w:ind w:firstLine="480" w:firstLineChars="200"/>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（五）合同一经签订，不得擅自变更、中止或终止合同。对确需变更、调整或中止、终止合同的，应按规定履行相应的手续。</w:t>
      </w:r>
    </w:p>
    <w:p w14:paraId="542E0B33">
      <w:pPr>
        <w:tabs>
          <w:tab w:val="left" w:pos="480"/>
        </w:tabs>
        <w:spacing w:line="360" w:lineRule="auto"/>
        <w:ind w:firstLine="480" w:firstLineChars="200"/>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（六）本合同按照中华人民共和国的现行法律进行解释。</w:t>
      </w:r>
    </w:p>
    <w:p w14:paraId="73597366">
      <w:pPr>
        <w:pStyle w:val="2"/>
        <w:rPr>
          <w:rFonts w:hint="eastAsia" w:asciiTheme="majorEastAsia" w:hAnsiTheme="majorEastAsia" w:eastAsiaTheme="majorEastAsia" w:cstheme="majorEastAsia"/>
          <w:highlight w:val="none"/>
        </w:rPr>
      </w:pPr>
    </w:p>
    <w:p w14:paraId="13B47312">
      <w:pPr>
        <w:tabs>
          <w:tab w:val="left" w:pos="480"/>
        </w:tabs>
        <w:spacing w:line="360" w:lineRule="auto"/>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 xml:space="preserve">甲  方：（公章）                    乙  方：（公章） </w:t>
      </w:r>
    </w:p>
    <w:p w14:paraId="7274AC9D">
      <w:pPr>
        <w:tabs>
          <w:tab w:val="left" w:pos="480"/>
        </w:tabs>
        <w:spacing w:line="360" w:lineRule="auto"/>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 xml:space="preserve">              </w:t>
      </w:r>
    </w:p>
    <w:tbl>
      <w:tblPr>
        <w:tblStyle w:val="3"/>
        <w:tblW w:w="0" w:type="auto"/>
        <w:tblInd w:w="0" w:type="dxa"/>
        <w:tblLayout w:type="autofit"/>
        <w:tblCellMar>
          <w:top w:w="0" w:type="dxa"/>
          <w:left w:w="108" w:type="dxa"/>
          <w:bottom w:w="0" w:type="dxa"/>
          <w:right w:w="108" w:type="dxa"/>
        </w:tblCellMar>
      </w:tblPr>
      <w:tblGrid>
        <w:gridCol w:w="4077"/>
        <w:gridCol w:w="4445"/>
      </w:tblGrid>
      <w:tr w14:paraId="7834A6CD">
        <w:tblPrEx>
          <w:tblCellMar>
            <w:top w:w="0" w:type="dxa"/>
            <w:left w:w="108" w:type="dxa"/>
            <w:bottom w:w="0" w:type="dxa"/>
            <w:right w:w="108" w:type="dxa"/>
          </w:tblCellMar>
        </w:tblPrEx>
        <w:tc>
          <w:tcPr>
            <w:tcW w:w="4077" w:type="dxa"/>
            <w:noWrap w:val="0"/>
            <w:vAlign w:val="top"/>
          </w:tcPr>
          <w:p w14:paraId="78E7BBC1">
            <w:pPr>
              <w:tabs>
                <w:tab w:val="left" w:pos="480"/>
              </w:tabs>
              <w:spacing w:line="360" w:lineRule="auto"/>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单位名称：西安市精神卫生中心</w:t>
            </w:r>
          </w:p>
          <w:p w14:paraId="18F52369">
            <w:pPr>
              <w:pStyle w:val="2"/>
              <w:rPr>
                <w:rFonts w:hint="eastAsia" w:asciiTheme="majorEastAsia" w:hAnsiTheme="majorEastAsia" w:eastAsiaTheme="majorEastAsia" w:cstheme="majorEastAsia"/>
                <w:highlight w:val="none"/>
              </w:rPr>
            </w:pPr>
          </w:p>
          <w:p w14:paraId="2D41BD66">
            <w:pPr>
              <w:tabs>
                <w:tab w:val="left" w:pos="480"/>
              </w:tabs>
              <w:spacing w:line="360" w:lineRule="auto"/>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法定代表人或经办人：</w:t>
            </w:r>
          </w:p>
          <w:p w14:paraId="6873B133">
            <w:pPr>
              <w:pStyle w:val="2"/>
              <w:rPr>
                <w:rFonts w:hint="eastAsia" w:asciiTheme="majorEastAsia" w:hAnsiTheme="majorEastAsia" w:eastAsiaTheme="majorEastAsia" w:cstheme="majorEastAsia"/>
                <w:highlight w:val="none"/>
              </w:rPr>
            </w:pPr>
          </w:p>
          <w:p w14:paraId="6D6AC522">
            <w:pPr>
              <w:tabs>
                <w:tab w:val="left" w:pos="480"/>
              </w:tabs>
              <w:spacing w:line="360" w:lineRule="auto"/>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签订日期：     年    月    日</w:t>
            </w:r>
          </w:p>
        </w:tc>
        <w:tc>
          <w:tcPr>
            <w:tcW w:w="4445" w:type="dxa"/>
            <w:noWrap w:val="0"/>
            <w:vAlign w:val="top"/>
          </w:tcPr>
          <w:p w14:paraId="5A8FDAD8">
            <w:pPr>
              <w:tabs>
                <w:tab w:val="left" w:pos="480"/>
              </w:tabs>
              <w:spacing w:line="360" w:lineRule="auto"/>
              <w:ind w:firstLine="240" w:firstLineChars="100"/>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 xml:space="preserve">单位名称： </w:t>
            </w:r>
          </w:p>
          <w:p w14:paraId="4C99A070">
            <w:pPr>
              <w:pStyle w:val="2"/>
              <w:rPr>
                <w:rFonts w:hint="eastAsia" w:asciiTheme="majorEastAsia" w:hAnsiTheme="majorEastAsia" w:eastAsiaTheme="majorEastAsia" w:cstheme="majorEastAsia"/>
                <w:highlight w:val="none"/>
              </w:rPr>
            </w:pPr>
          </w:p>
          <w:p w14:paraId="380A421A">
            <w:pPr>
              <w:tabs>
                <w:tab w:val="left" w:pos="480"/>
              </w:tabs>
              <w:spacing w:line="360" w:lineRule="auto"/>
              <w:ind w:firstLine="240" w:firstLineChars="100"/>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 xml:space="preserve">法定代表人或经办人：              </w:t>
            </w:r>
          </w:p>
          <w:p w14:paraId="0FFB0DCE">
            <w:pPr>
              <w:tabs>
                <w:tab w:val="left" w:pos="480"/>
              </w:tabs>
              <w:spacing w:line="360" w:lineRule="auto"/>
              <w:ind w:firstLine="240" w:firstLineChars="100"/>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 xml:space="preserve">                                        </w:t>
            </w:r>
          </w:p>
          <w:p w14:paraId="039D77FD">
            <w:pPr>
              <w:tabs>
                <w:tab w:val="left" w:pos="480"/>
              </w:tabs>
              <w:spacing w:line="360" w:lineRule="auto"/>
              <w:ind w:firstLine="240" w:firstLineChars="100"/>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签订日期：      年    月    日</w:t>
            </w:r>
          </w:p>
        </w:tc>
      </w:tr>
    </w:tbl>
    <w:p w14:paraId="513D5B73">
      <w:pPr>
        <w:pStyle w:val="5"/>
        <w:rPr>
          <w:rFonts w:hint="eastAsia" w:asciiTheme="majorEastAsia" w:hAnsiTheme="majorEastAsia" w:eastAsiaTheme="majorEastAsia" w:cstheme="majorEastAsia"/>
          <w:highlight w:val="none"/>
        </w:rPr>
      </w:pPr>
    </w:p>
    <w:p w14:paraId="6AF73AD0">
      <w:pPr>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Q0ZWI0NWM5NDNhNzMwMjMwNzEyZjk2MjZjNGYxZmIifQ=="/>
  </w:docVars>
  <w:rsids>
    <w:rsidRoot w:val="2402186D"/>
    <w:rsid w:val="240218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rPr>
      <w:rFonts w:ascii="楷体_GB2312" w:hAnsi="Arial" w:eastAsia="楷体_GB2312"/>
      <w:sz w:val="28"/>
      <w:szCs w:val="28"/>
    </w:rPr>
  </w:style>
  <w:style w:type="paragraph" w:customStyle="1" w:styleId="5">
    <w:name w:val="null3"/>
    <w:autoRedefine/>
    <w:hidden/>
    <w:qFormat/>
    <w:uiPriority w:val="0"/>
    <w:rPr>
      <w:rFonts w:hint="eastAsia" w:asciiTheme="minorHAnsi" w:hAnsiTheme="minorHAnsi" w:eastAsiaTheme="minorEastAsia" w:cstheme="minorBidi"/>
      <w:lang w:val="en-US" w:eastAsia="zh-CN" w:bidi="ar-SA"/>
    </w:rPr>
  </w:style>
  <w:style w:type="paragraph" w:customStyle="1" w:styleId="6">
    <w:name w:val="正文（缩进 2 字符）"/>
    <w:basedOn w:val="1"/>
    <w:qFormat/>
    <w:uiPriority w:val="0"/>
    <w:pPr>
      <w:spacing w:line="360" w:lineRule="auto"/>
      <w:ind w:firstLine="200" w:firstLineChars="200"/>
    </w:pPr>
    <w:rPr>
      <w:rFonts w:ascii="Calibri" w:hAnsi="Calibri" w:eastAsia="宋体"/>
      <w:szCs w:val="22"/>
      <w:lang w:val="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2024-08-20T08:41:00Z</dcterms:created>
  <dc:creator>李纪旋</dc:creator>
  <cp:lastModifiedBy>李纪旋</cp:lastModifiedBy>
  <dcterms:modified xsi:type="dcterms:W3CDTF">2024-08-20T08:41:57Z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325DA6CE7AF648C5B199C4F2538EF23E_11</vt:lpwstr>
  </property>
</Properties>
</file>