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477F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bCs/>
          <w:sz w:val="24"/>
          <w:szCs w:val="24"/>
          <w:highlight w:val="none"/>
          <w:lang w:val="zh-CN"/>
        </w:rPr>
      </w:pPr>
      <w:bookmarkStart w:id="9" w:name="_GoBack"/>
      <w:bookmarkEnd w:id="9"/>
      <w:bookmarkStart w:id="0" w:name="_Toc12108"/>
      <w:bookmarkStart w:id="1" w:name="_Toc20242"/>
      <w:bookmarkStart w:id="2" w:name="_Toc15900"/>
      <w:bookmarkStart w:id="3" w:name="_Toc22952"/>
      <w:bookmarkStart w:id="4" w:name="_Toc19367"/>
      <w:bookmarkStart w:id="5" w:name="_Toc7809"/>
      <w:bookmarkStart w:id="6" w:name="_Toc4521"/>
      <w:bookmarkStart w:id="7" w:name="_Toc3436"/>
      <w:bookmarkStart w:id="8" w:name="_Toc30144"/>
      <w:r>
        <w:rPr>
          <w:rFonts w:hint="eastAsia" w:ascii="宋体" w:hAnsi="宋体" w:cs="宋体"/>
          <w:b/>
          <w:bCs/>
          <w:sz w:val="24"/>
          <w:szCs w:val="24"/>
          <w:highlight w:val="none"/>
          <w:lang w:val="zh-CN"/>
        </w:rPr>
        <w:t>二、开标一览表（唱标报告）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5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5758D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087" w:type="dxa"/>
            <w:noWrap/>
            <w:vAlign w:val="center"/>
          </w:tcPr>
          <w:p w14:paraId="2528E3B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1182A90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3B0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087" w:type="dxa"/>
            <w:noWrap/>
            <w:vAlign w:val="center"/>
          </w:tcPr>
          <w:p w14:paraId="03A7948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4E2642D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11E3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87" w:type="dxa"/>
            <w:noWrap/>
            <w:vAlign w:val="center"/>
          </w:tcPr>
          <w:p w14:paraId="0A2A791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投标总报价</w:t>
            </w:r>
          </w:p>
          <w:p w14:paraId="170252F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noWrap/>
            <w:vAlign w:val="center"/>
          </w:tcPr>
          <w:p w14:paraId="007E268C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　</w:t>
            </w:r>
          </w:p>
          <w:p w14:paraId="7FF45FE8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大写：</w:t>
            </w:r>
          </w:p>
          <w:p w14:paraId="61AA481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小写：</w:t>
            </w:r>
          </w:p>
          <w:p w14:paraId="4F1D3DC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6C85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087" w:type="dxa"/>
            <w:noWrap/>
            <w:vAlign w:val="center"/>
          </w:tcPr>
          <w:p w14:paraId="165C828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488" w:type="dxa"/>
            <w:noWrap/>
            <w:vAlign w:val="center"/>
          </w:tcPr>
          <w:p w14:paraId="2A1AA459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70CA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087" w:type="dxa"/>
            <w:noWrap/>
            <w:vAlign w:val="center"/>
          </w:tcPr>
          <w:p w14:paraId="7632388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488" w:type="dxa"/>
            <w:noWrap/>
            <w:vAlign w:val="center"/>
          </w:tcPr>
          <w:p w14:paraId="1DDB5D4F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59A6E97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说明：</w:t>
      </w:r>
    </w:p>
    <w:p w14:paraId="4F34524A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1.本表所列各项数据与招标文件其它地方表述不一致时，以本表为准。</w:t>
      </w:r>
    </w:p>
    <w:p w14:paraId="48C37403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2.投标总报价以元为单位，四舍五入精确到小数点后两位。</w:t>
      </w:r>
    </w:p>
    <w:p w14:paraId="59060ED1">
      <w:pPr>
        <w:widowControl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szCs w:val="24"/>
          <w:highlight w:val="none"/>
        </w:rPr>
        <w:t>3.投标总报价应与分项报价表中合计金额一致。</w:t>
      </w:r>
    </w:p>
    <w:p w14:paraId="35B5C179">
      <w:pPr>
        <w:widowControl/>
        <w:spacing w:line="360" w:lineRule="auto"/>
        <w:rPr>
          <w:rFonts w:ascii="宋体" w:hAnsi="宋体" w:cs="宋体"/>
          <w:bCs/>
          <w:kern w:val="0"/>
          <w:sz w:val="24"/>
          <w:szCs w:val="24"/>
          <w:highlight w:val="none"/>
        </w:rPr>
      </w:pPr>
    </w:p>
    <w:p w14:paraId="0FDC8983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7D99C489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6BCD397F"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66684597"/>
    <w:rsid w:val="75C330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楷体_GB2312" w:hAnsi="Arial" w:eastAsia="楷体_GB2312"/>
      <w:sz w:val="28"/>
      <w:szCs w:val="28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154</Characters>
  <Lines>0</Lines>
  <Paragraphs>0</Paragraphs>
  <TotalTime>0</TotalTime>
  <ScaleCrop>false</ScaleCrop>
  <LinksUpToDate>false</LinksUpToDate>
  <CharactersWithSpaces>168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2024-08-20T08:39:34Z</dcterms:created>
  <dc:creator>ASUS</dc:creator>
  <cp:lastModifiedBy>陕西笃信招标有限公司</cp:lastModifiedBy>
  <dcterms:modified xsi:type="dcterms:W3CDTF">2024-08-20T09:01:06Z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3AD4CD02866F4CE6A49FAA5D915750F6_13</vt:lpwstr>
  </property>
</Properties>
</file>