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C86D61">
      <w:pPr>
        <w:pStyle w:val="2"/>
        <w:keepNext w:val="0"/>
        <w:pageBreakBefore/>
        <w:jc w:val="center"/>
        <w:rPr>
          <w:rFonts w:cs="宋体"/>
          <w:sz w:val="24"/>
          <w:szCs w:val="24"/>
          <w:highlight w:val="none"/>
        </w:rPr>
      </w:pPr>
      <w:bookmarkStart w:id="1" w:name="_GoBack"/>
      <w:bookmarkEnd w:id="1"/>
      <w:bookmarkStart w:id="0" w:name="_Toc6298"/>
      <w:r>
        <w:rPr>
          <w:rFonts w:hint="eastAsia" w:cs="宋体"/>
          <w:sz w:val="24"/>
          <w:szCs w:val="24"/>
          <w:highlight w:val="none"/>
        </w:rPr>
        <w:t>五、（合同）商务条款偏离表</w:t>
      </w:r>
      <w:bookmarkEnd w:id="0"/>
    </w:p>
    <w:p w14:paraId="2B6EFB5C">
      <w:pPr>
        <w:spacing w:line="360" w:lineRule="auto"/>
        <w:jc w:val="left"/>
        <w:rPr>
          <w:rFonts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bCs/>
          <w:kern w:val="0"/>
          <w:sz w:val="24"/>
          <w:szCs w:val="24"/>
          <w:highlight w:val="none"/>
        </w:rPr>
        <w:t xml:space="preserve">项目编号：                                            </w:t>
      </w:r>
    </w:p>
    <w:tbl>
      <w:tblPr>
        <w:tblStyle w:val="3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2"/>
        <w:gridCol w:w="1380"/>
        <w:gridCol w:w="2341"/>
        <w:gridCol w:w="2678"/>
        <w:gridCol w:w="840"/>
        <w:gridCol w:w="1731"/>
      </w:tblGrid>
      <w:tr w14:paraId="2DC07C9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752" w:type="dxa"/>
            <w:noWrap/>
            <w:vAlign w:val="center"/>
          </w:tcPr>
          <w:p w14:paraId="153461DD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ascii="宋体" w:hAnsi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380" w:type="dxa"/>
            <w:noWrap/>
            <w:vAlign w:val="center"/>
          </w:tcPr>
          <w:p w14:paraId="5777FB11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ascii="宋体" w:hAnsi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highlight w:val="none"/>
              </w:rPr>
              <w:t>文件</w:t>
            </w:r>
          </w:p>
          <w:p w14:paraId="3216070E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ascii="宋体" w:hAnsi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highlight w:val="none"/>
              </w:rPr>
              <w:t>条目号</w:t>
            </w:r>
          </w:p>
        </w:tc>
        <w:tc>
          <w:tcPr>
            <w:tcW w:w="2341" w:type="dxa"/>
            <w:noWrap/>
            <w:vAlign w:val="center"/>
          </w:tcPr>
          <w:p w14:paraId="0462DA26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ascii="宋体" w:hAnsi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highlight w:val="none"/>
              </w:rPr>
              <w:t>招标文件</w:t>
            </w:r>
          </w:p>
          <w:p w14:paraId="02DA2595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ascii="宋体" w:hAnsi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highlight w:val="none"/>
              </w:rPr>
              <w:t>合同主要条款</w:t>
            </w:r>
          </w:p>
          <w:p w14:paraId="16FE282E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ascii="宋体" w:hAnsi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highlight w:val="none"/>
              </w:rPr>
              <w:t>要求</w:t>
            </w:r>
          </w:p>
        </w:tc>
        <w:tc>
          <w:tcPr>
            <w:tcW w:w="2678" w:type="dxa"/>
            <w:noWrap/>
            <w:vAlign w:val="center"/>
          </w:tcPr>
          <w:p w14:paraId="478B6928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ascii="宋体" w:hAnsi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highlight w:val="none"/>
              </w:rPr>
              <w:t>投标文件</w:t>
            </w:r>
          </w:p>
          <w:p w14:paraId="5C570F70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ascii="宋体" w:hAnsi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highlight w:val="none"/>
              </w:rPr>
              <w:t>合同主要条款</w:t>
            </w:r>
          </w:p>
          <w:p w14:paraId="798300C0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ascii="宋体" w:hAnsi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highlight w:val="none"/>
              </w:rPr>
              <w:t>响应</w:t>
            </w:r>
          </w:p>
        </w:tc>
        <w:tc>
          <w:tcPr>
            <w:tcW w:w="840" w:type="dxa"/>
            <w:noWrap/>
            <w:vAlign w:val="center"/>
          </w:tcPr>
          <w:p w14:paraId="44522FBA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ascii="宋体" w:hAnsi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highlight w:val="none"/>
              </w:rPr>
              <w:t>偏离</w:t>
            </w:r>
          </w:p>
        </w:tc>
        <w:tc>
          <w:tcPr>
            <w:tcW w:w="1731" w:type="dxa"/>
            <w:noWrap/>
            <w:vAlign w:val="center"/>
          </w:tcPr>
          <w:p w14:paraId="39FD27E6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ascii="宋体" w:hAnsi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highlight w:val="none"/>
              </w:rPr>
              <w:t>偏离</w:t>
            </w:r>
          </w:p>
          <w:p w14:paraId="6C60B63F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ascii="宋体" w:hAnsi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highlight w:val="none"/>
              </w:rPr>
              <w:t>及其影响</w:t>
            </w:r>
          </w:p>
        </w:tc>
      </w:tr>
      <w:tr w14:paraId="3AAA0E3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  <w:noWrap/>
            <w:vAlign w:val="top"/>
          </w:tcPr>
          <w:p w14:paraId="307F130D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380" w:type="dxa"/>
            <w:noWrap/>
            <w:vAlign w:val="top"/>
          </w:tcPr>
          <w:p w14:paraId="0A941D48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341" w:type="dxa"/>
            <w:noWrap/>
            <w:vAlign w:val="top"/>
          </w:tcPr>
          <w:p w14:paraId="6DEF8834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678" w:type="dxa"/>
            <w:noWrap/>
            <w:vAlign w:val="top"/>
          </w:tcPr>
          <w:p w14:paraId="0F82E3D4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noWrap/>
            <w:vAlign w:val="top"/>
          </w:tcPr>
          <w:p w14:paraId="53113271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731" w:type="dxa"/>
            <w:noWrap/>
            <w:vAlign w:val="top"/>
          </w:tcPr>
          <w:p w14:paraId="130E3F14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</w:tr>
      <w:tr w14:paraId="61A572E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  <w:noWrap/>
            <w:vAlign w:val="top"/>
          </w:tcPr>
          <w:p w14:paraId="2A8102C8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380" w:type="dxa"/>
            <w:noWrap/>
            <w:vAlign w:val="top"/>
          </w:tcPr>
          <w:p w14:paraId="47FC6C6D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341" w:type="dxa"/>
            <w:noWrap/>
            <w:vAlign w:val="top"/>
          </w:tcPr>
          <w:p w14:paraId="629E6199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678" w:type="dxa"/>
            <w:noWrap/>
            <w:vAlign w:val="top"/>
          </w:tcPr>
          <w:p w14:paraId="533BCB4F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noWrap/>
            <w:vAlign w:val="top"/>
          </w:tcPr>
          <w:p w14:paraId="7E6D0B59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731" w:type="dxa"/>
            <w:noWrap/>
            <w:vAlign w:val="top"/>
          </w:tcPr>
          <w:p w14:paraId="182DF8E8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</w:tr>
      <w:tr w14:paraId="3E451C8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  <w:noWrap/>
            <w:vAlign w:val="top"/>
          </w:tcPr>
          <w:p w14:paraId="614899D9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380" w:type="dxa"/>
            <w:noWrap/>
            <w:vAlign w:val="top"/>
          </w:tcPr>
          <w:p w14:paraId="740F4161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341" w:type="dxa"/>
            <w:noWrap/>
            <w:vAlign w:val="top"/>
          </w:tcPr>
          <w:p w14:paraId="0CCD6090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678" w:type="dxa"/>
            <w:noWrap/>
            <w:vAlign w:val="top"/>
          </w:tcPr>
          <w:p w14:paraId="6E2EB1E6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noWrap/>
            <w:vAlign w:val="top"/>
          </w:tcPr>
          <w:p w14:paraId="4BD828E4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731" w:type="dxa"/>
            <w:noWrap/>
            <w:vAlign w:val="top"/>
          </w:tcPr>
          <w:p w14:paraId="1CE4DA1E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</w:tr>
      <w:tr w14:paraId="75A8514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  <w:noWrap/>
            <w:vAlign w:val="top"/>
          </w:tcPr>
          <w:p w14:paraId="29CF5C15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380" w:type="dxa"/>
            <w:noWrap/>
            <w:vAlign w:val="top"/>
          </w:tcPr>
          <w:p w14:paraId="3752A307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341" w:type="dxa"/>
            <w:noWrap/>
            <w:vAlign w:val="top"/>
          </w:tcPr>
          <w:p w14:paraId="0EA416BE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678" w:type="dxa"/>
            <w:noWrap/>
            <w:vAlign w:val="top"/>
          </w:tcPr>
          <w:p w14:paraId="1CA6E805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noWrap/>
            <w:vAlign w:val="top"/>
          </w:tcPr>
          <w:p w14:paraId="3D34290D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731" w:type="dxa"/>
            <w:noWrap/>
            <w:vAlign w:val="top"/>
          </w:tcPr>
          <w:p w14:paraId="5DCD65AA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</w:tr>
      <w:tr w14:paraId="7FE18DB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  <w:noWrap/>
            <w:vAlign w:val="top"/>
          </w:tcPr>
          <w:p w14:paraId="075DF850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380" w:type="dxa"/>
            <w:noWrap/>
            <w:vAlign w:val="top"/>
          </w:tcPr>
          <w:p w14:paraId="4EB5CC5F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341" w:type="dxa"/>
            <w:noWrap/>
            <w:vAlign w:val="top"/>
          </w:tcPr>
          <w:p w14:paraId="6B11E559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678" w:type="dxa"/>
            <w:noWrap/>
            <w:vAlign w:val="top"/>
          </w:tcPr>
          <w:p w14:paraId="72B4A41F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noWrap/>
            <w:vAlign w:val="top"/>
          </w:tcPr>
          <w:p w14:paraId="5E078637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731" w:type="dxa"/>
            <w:noWrap/>
            <w:vAlign w:val="top"/>
          </w:tcPr>
          <w:p w14:paraId="7645441A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</w:tr>
    </w:tbl>
    <w:p w14:paraId="7A25FAE3">
      <w:pPr>
        <w:spacing w:line="360" w:lineRule="auto"/>
        <w:ind w:firstLine="480" w:firstLineChars="200"/>
        <w:rPr>
          <w:rFonts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说明：</w:t>
      </w:r>
    </w:p>
    <w:p w14:paraId="562087D4">
      <w:pPr>
        <w:numPr>
          <w:ilvl w:val="0"/>
          <w:numId w:val="1"/>
        </w:numPr>
        <w:spacing w:line="360" w:lineRule="auto"/>
        <w:ind w:firstLine="480" w:firstLineChars="200"/>
        <w:rPr>
          <w:rFonts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本表只填写投标文件中与招标文件有偏离（包括负偏离和正偏离）的内容，在投标文件中须一一列出，无偏离时须提供空白表。</w:t>
      </w:r>
    </w:p>
    <w:p w14:paraId="049025C0">
      <w:pPr>
        <w:numPr>
          <w:ilvl w:val="0"/>
          <w:numId w:val="1"/>
        </w:numPr>
        <w:spacing w:line="360" w:lineRule="auto"/>
        <w:ind w:firstLine="480" w:firstLineChars="200"/>
        <w:rPr>
          <w:rFonts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供应商必须据实填写，不得虚假响应，否则将取消其投标或中标资格，并按有关规定进处罚。</w:t>
      </w:r>
    </w:p>
    <w:p w14:paraId="6EF848C4">
      <w:pPr>
        <w:spacing w:line="360" w:lineRule="auto"/>
        <w:ind w:firstLine="480" w:firstLineChars="200"/>
        <w:rPr>
          <w:rFonts w:ascii="宋体" w:hAnsi="宋体" w:cs="宋体"/>
          <w:sz w:val="24"/>
          <w:szCs w:val="24"/>
          <w:highlight w:val="none"/>
        </w:rPr>
      </w:pPr>
    </w:p>
    <w:p w14:paraId="168236FE">
      <w:pPr>
        <w:spacing w:line="360" w:lineRule="auto"/>
        <w:ind w:firstLine="4080" w:firstLineChars="1700"/>
        <w:rPr>
          <w:rFonts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供应商（公章）：</w:t>
      </w:r>
    </w:p>
    <w:p w14:paraId="08EB591C">
      <w:pPr>
        <w:spacing w:line="360" w:lineRule="auto"/>
        <w:ind w:firstLine="4080" w:firstLineChars="1700"/>
        <w:rPr>
          <w:rFonts w:ascii="宋体" w:hAnsi="宋体" w:cs="宋体"/>
          <w:sz w:val="24"/>
          <w:szCs w:val="24"/>
          <w:highlight w:val="none"/>
          <w:u w:val="singl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法定代表人或授权代表（签字或盖章）：</w:t>
      </w:r>
    </w:p>
    <w:p w14:paraId="1AAA3872">
      <w:pPr>
        <w:ind w:firstLine="4080" w:firstLineChars="1700"/>
        <w:jc w:val="left"/>
        <w:rPr>
          <w:rFonts w:ascii="宋体" w:hAnsi="宋体" w:cs="宋体"/>
          <w:sz w:val="24"/>
          <w:szCs w:val="24"/>
          <w:highlight w:val="none"/>
          <w:u w:val="singl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日    期：</w:t>
      </w:r>
    </w:p>
    <w:p w14:paraId="339F2B51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A8B1867"/>
    <w:multiLevelType w:val="singleLevel"/>
    <w:tmpl w:val="BA8B1867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jZTEyNjYyY2MwMjViNzU3Njg3ZGE3YjEwYjcxNTEifQ=="/>
  </w:docVars>
  <w:rsids>
    <w:rsidRoot w:val="00000000"/>
    <w:rsid w:val="4134048C"/>
    <w:rsid w:val="45702891"/>
    <w:rsid w:val="4C8A75E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spacing w:line="416" w:lineRule="auto"/>
      <w:outlineLvl w:val="1"/>
    </w:pPr>
    <w:rPr>
      <w:rFonts w:ascii="宋体" w:hAnsi="宋体" w:cs="Times New Roman"/>
      <w:b/>
      <w:bCs/>
      <w:sz w:val="32"/>
      <w:szCs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Style w:val="3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186</Words>
  <Characters>186</Characters>
  <Lines>0</Lines>
  <Paragraphs>0</Paragraphs>
  <TotalTime>0</TotalTime>
  <ScaleCrop>false</ScaleCrop>
  <LinksUpToDate>false</LinksUpToDate>
  <CharactersWithSpaces>234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2024-08-20T08:40:48Z</dcterms:created>
  <dc:creator>ASUS</dc:creator>
  <cp:lastModifiedBy>陕西笃信招标有限公司</cp:lastModifiedBy>
  <dcterms:modified xsi:type="dcterms:W3CDTF">2024-08-20T08:56:27Z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379E1F342AEB4191B1302EB7FE19654C_13</vt:lpwstr>
  </property>
</Properties>
</file>