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版本号：240807001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手机软件植入式推送宣传</w:t>
      </w:r>
    </w:p>
    <w:p>
      <w:pPr>
        <w:pStyle w:val="null3"/>
        <w:jc w:val="center"/>
        <w:outlineLvl w:val="2"/>
      </w:pPr>
      <w:r>
        <w:rPr>
          <w:sz w:val="28"/>
          <w:b/>
        </w:rPr>
        <w:t>采购项目编号：</w:t>
      </w:r>
      <w:r>
        <w:rPr>
          <w:sz w:val="28"/>
          <w:b/>
        </w:rPr>
        <w:t>TYZX-2024-202</w:t>
      </w:r>
      <w:r>
        <w:br/>
      </w:r>
      <w:r>
        <w:br/>
      </w:r>
      <w:r>
        <w:br/>
      </w:r>
    </w:p>
    <w:p>
      <w:pPr>
        <w:pStyle w:val="null3"/>
        <w:jc w:val="center"/>
        <w:outlineLvl w:val="2"/>
      </w:pPr>
      <w:r>
        <w:rPr>
          <w:sz w:val="28"/>
          <w:b/>
        </w:rPr>
        <w:t>西安市城市管理和综合执法局</w:t>
      </w:r>
    </w:p>
    <w:p>
      <w:pPr>
        <w:pStyle w:val="null3"/>
        <w:jc w:val="center"/>
        <w:outlineLvl w:val="2"/>
      </w:pPr>
      <w:r>
        <w:rPr>
          <w:sz w:val="28"/>
          <w:b/>
        </w:rPr>
        <w:t>泰宇建筑工程技术咨询有限公司</w:t>
      </w:r>
      <w:r>
        <w:rPr>
          <w:sz w:val="28"/>
          <w:b/>
        </w:rPr>
        <w:t>共同编制</w:t>
      </w:r>
    </w:p>
    <w:p>
      <w:pPr>
        <w:pStyle w:val="null3"/>
        <w:jc w:val="center"/>
        <w:outlineLvl w:val="2"/>
      </w:pPr>
      <w:r>
        <w:rPr>
          <w:sz w:val="28"/>
          <w:b/>
        </w:rPr>
        <w:t>2024年08月07日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泰宇建筑工程技术咨询有限公司</w:t>
      </w:r>
      <w:r>
        <w:rPr/>
        <w:t>（以下简称“代理机构”）受</w:t>
      </w:r>
      <w:r>
        <w:rPr/>
        <w:t>西安市城市管理和综合执法局</w:t>
      </w:r>
      <w:r>
        <w:rPr/>
        <w:t>委托，拟对</w:t>
      </w:r>
      <w:r>
        <w:rPr/>
        <w:t>手机软件植入式推送宣传</w:t>
      </w:r>
      <w:r>
        <w:rPr/>
        <w:t>采用竞争性磋商采购方式进行采购，兹邀请供应商参加本项目的竞争性磋商。</w:t>
      </w:r>
    </w:p>
    <w:p>
      <w:pPr>
        <w:pStyle w:val="null3"/>
        <w:outlineLvl w:val="2"/>
      </w:pPr>
      <w:r>
        <w:rPr>
          <w:sz w:val="28"/>
          <w:b/>
        </w:rPr>
        <w:t>一、项目编号：</w:t>
      </w:r>
      <w:r>
        <w:rPr>
          <w:sz w:val="28"/>
          <w:b/>
        </w:rPr>
        <w:t>TYZX-2024-202</w:t>
      </w:r>
    </w:p>
    <w:p>
      <w:pPr>
        <w:pStyle w:val="null3"/>
        <w:outlineLvl w:val="2"/>
      </w:pPr>
      <w:r>
        <w:rPr>
          <w:sz w:val="28"/>
          <w:b/>
        </w:rPr>
        <w:t>二、项目名称：</w:t>
      </w:r>
      <w:r>
        <w:rPr>
          <w:sz w:val="28"/>
          <w:b/>
        </w:rPr>
        <w:t>手机软件植入式推送宣传</w:t>
      </w:r>
    </w:p>
    <w:p>
      <w:pPr>
        <w:pStyle w:val="null3"/>
        <w:outlineLvl w:val="2"/>
      </w:pPr>
      <w:r>
        <w:rPr>
          <w:sz w:val="28"/>
          <w:b/>
        </w:rPr>
        <w:t>三、磋商项目简介</w:t>
      </w:r>
    </w:p>
    <w:p>
      <w:pPr>
        <w:pStyle w:val="null3"/>
        <w:ind w:firstLine="480"/>
      </w:pPr>
      <w:r>
        <w:rPr/>
        <w:t>为进一步丰富我市垃圾分类宣传形式，拓展宣传渠道，拟采用当下群众常用的手机app宣传广告植入的方式，通过在抖音视频或其他媒介，植入垃圾分类影音宣传内容，可进一步鲜活垃圾分类宣传内容，使宣传方式更加生动，便于群众接受和关注。从而不断提高全社会垃圾分类工作的知晓率，提高群众的参与热情，提升西安市生活垃圾分类宣传氛围。</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采购包1（手机软件植入式推送宣传）：属于专门面向中小企业采购。</w:t>
      </w:r>
    </w:p>
    <w:p>
      <w:pPr>
        <w:pStyle w:val="null3"/>
        <w:ind w:firstLine="480"/>
      </w:pPr>
      <w:r>
        <w:rPr/>
        <w:t>（三）本项目的特定资格要求：</w:t>
      </w:r>
    </w:p>
    <w:p>
      <w:pPr>
        <w:pStyle w:val="null3"/>
      </w:pPr>
      <w:r>
        <w:rPr/>
        <w:t>采购包1：</w:t>
      </w:r>
    </w:p>
    <w:p>
      <w:pPr>
        <w:pStyle w:val="null3"/>
      </w:pPr>
      <w:r>
        <w:rPr/>
        <w:t>1、具有独立承担民事责任的能力：具有独立承担民事责任能力的法人、其他组织或自然人，提供合法有效的统一社会信用代码营业执照（事业单位提供事业单位法人证书，自然人应提供身份证明）</w:t>
      </w:r>
    </w:p>
    <w:p>
      <w:pPr>
        <w:pStyle w:val="null3"/>
      </w:pPr>
      <w:r>
        <w:rPr/>
        <w:t>2、财务状况证明：提供具有财务审计资质的单位出具经审计的2022年度或2023年度财务报告；或在开标日期前6个月内其基本开户银行出具的资信证明（附《基本存款账户信息》或《银行开户许可证》复印件）</w:t>
      </w:r>
    </w:p>
    <w:p>
      <w:pPr>
        <w:pStyle w:val="null3"/>
      </w:pPr>
      <w:r>
        <w:rPr/>
        <w:t>3、税收缴纳证明：缴费所属日期为投标截止时间前6个月内任一月份（投标截止时间当月不计入）的任意税种完税凭据或税务机关开具的完税证明等，在法规范围内不需提供的应出具书面说明和证明文件</w:t>
      </w:r>
    </w:p>
    <w:p>
      <w:pPr>
        <w:pStyle w:val="null3"/>
      </w:pPr>
      <w:r>
        <w:rPr/>
        <w:t>4、社会保障资金缴纳证明：缴费所属日期为投标截止时间前6个月内任一月份（投标截止时间当月不计入），根据社会保障资金缴存单据或社保部门出具的缴纳社会保障金凭证，在法规范围内不需提供的应出具书面说明和证明文件</w:t>
      </w:r>
    </w:p>
    <w:p>
      <w:pPr>
        <w:pStyle w:val="null3"/>
      </w:pPr>
      <w:r>
        <w:rPr/>
        <w:t>5、企业信誉：参加本次政府采购活动前3年内在经营活动中没有重大违法记录，以及未被列入“信用中国”失信被执行人、重大税收违法案件当事人名单、“中国政府采购网”政府采购严重违法失信行为记录名单</w:t>
      </w:r>
    </w:p>
    <w:p>
      <w:pPr>
        <w:pStyle w:val="null3"/>
      </w:pPr>
      <w:r>
        <w:rPr/>
        <w:t>6、法定代表人身份证明书或授权委托书：法定代表人（主要负责人）委托代理人参加投标时，应提供法定代表人（主要负责人）授权委托书；法定代表人（主要负责人）亲自参加投标时，应提供法定代表人（主要负责人）身份证明书</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西安市城市管理和综合执法局</w:t>
      </w:r>
    </w:p>
    <w:p>
      <w:pPr>
        <w:pStyle w:val="null3"/>
      </w:pPr>
      <w:r>
        <w:rPr/>
        <w:t xml:space="preserve"> 地址： </w:t>
      </w:r>
      <w:r>
        <w:rPr/>
        <w:t>陕西省西安市凤城八路109号</w:t>
      </w:r>
    </w:p>
    <w:p>
      <w:pPr>
        <w:pStyle w:val="null3"/>
      </w:pPr>
      <w:r>
        <w:rPr/>
        <w:t xml:space="preserve"> 邮编： </w:t>
      </w:r>
      <w:r>
        <w:rPr/>
        <w:t>/</w:t>
      </w:r>
    </w:p>
    <w:p>
      <w:pPr>
        <w:pStyle w:val="null3"/>
      </w:pPr>
      <w:r>
        <w:rPr/>
        <w:t xml:space="preserve"> 联系人： </w:t>
      </w:r>
      <w:r>
        <w:rPr/>
        <w:t>袁晶</w:t>
      </w:r>
    </w:p>
    <w:p>
      <w:pPr>
        <w:pStyle w:val="null3"/>
      </w:pPr>
      <w:r>
        <w:rPr/>
        <w:t xml:space="preserve"> 联系电话： </w:t>
      </w:r>
      <w:r>
        <w:rPr/>
        <w:t>029-86788466</w:t>
      </w:r>
    </w:p>
    <w:p>
      <w:pPr>
        <w:pStyle w:val="null3"/>
        <w:outlineLvl w:val="3"/>
      </w:pPr>
      <w:r>
        <w:rPr>
          <w:sz w:val="24"/>
          <w:b/>
        </w:rPr>
        <w:t>代理机构：</w:t>
      </w:r>
      <w:r>
        <w:rPr>
          <w:sz w:val="24"/>
          <w:b/>
        </w:rPr>
        <w:t>泰宇建筑工程技术咨询有限公司</w:t>
      </w:r>
    </w:p>
    <w:p>
      <w:pPr>
        <w:pStyle w:val="null3"/>
      </w:pPr>
      <w:r>
        <w:rPr/>
        <w:t xml:space="preserve"> 地址： </w:t>
      </w:r>
      <w:r>
        <w:rPr/>
        <w:t>西安市雁塔区太白南路139号荣禾云图中心14楼</w:t>
      </w:r>
    </w:p>
    <w:p>
      <w:pPr>
        <w:pStyle w:val="null3"/>
      </w:pPr>
      <w:r>
        <w:rPr/>
        <w:t xml:space="preserve"> 邮编： </w:t>
      </w:r>
      <w:r>
        <w:rPr/>
        <w:t>/</w:t>
      </w:r>
    </w:p>
    <w:p>
      <w:pPr>
        <w:pStyle w:val="null3"/>
      </w:pPr>
      <w:r>
        <w:rPr/>
        <w:t xml:space="preserve"> 联系人： </w:t>
      </w:r>
      <w:r>
        <w:rPr/>
        <w:t>万里林</w:t>
      </w:r>
    </w:p>
    <w:p>
      <w:pPr>
        <w:pStyle w:val="null3"/>
      </w:pPr>
      <w:r>
        <w:rPr/>
        <w:t xml:space="preserve"> 联系电话： </w:t>
      </w:r>
      <w:r>
        <w:rPr/>
        <w:t>18109263357</w:t>
      </w:r>
    </w:p>
    <w:p>
      <w:pPr>
        <w:pStyle w:val="null3"/>
        <w:outlineLvl w:val="3"/>
      </w:pPr>
      <w:r>
        <w:rPr>
          <w:sz w:val="24"/>
          <w:b/>
        </w:rPr>
        <w:t>采购监督机构：</w:t>
      </w:r>
      <w:r>
        <w:rPr>
          <w:sz w:val="24"/>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采购包1：600,000.00元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代理服务费收费标准：依据委托代理协议执行，本项目代理服务费为6783元整。</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西安市城市管理和综合执法局</w:t>
      </w:r>
      <w:r>
        <w:rPr/>
        <w:t>和</w:t>
      </w:r>
      <w:r>
        <w:rPr/>
        <w:t>泰宇建筑工程技术咨询有限公司</w:t>
      </w:r>
      <w:r>
        <w:rPr/>
        <w:t>享有。对磋商文件中供应商参加本次政府采购活动应当具备的条件，磋商项目技术、服务、商务及其他要求，评审细则及标准由</w:t>
      </w:r>
      <w:r>
        <w:rPr/>
        <w:t>西安市城市管理和综合执法局</w:t>
      </w:r>
      <w:r>
        <w:rPr/>
        <w:t>负责解释。除上述磋商文件内容，其他内容由</w:t>
      </w:r>
      <w:r>
        <w:rPr/>
        <w:t>泰宇建筑工程技术咨询有限公司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西安市城市管理和综合执法局</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泰宇建筑工程技术咨询有限公司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60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根据采购合同规定，对供应商的交付成果按采购文件的验收标准进行验收。</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泰宇建筑工程技术咨询有限公司</w:t>
      </w:r>
      <w:r>
        <w:rPr/>
        <w:t xml:space="preserve"> 负责答复；供应商对除采购需求外的采购文件的询问、质疑由</w:t>
      </w:r>
      <w:r>
        <w:rPr/>
        <w:t>泰宇建筑工程技术咨询有限公司</w:t>
      </w:r>
      <w:r>
        <w:rPr/>
        <w:t xml:space="preserve"> 负责答复；供应商对采购过程、采购结果的询问、质疑由 </w:t>
      </w:r>
      <w:r>
        <w:rPr/>
        <w:t>泰宇建筑工程技术咨询有限公司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联系人：万里林</w:t>
      </w:r>
    </w:p>
    <w:p>
      <w:pPr>
        <w:pStyle w:val="null3"/>
      </w:pPr>
      <w:r>
        <w:rPr/>
        <w:t>联系电话：18109263357</w:t>
      </w:r>
    </w:p>
    <w:p>
      <w:pPr>
        <w:pStyle w:val="null3"/>
      </w:pPr>
      <w:r>
        <w:rPr/>
        <w:t>地址：西安市雁塔区太白南路139号荣禾云图中心14楼</w:t>
      </w:r>
    </w:p>
    <w:p>
      <w:pPr>
        <w:pStyle w:val="null3"/>
      </w:pPr>
      <w:r>
        <w:rPr/>
        <w:t>邮编：/</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为进一步丰富我市垃圾分类宣传形式，拓展宣传渠道，拟采用当下群众常用的手机app宣传广告植入的方式，通过在抖音视频或其他媒介，植入垃圾分类影音宣传内容，可进一步鲜活垃圾分类宣传内容，使宣传方式更加生动，便于群众接受和关注。从而不断提高全社会垃圾分类工作的知晓率，提高群众的参与热情，提升西安市生活垃圾分类宣传氛围。</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600,000.00</w:t>
      </w:r>
    </w:p>
    <w:p>
      <w:pPr>
        <w:pStyle w:val="null3"/>
      </w:pPr>
      <w:r>
        <w:rPr/>
        <w:t>采购包最高限价（元）: 600,000.00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手机软件植入式推送宣传</w:t>
            </w:r>
          </w:p>
        </w:tc>
        <w:tc>
          <w:tcPr>
            <w:tcW w:type="dxa" w:w="831"/>
          </w:tcPr>
          <w:p>
            <w:pPr>
              <w:pStyle w:val="null3"/>
              <w:jc w:val="right"/>
            </w:pPr>
            <w:r>
              <w:rPr/>
              <w:t>1.00</w:t>
            </w:r>
          </w:p>
        </w:tc>
        <w:tc>
          <w:tcPr>
            <w:tcW w:type="dxa" w:w="831"/>
          </w:tcPr>
          <w:p>
            <w:pPr>
              <w:pStyle w:val="null3"/>
              <w:jc w:val="right"/>
            </w:pPr>
            <w:r>
              <w:rPr/>
              <w:t>600,000.00</w:t>
            </w:r>
          </w:p>
        </w:tc>
        <w:tc>
          <w:tcPr>
            <w:tcW w:type="dxa" w:w="831"/>
          </w:tcPr>
          <w:p>
            <w:pPr>
              <w:pStyle w:val="null3"/>
            </w:pPr>
            <w:r>
              <w:rPr/>
              <w:t>项</w:t>
            </w:r>
          </w:p>
        </w:tc>
        <w:tc>
          <w:tcPr>
            <w:tcW w:type="dxa" w:w="831"/>
          </w:tcPr>
          <w:p>
            <w:pPr>
              <w:pStyle w:val="null3"/>
            </w:pPr>
            <w:r>
              <w:rPr/>
              <w:t>租赁和商务服务业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标的名称：手机软件植入式推送宣传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65"/>
              <w:gridCol w:w="338"/>
              <w:gridCol w:w="1849"/>
            </w:tblGrid>
            <w:tr>
              <w:tc>
                <w:tcPr>
                  <w:tcW w:type="dxa" w:w="3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9"/>
                    </w:rPr>
                    <w:t xml:space="preserve"> </w:t>
                  </w:r>
                  <w:r>
                    <w:rPr>
                      <w:rFonts w:ascii="宋体" w:hAnsi="宋体" w:cs="宋体" w:eastAsia="宋体"/>
                      <w:sz w:val="19"/>
                    </w:rPr>
                    <w:t>参数性质</w:t>
                  </w:r>
                </w:p>
              </w:tc>
              <w:tc>
                <w:tcPr>
                  <w:tcW w:type="dxa" w:w="3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9"/>
                    </w:rPr>
                    <w:t xml:space="preserve"> </w:t>
                  </w:r>
                  <w:r>
                    <w:rPr>
                      <w:rFonts w:ascii="宋体" w:hAnsi="宋体" w:cs="宋体" w:eastAsia="宋体"/>
                      <w:sz w:val="19"/>
                    </w:rPr>
                    <w:t>序号</w:t>
                  </w:r>
                </w:p>
              </w:tc>
              <w:tc>
                <w:tcPr>
                  <w:tcW w:type="dxa" w:w="18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9"/>
                    </w:rPr>
                    <w:t xml:space="preserve"> </w:t>
                  </w:r>
                  <w:r>
                    <w:rPr>
                      <w:rFonts w:ascii="宋体" w:hAnsi="宋体" w:cs="宋体" w:eastAsia="宋体"/>
                      <w:sz w:val="19"/>
                    </w:rPr>
                    <w:t>技术参数与性能指标</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calibri" w:hAnsi="calibri" w:cs="calibri" w:eastAsia="calibri"/>
                      <w:sz w:val="19"/>
                    </w:rPr>
                    <w:t>1</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b/>
                      <w:color w:val="000000"/>
                    </w:rPr>
                    <w:t>一、项目概况及总体要求</w:t>
                  </w:r>
                </w:p>
                <w:p>
                  <w:pPr>
                    <w:pStyle w:val="null3"/>
                    <w:ind w:right="-195" w:firstLine="420"/>
                    <w:jc w:val="left"/>
                  </w:pPr>
                  <w:r>
                    <w:rPr>
                      <w:rFonts w:ascii="宋体" w:hAnsi="宋体" w:cs="宋体" w:eastAsia="宋体"/>
                      <w:sz w:val="21"/>
                      <w:color w:val="000000"/>
                    </w:rPr>
                    <w:t>1.1</w:t>
                  </w:r>
                  <w:r>
                    <w:rPr>
                      <w:rFonts w:ascii="宋体" w:hAnsi="宋体" w:cs="宋体" w:eastAsia="宋体"/>
                      <w:sz w:val="21"/>
                      <w:color w:val="000000"/>
                    </w:rPr>
                    <w:t>为进一步丰富我市垃圾分类宣传形式，拓展宣传渠道，拟采用当下群众常用的手机</w:t>
                  </w:r>
                  <w:r>
                    <w:rPr>
                      <w:rFonts w:ascii="宋体" w:hAnsi="宋体" w:cs="宋体" w:eastAsia="宋体"/>
                      <w:sz w:val="21"/>
                      <w:color w:val="000000"/>
                    </w:rPr>
                    <w:t>app宣传广告植入的方式，通过在抖音视频或其他媒介，植入垃圾分类影音宣传内容，可进一步鲜活垃圾分类宣传内容，使宣传方式更加生动，便于群众接受和关注。从而不断提高全社会垃圾分类工作的知晓率，提高群众的参与热情，提升西安市生活垃圾分类宣传氛围</w:t>
                  </w:r>
                  <w:r>
                    <w:rPr>
                      <w:rFonts w:ascii="宋体" w:hAnsi="宋体" w:cs="宋体" w:eastAsia="宋体"/>
                      <w:sz w:val="19"/>
                    </w:rPr>
                    <w:t>。</w:t>
                  </w:r>
                </w:p>
                <w:p>
                  <w:pPr>
                    <w:pStyle w:val="null3"/>
                    <w:ind w:right="-195" w:firstLine="420"/>
                    <w:jc w:val="left"/>
                  </w:pPr>
                  <w:r>
                    <w:rPr>
                      <w:rFonts w:ascii="宋体" w:hAnsi="宋体" w:cs="宋体" w:eastAsia="宋体"/>
                      <w:sz w:val="19"/>
                    </w:rPr>
                    <w:t>通过制作垃圾分类创意短视频，以公益广告形式在抖音以及其他融媒体平台进行精准推送，倡议西安市民群众从现在做起，从自我做起，以实际行动助力垃圾分类提质增效。</w:t>
                  </w:r>
                </w:p>
                <w:p>
                  <w:pPr>
                    <w:pStyle w:val="null3"/>
                    <w:ind w:right="-195" w:firstLine="420"/>
                    <w:jc w:val="left"/>
                  </w:pPr>
                  <w:r>
                    <w:rPr>
                      <w:rFonts w:ascii="宋体" w:hAnsi="宋体" w:cs="宋体" w:eastAsia="宋体"/>
                      <w:sz w:val="21"/>
                      <w:color w:val="000000"/>
                    </w:rPr>
                    <w:t>1.2本项目所属行业为: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pPr>
                    <w:pStyle w:val="null3"/>
                    <w:jc w:val="left"/>
                  </w:pPr>
                  <w:r>
                    <w:rPr>
                      <w:rFonts w:ascii="宋体" w:hAnsi="宋体" w:cs="宋体" w:eastAsia="宋体"/>
                      <w:sz w:val="21"/>
                      <w:b/>
                      <w:color w:val="000000"/>
                    </w:rPr>
                    <w:t>二、服务内容与要求</w:t>
                  </w:r>
                </w:p>
                <w:p>
                  <w:pPr>
                    <w:pStyle w:val="null3"/>
                    <w:ind w:firstLine="419"/>
                    <w:jc w:val="both"/>
                  </w:pPr>
                  <w:r>
                    <w:rPr>
                      <w:rFonts w:ascii="宋体" w:hAnsi="宋体" w:cs="宋体" w:eastAsia="宋体"/>
                      <w:sz w:val="21"/>
                      <w:color w:val="000000"/>
                    </w:rPr>
                    <w:t>2.1服务内容（包含但不限于）：</w:t>
                  </w:r>
                </w:p>
                <w:tbl>
                  <w:tblPr>
                    <w:tblBorders>
                      <w:top w:val="none" w:color="000000" w:sz="4"/>
                      <w:left w:val="none" w:color="000000" w:sz="4"/>
                      <w:bottom w:val="none" w:color="000000" w:sz="4"/>
                      <w:right w:val="none" w:color="000000" w:sz="4"/>
                      <w:insideH w:val="none"/>
                      <w:insideV w:val="none"/>
                    </w:tblBorders>
                  </w:tblPr>
                  <w:tblGrid>
                    <w:gridCol w:w="138"/>
                    <w:gridCol w:w="485"/>
                    <w:gridCol w:w="767"/>
                    <w:gridCol w:w="232"/>
                  </w:tblGrid>
                  <w:tr>
                    <w:tc>
                      <w:tcPr>
                        <w:tcW w:type="dxa" w:w="1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b/>
                            <w:color w:val="000000"/>
                          </w:rPr>
                          <w:t>序号</w:t>
                        </w:r>
                      </w:p>
                    </w:tc>
                    <w:tc>
                      <w:tcPr>
                        <w:tcW w:type="dxa" w:w="4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1"/>
                          <w:jc w:val="center"/>
                        </w:pPr>
                        <w:r>
                          <w:rPr>
                            <w:rFonts w:ascii="宋体" w:hAnsi="宋体" w:cs="宋体" w:eastAsia="宋体"/>
                            <w:sz w:val="21"/>
                            <w:b/>
                            <w:color w:val="000000"/>
                          </w:rPr>
                          <w:t>主题与内容</w:t>
                        </w:r>
                      </w:p>
                    </w:tc>
                    <w:tc>
                      <w:tcPr>
                        <w:tcW w:type="dxa" w:w="7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1"/>
                          <w:jc w:val="center"/>
                        </w:pPr>
                        <w:r>
                          <w:rPr>
                            <w:rFonts w:ascii="宋体" w:hAnsi="宋体" w:cs="宋体" w:eastAsia="宋体"/>
                            <w:sz w:val="21"/>
                            <w:b/>
                            <w:color w:val="000000"/>
                          </w:rPr>
                          <w:t>规格及要求</w:t>
                        </w:r>
                      </w:p>
                    </w:tc>
                    <w:tc>
                      <w:tcPr>
                        <w:tcW w:type="dxa" w:w="2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1"/>
                          <w:jc w:val="center"/>
                        </w:pPr>
                        <w:r>
                          <w:rPr>
                            <w:rFonts w:ascii="宋体" w:hAnsi="宋体" w:cs="宋体" w:eastAsia="宋体"/>
                            <w:sz w:val="21"/>
                            <w:b/>
                            <w:color w:val="000000"/>
                          </w:rPr>
                          <w:t>备注</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b/>
                            <w:color w:val="000000"/>
                          </w:rPr>
                          <w:t>1</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jc w:val="center"/>
                        </w:pPr>
                        <w:r>
                          <w:rPr>
                            <w:rFonts w:ascii="宋体" w:hAnsi="宋体" w:cs="宋体" w:eastAsia="宋体"/>
                            <w:sz w:val="19"/>
                          </w:rPr>
                          <w:t>视频制作</w:t>
                        </w:r>
                      </w:p>
                    </w:tc>
                    <w:tc>
                      <w:tcPr>
                        <w:tcW w:type="dxa" w:w="7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jc w:val="both"/>
                        </w:pPr>
                        <w:r>
                          <w:rPr>
                            <w:rFonts w:ascii="宋体" w:hAnsi="宋体" w:cs="宋体" w:eastAsia="宋体"/>
                            <w:sz w:val="19"/>
                          </w:rPr>
                          <w:t>设计制作不少于</w:t>
                        </w:r>
                        <w:r>
                          <w:rPr>
                            <w:rFonts w:ascii="calibri" w:hAnsi="calibri" w:cs="calibri" w:eastAsia="calibri"/>
                            <w:sz w:val="19"/>
                          </w:rPr>
                          <w:t>4</w:t>
                        </w:r>
                        <w:r>
                          <w:rPr>
                            <w:rFonts w:ascii="宋体" w:hAnsi="宋体" w:cs="宋体" w:eastAsia="宋体"/>
                            <w:sz w:val="19"/>
                          </w:rPr>
                          <w:t>部垃圾分类宣传视频，视频时长不少于</w:t>
                        </w:r>
                        <w:r>
                          <w:rPr>
                            <w:rFonts w:ascii="calibri" w:hAnsi="calibri" w:cs="calibri" w:eastAsia="calibri"/>
                            <w:sz w:val="19"/>
                          </w:rPr>
                          <w:t>30</w:t>
                        </w:r>
                        <w:r>
                          <w:rPr>
                            <w:rFonts w:ascii="宋体" w:hAnsi="宋体" w:cs="宋体" w:eastAsia="宋体"/>
                            <w:sz w:val="19"/>
                          </w:rPr>
                          <w:t>秒，短视频内容要正面，生动活泼，吸引用户眼球，增强播放宣传效果。</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jc w:val="both"/>
                        </w:pP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b/>
                            <w:color w:val="000000"/>
                          </w:rPr>
                          <w:t>2</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jc w:val="center"/>
                        </w:pPr>
                        <w:r>
                          <w:rPr>
                            <w:rFonts w:ascii="宋体" w:hAnsi="宋体" w:cs="宋体" w:eastAsia="宋体"/>
                            <w:sz w:val="19"/>
                          </w:rPr>
                          <w:t>媒体投放</w:t>
                        </w:r>
                      </w:p>
                    </w:tc>
                    <w:tc>
                      <w:tcPr>
                        <w:tcW w:type="dxa" w:w="7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jc w:val="both"/>
                        </w:pPr>
                        <w:r>
                          <w:rPr>
                            <w:rFonts w:ascii="宋体" w:hAnsi="宋体" w:cs="宋体" w:eastAsia="宋体"/>
                            <w:sz w:val="19"/>
                          </w:rPr>
                          <w:t>通过抖音官方平台、西安市属媒体平台等进行循环投放，连续播放周期为</w:t>
                        </w:r>
                        <w:r>
                          <w:rPr>
                            <w:rFonts w:ascii="calibri" w:hAnsi="calibri" w:cs="calibri" w:eastAsia="calibri"/>
                            <w:sz w:val="19"/>
                          </w:rPr>
                          <w:t>3</w:t>
                        </w:r>
                        <w:r>
                          <w:rPr>
                            <w:rFonts w:ascii="宋体" w:hAnsi="宋体" w:cs="宋体" w:eastAsia="宋体"/>
                            <w:sz w:val="19"/>
                          </w:rPr>
                          <w:t>个月。抖音播放累计曝光量不低于</w:t>
                        </w:r>
                        <w:r>
                          <w:rPr>
                            <w:rFonts w:ascii="calibri" w:hAnsi="calibri" w:cs="calibri" w:eastAsia="calibri"/>
                            <w:sz w:val="19"/>
                          </w:rPr>
                          <w:t>1000</w:t>
                        </w:r>
                        <w:r>
                          <w:rPr>
                            <w:rFonts w:ascii="宋体" w:hAnsi="宋体" w:cs="宋体" w:eastAsia="宋体"/>
                            <w:sz w:val="19"/>
                          </w:rPr>
                          <w:t>万，西安市属媒体平台累计播放次数不少于</w:t>
                        </w:r>
                        <w:r>
                          <w:rPr>
                            <w:rFonts w:ascii="calibri" w:hAnsi="calibri" w:cs="calibri" w:eastAsia="calibri"/>
                            <w:sz w:val="19"/>
                          </w:rPr>
                          <w:t>400</w:t>
                        </w:r>
                        <w:r>
                          <w:rPr>
                            <w:rFonts w:ascii="宋体" w:hAnsi="宋体" w:cs="宋体" w:eastAsia="宋体"/>
                            <w:sz w:val="19"/>
                          </w:rPr>
                          <w:t>次。</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jc w:val="both"/>
                        </w:pPr>
                      </w:p>
                    </w:tc>
                  </w:tr>
                </w:tbl>
                <w:p>
                  <w:pPr>
                    <w:pStyle w:val="null3"/>
                    <w:jc w:val="both"/>
                  </w:pPr>
                  <w:r>
                    <w:rPr>
                      <w:rFonts w:ascii="宋体" w:hAnsi="宋体" w:cs="宋体" w:eastAsia="宋体"/>
                      <w:sz w:val="21"/>
                      <w:color w:val="000000"/>
                    </w:rPr>
                    <w:t>2.2质量标准和技术规范：所提供的服务符合国家现行标准和相应的技术规范，这些标准和技术规范应为合同签订之日为止最新公布发行的标准和技术规范。</w:t>
                  </w:r>
                </w:p>
                <w:p>
                  <w:pPr>
                    <w:pStyle w:val="null3"/>
                    <w:ind w:firstLine="418"/>
                    <w:jc w:val="both"/>
                  </w:pPr>
                  <w:r>
                    <w:rPr>
                      <w:rFonts w:ascii="宋体" w:hAnsi="宋体" w:cs="宋体" w:eastAsia="宋体"/>
                      <w:sz w:val="21"/>
                      <w:color w:val="000000"/>
                    </w:rPr>
                    <w:t>2.3服务要求：</w:t>
                  </w:r>
                </w:p>
                <w:p>
                  <w:pPr>
                    <w:pStyle w:val="null3"/>
                    <w:ind w:firstLine="211"/>
                    <w:jc w:val="left"/>
                  </w:pPr>
                  <w:r>
                    <w:rPr>
                      <w:rFonts w:ascii="宋体" w:hAnsi="宋体" w:cs="宋体" w:eastAsia="宋体"/>
                      <w:sz w:val="19"/>
                    </w:rPr>
                    <w:t>（一）项目实施安排：</w:t>
                  </w:r>
                </w:p>
                <w:p>
                  <w:pPr>
                    <w:pStyle w:val="null3"/>
                    <w:ind w:firstLine="211"/>
                    <w:jc w:val="left"/>
                  </w:pPr>
                  <w:r>
                    <w:rPr>
                      <w:rFonts w:ascii="calibri" w:hAnsi="calibri" w:cs="calibri" w:eastAsia="calibri"/>
                      <w:sz w:val="19"/>
                    </w:rPr>
                    <w:t>1.</w:t>
                  </w:r>
                  <w:r>
                    <w:rPr>
                      <w:rFonts w:ascii="宋体" w:hAnsi="宋体" w:cs="宋体" w:eastAsia="宋体"/>
                      <w:sz w:val="19"/>
                    </w:rPr>
                    <w:t>乙方应提供合理的项目方案，确保项目按期完成。</w:t>
                  </w:r>
                </w:p>
                <w:p>
                  <w:pPr>
                    <w:pStyle w:val="null3"/>
                    <w:ind w:firstLine="211"/>
                    <w:jc w:val="left"/>
                  </w:pPr>
                  <w:r>
                    <w:rPr>
                      <w:rFonts w:ascii="calibri" w:hAnsi="calibri" w:cs="calibri" w:eastAsia="calibri"/>
                      <w:sz w:val="19"/>
                    </w:rPr>
                    <w:t>2.</w:t>
                  </w:r>
                  <w:r>
                    <w:rPr>
                      <w:rFonts w:ascii="宋体" w:hAnsi="宋体" w:cs="宋体" w:eastAsia="宋体"/>
                      <w:sz w:val="19"/>
                    </w:rPr>
                    <w:t>乙方应做好财力调配和预算，确保项目顺利推进。</w:t>
                  </w:r>
                </w:p>
                <w:p>
                  <w:pPr>
                    <w:pStyle w:val="null3"/>
                    <w:ind w:firstLine="211"/>
                    <w:jc w:val="left"/>
                  </w:pPr>
                  <w:r>
                    <w:rPr>
                      <w:rFonts w:ascii="calibri" w:hAnsi="calibri" w:cs="calibri" w:eastAsia="calibri"/>
                      <w:sz w:val="19"/>
                    </w:rPr>
                    <w:t>3.</w:t>
                  </w:r>
                  <w:r>
                    <w:rPr>
                      <w:rFonts w:ascii="宋体" w:hAnsi="宋体" w:cs="宋体" w:eastAsia="宋体"/>
                      <w:sz w:val="19"/>
                    </w:rPr>
                    <w:t>乙方需配有专业的设计、拍摄团队，在技术上保障拍摄质量和效果。</w:t>
                  </w:r>
                </w:p>
                <w:p>
                  <w:pPr>
                    <w:pStyle w:val="null3"/>
                    <w:ind w:firstLine="211"/>
                    <w:jc w:val="left"/>
                  </w:pPr>
                  <w:r>
                    <w:rPr>
                      <w:rFonts w:ascii="宋体" w:hAnsi="宋体" w:cs="宋体" w:eastAsia="宋体"/>
                      <w:sz w:val="19"/>
                    </w:rPr>
                    <w:t>（二）售后服务能力：</w:t>
                  </w:r>
                </w:p>
                <w:p>
                  <w:pPr>
                    <w:pStyle w:val="null3"/>
                    <w:ind w:firstLine="211"/>
                    <w:jc w:val="left"/>
                  </w:pPr>
                  <w:r>
                    <w:rPr>
                      <w:rFonts w:ascii="calibri" w:hAnsi="calibri" w:cs="calibri" w:eastAsia="calibri"/>
                      <w:sz w:val="19"/>
                    </w:rPr>
                    <w:t>1.</w:t>
                  </w:r>
                  <w:r>
                    <w:rPr>
                      <w:rFonts w:ascii="宋体" w:hAnsi="宋体" w:cs="宋体" w:eastAsia="宋体"/>
                      <w:sz w:val="19"/>
                    </w:rPr>
                    <w:t>乙方应具备本地化的服务能力，及时高效解决问题，对甲方提出的问题及要求乙方响应速度不超过</w:t>
                  </w:r>
                  <w:r>
                    <w:rPr>
                      <w:rFonts w:ascii="calibri" w:hAnsi="calibri" w:cs="calibri" w:eastAsia="calibri"/>
                      <w:sz w:val="19"/>
                    </w:rPr>
                    <w:t>2</w:t>
                  </w:r>
                  <w:r>
                    <w:rPr>
                      <w:rFonts w:ascii="宋体" w:hAnsi="宋体" w:cs="宋体" w:eastAsia="宋体"/>
                      <w:sz w:val="19"/>
                    </w:rPr>
                    <w:t>小时。</w:t>
                  </w:r>
                </w:p>
                <w:p>
                  <w:pPr>
                    <w:pStyle w:val="null3"/>
                    <w:ind w:firstLine="211"/>
                    <w:jc w:val="left"/>
                  </w:pPr>
                  <w:r>
                    <w:rPr>
                      <w:rFonts w:ascii="calibri" w:hAnsi="calibri" w:cs="calibri" w:eastAsia="calibri"/>
                      <w:sz w:val="19"/>
                    </w:rPr>
                    <w:t>2.</w:t>
                  </w:r>
                  <w:r>
                    <w:rPr>
                      <w:rFonts w:ascii="宋体" w:hAnsi="宋体" w:cs="宋体" w:eastAsia="宋体"/>
                      <w:sz w:val="19"/>
                    </w:rPr>
                    <w:t>乙方应提供详尽的验收汇总资料，确保后期项目验收。</w:t>
                  </w:r>
                </w:p>
                <w:p>
                  <w:pPr>
                    <w:pStyle w:val="null3"/>
                    <w:jc w:val="left"/>
                  </w:pPr>
                  <w:r>
                    <w:rPr>
                      <w:rFonts w:ascii="宋体" w:hAnsi="宋体" w:cs="宋体" w:eastAsia="宋体"/>
                      <w:sz w:val="21"/>
                      <w:b/>
                      <w:color w:val="000000"/>
                    </w:rPr>
                    <w:t>三、质量要求：</w:t>
                  </w:r>
                </w:p>
                <w:p>
                  <w:pPr>
                    <w:pStyle w:val="null3"/>
                    <w:ind w:firstLine="420"/>
                    <w:jc w:val="left"/>
                  </w:pPr>
                  <w:r>
                    <w:rPr>
                      <w:rFonts w:ascii="宋体" w:hAnsi="宋体" w:cs="宋体" w:eastAsia="宋体"/>
                      <w:sz w:val="21"/>
                      <w:color w:val="000000"/>
                    </w:rPr>
                    <w:t>3.1服务质量：合格。</w:t>
                  </w:r>
                </w:p>
                <w:p>
                  <w:pPr>
                    <w:pStyle w:val="null3"/>
                    <w:ind w:firstLine="419"/>
                    <w:jc w:val="both"/>
                  </w:pPr>
                  <w:r>
                    <w:rPr>
                      <w:rFonts w:ascii="宋体" w:hAnsi="宋体" w:cs="宋体" w:eastAsia="宋体"/>
                      <w:sz w:val="21"/>
                      <w:color w:val="000000"/>
                    </w:rPr>
                    <w:t>3.2服务、产品（如有）执行的标准、规范：</w:t>
                  </w:r>
                </w:p>
                <w:p>
                  <w:pPr>
                    <w:pStyle w:val="null3"/>
                    <w:ind w:firstLine="418"/>
                    <w:jc w:val="both"/>
                  </w:pPr>
                  <w:r>
                    <w:rPr>
                      <w:rFonts w:ascii="宋体" w:hAnsi="宋体" w:cs="宋体" w:eastAsia="宋体"/>
                      <w:sz w:val="21"/>
                      <w:color w:val="000000"/>
                    </w:rPr>
                    <w:t>（</w:t>
                  </w:r>
                  <w:r>
                    <w:rPr>
                      <w:rFonts w:ascii="宋体" w:hAnsi="宋体" w:cs="宋体" w:eastAsia="宋体"/>
                      <w:sz w:val="21"/>
                      <w:color w:val="000000"/>
                    </w:rPr>
                    <w:t>1）国家标准、规范/；</w:t>
                  </w:r>
                </w:p>
                <w:p>
                  <w:pPr>
                    <w:pStyle w:val="null3"/>
                    <w:ind w:firstLine="418"/>
                    <w:jc w:val="both"/>
                  </w:pPr>
                  <w:r>
                    <w:rPr>
                      <w:rFonts w:ascii="宋体" w:hAnsi="宋体" w:cs="宋体" w:eastAsia="宋体"/>
                      <w:sz w:val="21"/>
                      <w:color w:val="000000"/>
                    </w:rPr>
                    <w:t>（</w:t>
                  </w:r>
                  <w:r>
                    <w:rPr>
                      <w:rFonts w:ascii="宋体" w:hAnsi="宋体" w:cs="宋体" w:eastAsia="宋体"/>
                      <w:sz w:val="21"/>
                      <w:color w:val="000000"/>
                    </w:rPr>
                    <w:t>2）行业标准、规范/；</w:t>
                  </w:r>
                </w:p>
                <w:p>
                  <w:pPr>
                    <w:pStyle w:val="null3"/>
                    <w:ind w:firstLine="418"/>
                    <w:jc w:val="both"/>
                  </w:pPr>
                  <w:r>
                    <w:rPr>
                      <w:rFonts w:ascii="宋体" w:hAnsi="宋体" w:cs="宋体" w:eastAsia="宋体"/>
                      <w:sz w:val="21"/>
                      <w:color w:val="000000"/>
                    </w:rPr>
                    <w:t>（</w:t>
                  </w:r>
                  <w:r>
                    <w:rPr>
                      <w:rFonts w:ascii="宋体" w:hAnsi="宋体" w:cs="宋体" w:eastAsia="宋体"/>
                      <w:sz w:val="21"/>
                      <w:color w:val="000000"/>
                    </w:rPr>
                    <w:t>3）地方标准、规范/；</w:t>
                  </w:r>
                </w:p>
                <w:p>
                  <w:pPr>
                    <w:pStyle w:val="null3"/>
                    <w:ind w:firstLine="418"/>
                    <w:jc w:val="both"/>
                  </w:pPr>
                  <w:r>
                    <w:rPr>
                      <w:rFonts w:ascii="宋体" w:hAnsi="宋体" w:cs="宋体" w:eastAsia="宋体"/>
                      <w:sz w:val="21"/>
                      <w:color w:val="000000"/>
                    </w:rPr>
                    <w:t>（</w:t>
                  </w:r>
                  <w:r>
                    <w:rPr>
                      <w:rFonts w:ascii="宋体" w:hAnsi="宋体" w:cs="宋体" w:eastAsia="宋体"/>
                      <w:sz w:val="21"/>
                      <w:color w:val="000000"/>
                    </w:rPr>
                    <w:t>4）团体标准、规范/；</w:t>
                  </w:r>
                </w:p>
                <w:p>
                  <w:pPr>
                    <w:pStyle w:val="null3"/>
                    <w:ind w:firstLine="418"/>
                    <w:jc w:val="both"/>
                  </w:pPr>
                  <w:r>
                    <w:rPr>
                      <w:rFonts w:ascii="宋体" w:hAnsi="宋体" w:cs="宋体" w:eastAsia="宋体"/>
                      <w:sz w:val="21"/>
                      <w:color w:val="000000"/>
                    </w:rPr>
                    <w:t>（</w:t>
                  </w:r>
                  <w:r>
                    <w:rPr>
                      <w:rFonts w:ascii="宋体" w:hAnsi="宋体" w:cs="宋体" w:eastAsia="宋体"/>
                      <w:sz w:val="21"/>
                      <w:color w:val="000000"/>
                    </w:rPr>
                    <w:t>5）企业标准、规范/。</w:t>
                  </w:r>
                </w:p>
                <w:p>
                  <w:pPr>
                    <w:pStyle w:val="null3"/>
                    <w:ind w:firstLine="419"/>
                    <w:jc w:val="both"/>
                  </w:pPr>
                  <w:r>
                    <w:rPr>
                      <w:rFonts w:ascii="宋体" w:hAnsi="宋体" w:cs="宋体" w:eastAsia="宋体"/>
                      <w:sz w:val="21"/>
                      <w:color w:val="000000"/>
                    </w:rPr>
                    <w:t>3.3本章3.2款未明确服务（产品）执行标准、规范的，按下列方法进行选择：</w:t>
                  </w:r>
                </w:p>
                <w:p>
                  <w:pPr>
                    <w:pStyle w:val="null3"/>
                    <w:ind w:firstLine="419"/>
                    <w:jc w:val="both"/>
                  </w:pPr>
                  <w:r>
                    <w:rPr>
                      <w:rFonts w:ascii="宋体" w:hAnsi="宋体" w:cs="宋体" w:eastAsia="宋体"/>
                      <w:sz w:val="21"/>
                      <w:color w:val="000000"/>
                    </w:rPr>
                    <w:t>□顺序执行：国家标准→行业标准→地方标准→团体标准→企业标准（有国家标准按国家标准执行，没有国家标准按行业标准，以此类推）；</w:t>
                  </w:r>
                </w:p>
                <w:p>
                  <w:pPr>
                    <w:pStyle w:val="null3"/>
                    <w:ind w:firstLine="419"/>
                    <w:jc w:val="both"/>
                  </w:pPr>
                  <w:r>
                    <w:rPr>
                      <w:rFonts w:ascii="宋体" w:hAnsi="宋体" w:cs="宋体" w:eastAsia="宋体"/>
                      <w:sz w:val="21"/>
                      <w:color w:val="000000"/>
                    </w:rPr>
                    <w:t>□最高标准执行：国家标准，行业标准，地方标准，团体标准，企业标准（哪个标准高执行哪个标准）；</w:t>
                  </w:r>
                </w:p>
                <w:p>
                  <w:pPr>
                    <w:pStyle w:val="null3"/>
                    <w:ind w:firstLine="420"/>
                    <w:jc w:val="both"/>
                  </w:pPr>
                  <w:r>
                    <w:rPr>
                      <w:rFonts w:ascii="&quot;segoe ui symbol&quot;, &quot;sans-serif&quot;" w:hAnsi="&quot;segoe ui symbol&quot;, &quot;sans-serif&quot;" w:cs="&quot;segoe ui symbol&quot;, &quot;sans-serif&quot;" w:eastAsia="&quot;segoe ui symbol&quot;, &quot;sans-serif&quot;"/>
                      <w:sz w:val="21"/>
                      <w:color w:val="000000"/>
                    </w:rPr>
                    <w:t>☑</w:t>
                  </w:r>
                  <w:r>
                    <w:rPr>
                      <w:rFonts w:ascii="宋体" w:hAnsi="宋体" w:cs="宋体" w:eastAsia="宋体"/>
                      <w:sz w:val="21"/>
                      <w:color w:val="000000"/>
                    </w:rPr>
                    <w:t>必须执行：国家（行业）强制性标准</w:t>
                  </w:r>
                </w:p>
              </w:tc>
            </w:tr>
          </w:tbl>
          <w:p/>
        </w:tc>
      </w:tr>
    </w:tbl>
    <w:p>
      <w:pPr>
        <w:pStyle w:val="null3"/>
        <w:outlineLvl w:val="2"/>
      </w:pPr>
      <w:r>
        <w:rPr>
          <w:sz w:val="28"/>
          <w:b/>
        </w:rPr>
        <w:t>3.2.3人员配置要求</w:t>
      </w:r>
    </w:p>
    <w:p>
      <w:pPr>
        <w:pStyle w:val="null3"/>
      </w:pPr>
      <w:r>
        <w:rPr/>
        <w:t>采购包1：</w:t>
      </w:r>
    </w:p>
    <w:p>
      <w:pPr>
        <w:pStyle w:val="null3"/>
      </w:pPr>
      <w:r>
        <w:rPr/>
        <w:t>服务方按项目服务要求及特性，自行组织项目实施与管理，建立以项目负责人为核心的服务团队，实行项目负责人责任制，相关人员经过严格培训，能够胜任项目工作，保证项目顺利实施。</w:t>
      </w:r>
    </w:p>
    <w:p>
      <w:pPr>
        <w:pStyle w:val="null3"/>
        <w:outlineLvl w:val="2"/>
      </w:pPr>
      <w:r>
        <w:rPr>
          <w:sz w:val="28"/>
          <w:b/>
        </w:rPr>
        <w:t>3.2.4设施设备要求</w:t>
      </w:r>
    </w:p>
    <w:p>
      <w:pPr>
        <w:pStyle w:val="null3"/>
      </w:pPr>
      <w:r>
        <w:rPr/>
        <w:t>采购包1：</w:t>
      </w:r>
    </w:p>
    <w:p>
      <w:pPr>
        <w:pStyle w:val="null3"/>
      </w:pPr>
      <w:r>
        <w:rPr/>
        <w:t>服务方根据项目特性，自行配置投入有利于完成本项目服务各类设施设备（包含但不限于专业设备、辅助设备、工具、软件等）。</w:t>
      </w:r>
    </w:p>
    <w:p>
      <w:pPr>
        <w:pStyle w:val="null3"/>
        <w:outlineLvl w:val="2"/>
      </w:pPr>
      <w:r>
        <w:rPr>
          <w:sz w:val="28"/>
          <w:b/>
        </w:rPr>
        <w:t>3.2.5其他要求</w:t>
      </w:r>
    </w:p>
    <w:p>
      <w:pPr>
        <w:pStyle w:val="null3"/>
      </w:pPr>
      <w:r>
        <w:rPr/>
        <w:t>采购包1：</w:t>
      </w:r>
    </w:p>
    <w:p>
      <w:pPr>
        <w:pStyle w:val="null3"/>
      </w:pPr>
      <w:r>
        <w:rPr/>
        <w:t>1.合同签订后，乙方提供的项目方案需提交甲方审核，审核通过后按照甲方的要求进行落地执行。 2.乙方应当按照采购需求内容提供结案报告，为纸质资料2份，原始设计资料1份，U盘拷贝，以便甲方日常管理。 3.乙方未达到采购需求，按照总价款3%承担违约责任，赔偿甲方因违约造成的损失。</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自合同签订生效之日起3个月</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采购人单位根据有关规范规定，不定期对服务方的进行检查或考核，服务方须无条件的接受采购人的各类考核或检查；若审查不通过或质量不合格，服务方应在一定期限进行整改完善，以采购人要求的标准提供合格服务；若服务方在接受检查整改后，仍不能提供符合采购要求的合格服务，采购人有权按违约予以撤项。</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合同签订后</w:t>
      </w:r>
      <w:r>
        <w:rPr/>
        <w:t xml:space="preserve"> ，达到付款条件起 </w:t>
      </w:r>
      <w:r>
        <w:rPr/>
        <w:t>15</w:t>
      </w:r>
      <w:r>
        <w:rPr/>
        <w:t xml:space="preserve"> 日内，支付合同总金额的 </w:t>
      </w:r>
      <w:r>
        <w:rPr/>
        <w:t>50.00</w:t>
      </w:r>
      <w:r>
        <w:rPr/>
        <w:t>%。</w:t>
      </w:r>
    </w:p>
    <w:p>
      <w:pPr>
        <w:pStyle w:val="null3"/>
      </w:pPr>
      <w:r>
        <w:rPr/>
        <w:t>采购包1：</w:t>
      </w:r>
      <w:r>
        <w:rPr/>
        <w:t xml:space="preserve"> 付款条件说明： </w:t>
      </w:r>
      <w:r>
        <w:rPr/>
        <w:t>项目实施完成且验收合格后</w:t>
      </w:r>
      <w:r>
        <w:rPr/>
        <w:t xml:space="preserve"> ，达到付款条件起 </w:t>
      </w:r>
      <w:r>
        <w:rPr/>
        <w:t>10</w:t>
      </w:r>
      <w:r>
        <w:rPr/>
        <w:t xml:space="preserve"> 日内，支付合同总金额的 </w:t>
      </w:r>
      <w:r>
        <w:rPr/>
        <w:t>50.00</w:t>
      </w:r>
      <w:r>
        <w:rPr/>
        <w:t>%。</w:t>
      </w:r>
    </w:p>
    <w:p>
      <w:pPr>
        <w:pStyle w:val="null3"/>
        <w:outlineLvl w:val="3"/>
      </w:pPr>
      <w:r>
        <w:rPr>
          <w:sz w:val="24"/>
          <w:b/>
        </w:rPr>
        <w:t>3.3.6违约责任及解决争议的方法</w:t>
      </w:r>
    </w:p>
    <w:p>
      <w:pPr>
        <w:pStyle w:val="null3"/>
      </w:pPr>
      <w:r>
        <w:rPr/>
        <w:t>采购包1：</w:t>
      </w:r>
    </w:p>
    <w:p>
      <w:pPr>
        <w:pStyle w:val="null3"/>
      </w:pPr>
      <w:r>
        <w:rPr/>
        <w:t>违约责任 1、合同违约情况按《中华人民共和国民法典》中的相关条款执行。 2、甲乙双方必须遵守本合同并执行合同中的各项规定，保证本合同的正常履行。 3、如因乙方工作人员在履行职务过程中的的疏忽、失职、过错等故意或者过失原因给甲方造成损失或侵害，包括但不限于甲方本身的财产损失、由此而导致的甲方对任何第三方的法律责任等，乙方对此均应承担全部的赔偿责任。 4、未按合同要求提供服务或质量不能满足技术要求，甲方有权终止合同并对乙方违约行为进行追究，同时按政府采购法的有关规定进行相应的处罚。 解决合同纠纷的方式 1、在执行本合同中发生的或与本合同有关的争端，双方应通过友好协商解决，经协商不能达成协议时，则采取以下第2种方式解决争议： （1）向甲方所在地有管辖权的人民法院提起诉讼； （2）向西安仲裁委员会按其仲裁规则申请仲裁。 2、在仲裁期间，本合同应继续履行。</w:t>
      </w:r>
    </w:p>
    <w:p>
      <w:pPr>
        <w:pStyle w:val="null3"/>
        <w:outlineLvl w:val="2"/>
      </w:pPr>
      <w:r>
        <w:rPr>
          <w:sz w:val="28"/>
          <w:b/>
        </w:rPr>
        <w:t>3.4其他要求</w:t>
      </w:r>
    </w:p>
    <w:p>
      <w:pPr>
        <w:pStyle w:val="null3"/>
      </w:pPr>
      <w:r>
        <w:rPr/>
        <w:t>一、供应商的磋商报价是供应商响应磋商项目要求的全部工作内容的价格体现，包括供应商完成本项目所需的直接费、间接费、利润、税金及其它相关的一切费用；包括但不限于：服务费、人工费、设备费、管理费、验收费、采购代理服务费、利润和税金等全部费用；在提供服务的过程中的任何遗漏，均由成交供应商免费提供，采购人将不再支付任何费用。 二、磋商有效期 1.出现特殊情况需要延长磋商有效期的，采购代理机构或采购人可于磋商有效期满之前，以书面形式通知所有供应商延长磋商有效期。 2.在磋商有效期内，供应商撤销响应文件的，应承担磋商文件和法律规定的责任。 3.成交供应商的磋商有效期自动延长至合同终止为止。 三、合格供应商少于3家的处理 1.评审过程中，若出现合格供应商只有2家时，符合《政府采购竞争性磋商采购方式管理暂行办法》第3条第4项情形的，或者本项目为政府购买服务指导性目录中的，可以继续进行；只有1家时，采购人应依法重新组织采购活动。 2.评审过程中，除符合第1条条款规定情形外，若出现合格供应商少于3家时，采购人应依法重新组织采购活动。 四、分公司独立参与磋商时，不能使用总公司的资质或业绩；总公司单独参与磋商时，除总公司所投产品为分公司生产的产品外，不能使用分公司的资质或业绩。总公司授权分公司或分支机构参与磋商，可以使用总公司的资质或业绩。 五、恶意质疑、投诉的法律后果 1.对捏造事实、提供虚假材料进行质疑、投诉的行为将予以严肃处理： 《政府采购质疑和投诉办法》（财政部令第94号）规定，投诉人在全国范围内十二个月内三次以上投诉查无实据的，由财政部门列入不良行为记录名单。对于捏造事实、或提供虚假材料、或以非法手段取得证明材料（证据来源的合法性存在明显疑问，投诉人无法证明其取得方式合法的，视为以非法手段取得证明材料）进行投诉的，属于虚假、恶意投诉，由财政部门列入不良行为记录名单，并禁止其一至三年内参加政府采购活动。 2.对捏造事实诬告陷害他人、诽谤他人的法律适用： （1）《中华人民共和国刑法》第243条【诬告陷害罪】捏造事实诬告陷害他人，意图使他人受刑事追究，情节严重的，处三年以下有期徒刑、拘役或者管制；造成严重后果的，处三年以上十年以下有期徒刑。 （2）《中华人民共和国刑法》第246条【侮辱罪、诽谤罪】以暴力或者其他方法公然侮辱他人或者捏造事实诽谤他人，情节严重的，处三年以下有期徒刑、拘役、管制或者剥夺政治权利。 六、 参与本项目采购的供应商应通过陕西省政府采购综合管理平台的项目电子化交易系统在线实施响应、磋商、报价等操作，并在开标前提供纸质响应文件正本一套、副本二套、电子版2套，纸质文件应确保与项目电子化交易系统中的电子响应文件保持一致，不允许修改和补充。</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供应商需在项目电子化交易系统中按要求填写《响应函》完成承诺并进行电子签章,并按磋商文件中的附件“资格证明文件”格式要求提供相关证明资料。</w:t>
            </w:r>
          </w:p>
        </w:tc>
        <w:tc>
          <w:tcPr>
            <w:tcW w:type="dxa" w:w="1661"/>
          </w:tcPr>
          <w:p>
            <w:pPr>
              <w:pStyle w:val="null3"/>
            </w:pPr>
            <w:r>
              <w:rPr/>
              <w:t>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具有财务审计资质的单位出具经审计的2022年度或2023年度财务报告；或在开标日期前6个月内其基本开户银行出具的资信证明（附《基本存款账户信息》或《银行开户许可证》复印件）；供应商需在项目电子化交易系统中按磋商文件中的附件“资格证明文件”格式要求上传相关证明资料并进行电子签章。</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具有独立承担民事责任的能力</w:t>
            </w:r>
          </w:p>
        </w:tc>
        <w:tc>
          <w:tcPr>
            <w:tcW w:type="dxa" w:w="3322"/>
          </w:tcPr>
          <w:p>
            <w:pPr>
              <w:pStyle w:val="null3"/>
            </w:pPr>
            <w:r>
              <w:rPr/>
              <w:t>具有独立承担民事责任能力的法人、其他组织或自然人，提供合法有效的统一社会信用代码营业执照（事业单位提供事业单位法人证书，自然人应提供身份证明）</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财务状况证明</w:t>
            </w:r>
          </w:p>
        </w:tc>
        <w:tc>
          <w:tcPr>
            <w:tcW w:type="dxa" w:w="3322"/>
          </w:tcPr>
          <w:p>
            <w:pPr>
              <w:pStyle w:val="null3"/>
            </w:pPr>
            <w:r>
              <w:rPr/>
              <w:t>提供具有财务审计资质的单位出具经审计的2022年度或2023年度财务报告；或在开标日期前6个月内其基本开户银行出具的资信证明（附《基本存款账户信息》或《银行开户许可证》复印件）</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缴费所属日期为投标截止时间前6个月内任一月份（投标截止时间当月不计入）的任意税种完税凭据或税务机关开具的完税证明等，在法规范围内不需提供的应出具书面说明和证明文件</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缴费所属日期为投标截止时间前6个月内任一月份（投标截止时间当月不计入），根据社会保障资金缴存单据或社保部门出具的缴纳社会保障金凭证，在法规范围内不需提供的应出具书面说明和证明文件</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企业信誉</w:t>
            </w:r>
          </w:p>
        </w:tc>
        <w:tc>
          <w:tcPr>
            <w:tcW w:type="dxa" w:w="3322"/>
          </w:tcPr>
          <w:p>
            <w:pPr>
              <w:pStyle w:val="null3"/>
            </w:pPr>
            <w:r>
              <w:rPr/>
              <w:t>参加本次政府采购活动前3年内在经营活动中没有重大违法记录，以及未被列入“信用中国”失信被执行人、重大税收违法案件当事人名单、“中国政府采购网”政府采购严重违法失信行为记录名单</w:t>
            </w:r>
          </w:p>
        </w:tc>
        <w:tc>
          <w:tcPr>
            <w:tcW w:type="dxa" w:w="1661"/>
          </w:tcPr>
          <w:p>
            <w:pPr>
              <w:pStyle w:val="null3"/>
            </w:pPr>
            <w:r>
              <w:rPr/>
              <w:t>资格证明文件</w:t>
            </w:r>
          </w:p>
        </w:tc>
      </w:tr>
      <w:tr>
        <w:tc>
          <w:tcPr>
            <w:tcW w:type="dxa" w:w="831"/>
          </w:tcPr>
          <w:p>
            <w:pPr>
              <w:pStyle w:val="null3"/>
            </w:pPr>
            <w:r>
              <w:rPr/>
              <w:t>6</w:t>
            </w:r>
          </w:p>
        </w:tc>
        <w:tc>
          <w:tcPr>
            <w:tcW w:type="dxa" w:w="2492"/>
          </w:tcPr>
          <w:p>
            <w:pPr>
              <w:pStyle w:val="null3"/>
            </w:pPr>
            <w:r>
              <w:rPr/>
              <w:t>法定代表人身份证明书或授权委托书</w:t>
            </w:r>
          </w:p>
        </w:tc>
        <w:tc>
          <w:tcPr>
            <w:tcW w:type="dxa" w:w="3322"/>
          </w:tcPr>
          <w:p>
            <w:pPr>
              <w:pStyle w:val="null3"/>
            </w:pPr>
            <w:r>
              <w:rPr/>
              <w:t>法定代表人（主要负责人）委托代理人参加投标时，应提供法定代表人（主要负责人）授权委托书；法定代表人（主要负责人）亲自参加投标时，应提供法定代表人（主要负责人）身份证明书</w:t>
            </w:r>
          </w:p>
        </w:tc>
        <w:tc>
          <w:tcPr>
            <w:tcW w:type="dxa" w:w="1661"/>
          </w:tcPr>
          <w:p>
            <w:pPr>
              <w:pStyle w:val="null3"/>
            </w:pPr>
            <w:r>
              <w:rPr/>
              <w:t>资格证明文件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商务、技术方案 标的清单 报价表</w:t>
            </w:r>
          </w:p>
        </w:tc>
      </w:tr>
      <w:tr>
        <w:tc>
          <w:tcPr>
            <w:tcW w:type="dxa" w:w="831"/>
          </w:tcPr>
          <w:p>
            <w:pPr>
              <w:pStyle w:val="null3"/>
            </w:pPr>
            <w:r>
              <w:rPr/>
              <w:t>2</w:t>
            </w:r>
          </w:p>
        </w:tc>
        <w:tc>
          <w:tcPr>
            <w:tcW w:type="dxa" w:w="2492"/>
          </w:tcPr>
          <w:p>
            <w:pPr>
              <w:pStyle w:val="null3"/>
            </w:pPr>
            <w:r>
              <w:rPr/>
              <w:t>响应文件的签署、</w:t>
            </w:r>
          </w:p>
        </w:tc>
        <w:tc>
          <w:tcPr>
            <w:tcW w:type="dxa" w:w="3322"/>
          </w:tcPr>
          <w:p>
            <w:pPr>
              <w:pStyle w:val="null3"/>
            </w:pPr>
            <w:r>
              <w:rPr/>
              <w:t>符合磋商文件有关签署、盖章要求（不得因个别遗漏或瑕疵等签署或盖章问题限制和影响供应商响应）</w:t>
            </w:r>
          </w:p>
        </w:tc>
        <w:tc>
          <w:tcPr>
            <w:tcW w:type="dxa" w:w="1661"/>
          </w:tcPr>
          <w:p>
            <w:pPr>
              <w:pStyle w:val="null3"/>
            </w:pPr>
            <w:r>
              <w:rPr/>
              <w:t>响应文件封面 资格证明文件 中小企业声明函 残疾人福利性单位声明函 商务、技术方案 标的清单 报价表 响应函 监狱企业的证明文件</w:t>
            </w:r>
          </w:p>
        </w:tc>
      </w:tr>
      <w:tr>
        <w:tc>
          <w:tcPr>
            <w:tcW w:type="dxa" w:w="831"/>
          </w:tcPr>
          <w:p>
            <w:pPr>
              <w:pStyle w:val="null3"/>
            </w:pPr>
            <w:r>
              <w:rPr/>
              <w:t>3</w:t>
            </w:r>
          </w:p>
        </w:tc>
        <w:tc>
          <w:tcPr>
            <w:tcW w:type="dxa" w:w="2492"/>
          </w:tcPr>
          <w:p>
            <w:pPr>
              <w:pStyle w:val="null3"/>
            </w:pPr>
            <w:r>
              <w:rPr/>
              <w:t>响应文件格式、语言、计量单位、报价货币</w:t>
            </w:r>
          </w:p>
        </w:tc>
        <w:tc>
          <w:tcPr>
            <w:tcW w:type="dxa" w:w="3322"/>
          </w:tcPr>
          <w:p>
            <w:pPr>
              <w:pStyle w:val="null3"/>
            </w:pPr>
            <w:r>
              <w:rPr/>
              <w:t>符合“响应文件格式”要求（不得因文件排序等非实质性的格式、形式问题限制和影响供应商响应)</w:t>
            </w:r>
          </w:p>
        </w:tc>
        <w:tc>
          <w:tcPr>
            <w:tcW w:type="dxa" w:w="1661"/>
          </w:tcPr>
          <w:p>
            <w:pPr>
              <w:pStyle w:val="null3"/>
            </w:pPr>
            <w:r>
              <w:rPr/>
              <w:t>商务、技术方案 标的清单 报价表 响应函</w:t>
            </w:r>
          </w:p>
        </w:tc>
      </w:tr>
      <w:tr>
        <w:tc>
          <w:tcPr>
            <w:tcW w:type="dxa" w:w="831"/>
          </w:tcPr>
          <w:p>
            <w:pPr>
              <w:pStyle w:val="null3"/>
            </w:pPr>
            <w:r>
              <w:rPr/>
              <w:t>4</w:t>
            </w:r>
          </w:p>
        </w:tc>
        <w:tc>
          <w:tcPr>
            <w:tcW w:type="dxa" w:w="2492"/>
          </w:tcPr>
          <w:p>
            <w:pPr>
              <w:pStyle w:val="null3"/>
            </w:pPr>
            <w:r>
              <w:rPr/>
              <w:t>报价唯一</w:t>
            </w:r>
          </w:p>
        </w:tc>
        <w:tc>
          <w:tcPr>
            <w:tcW w:type="dxa" w:w="3322"/>
          </w:tcPr>
          <w:p>
            <w:pPr>
              <w:pStyle w:val="null3"/>
            </w:pPr>
            <w:r>
              <w:rPr/>
              <w:t>只能有一个有效报价，不得提交选择性报价，且报价不超过第二章“供应商须知”前附表规定的采购预算金额或最高限价</w:t>
            </w:r>
          </w:p>
        </w:tc>
        <w:tc>
          <w:tcPr>
            <w:tcW w:type="dxa" w:w="1661"/>
          </w:tcPr>
          <w:p>
            <w:pPr>
              <w:pStyle w:val="null3"/>
            </w:pPr>
            <w:r>
              <w:rPr/>
              <w:t>商务、技术方案 标的清单 报价表</w:t>
            </w:r>
          </w:p>
        </w:tc>
      </w:tr>
      <w:tr>
        <w:tc>
          <w:tcPr>
            <w:tcW w:type="dxa" w:w="831"/>
          </w:tcPr>
          <w:p>
            <w:pPr>
              <w:pStyle w:val="null3"/>
            </w:pPr>
            <w:r>
              <w:rPr/>
              <w:t>5</w:t>
            </w:r>
          </w:p>
        </w:tc>
        <w:tc>
          <w:tcPr>
            <w:tcW w:type="dxa" w:w="2492"/>
          </w:tcPr>
          <w:p>
            <w:pPr>
              <w:pStyle w:val="null3"/>
            </w:pPr>
            <w:r>
              <w:rPr/>
              <w:t>响应文件内容</w:t>
            </w:r>
          </w:p>
        </w:tc>
        <w:tc>
          <w:tcPr>
            <w:tcW w:type="dxa" w:w="3322"/>
          </w:tcPr>
          <w:p>
            <w:pPr>
              <w:pStyle w:val="null3"/>
            </w:pPr>
            <w:r>
              <w:rPr/>
              <w:t>响应文件内容齐全、无遗漏</w:t>
            </w:r>
          </w:p>
        </w:tc>
        <w:tc>
          <w:tcPr>
            <w:tcW w:type="dxa" w:w="1661"/>
          </w:tcPr>
          <w:p>
            <w:pPr>
              <w:pStyle w:val="null3"/>
            </w:pPr>
            <w:r>
              <w:rPr/>
              <w:t>响应文件封面 资格证明文件 中小企业声明函 残疾人福利性单位声明函 商务、技术方案 标的清单 报价表 响应函 监狱企业的证明文件</w:t>
            </w:r>
          </w:p>
        </w:tc>
      </w:tr>
      <w:tr>
        <w:tc>
          <w:tcPr>
            <w:tcW w:type="dxa" w:w="831"/>
          </w:tcPr>
          <w:p>
            <w:pPr>
              <w:pStyle w:val="null3"/>
            </w:pPr>
            <w:r>
              <w:rPr/>
              <w:t>6</w:t>
            </w:r>
          </w:p>
        </w:tc>
        <w:tc>
          <w:tcPr>
            <w:tcW w:type="dxa" w:w="2492"/>
          </w:tcPr>
          <w:p>
            <w:pPr>
              <w:pStyle w:val="null3"/>
            </w:pPr>
            <w:r>
              <w:rPr/>
              <w:t>对磋商文件响应程度</w:t>
            </w:r>
          </w:p>
        </w:tc>
        <w:tc>
          <w:tcPr>
            <w:tcW w:type="dxa" w:w="3322"/>
          </w:tcPr>
          <w:p>
            <w:pPr>
              <w:pStyle w:val="null3"/>
            </w:pPr>
            <w:r>
              <w:rPr/>
              <w:t>全面响应磋商文件中的实质性要求，且未含有采购人不能接受的附加条件</w:t>
            </w:r>
          </w:p>
        </w:tc>
        <w:tc>
          <w:tcPr>
            <w:tcW w:type="dxa" w:w="1661"/>
          </w:tcPr>
          <w:p>
            <w:pPr>
              <w:pStyle w:val="null3"/>
            </w:pPr>
            <w:r>
              <w:rPr/>
              <w:t>商务、技术方案 响应函</w:t>
            </w:r>
          </w:p>
        </w:tc>
      </w:tr>
      <w:tr>
        <w:tc>
          <w:tcPr>
            <w:tcW w:type="dxa" w:w="831"/>
          </w:tcPr>
          <w:p>
            <w:pPr>
              <w:pStyle w:val="null3"/>
            </w:pPr>
            <w:r>
              <w:rPr/>
              <w:t>7</w:t>
            </w:r>
          </w:p>
        </w:tc>
        <w:tc>
          <w:tcPr>
            <w:tcW w:type="dxa" w:w="2492"/>
          </w:tcPr>
          <w:p>
            <w:pPr>
              <w:pStyle w:val="null3"/>
            </w:pPr>
            <w:r>
              <w:rPr/>
              <w:t>服务期限</w:t>
            </w:r>
          </w:p>
        </w:tc>
        <w:tc>
          <w:tcPr>
            <w:tcW w:type="dxa" w:w="3322"/>
          </w:tcPr>
          <w:p>
            <w:pPr>
              <w:pStyle w:val="null3"/>
            </w:pPr>
            <w:r>
              <w:rPr/>
              <w:t>符合磋商文件中规定的服务期限</w:t>
            </w:r>
          </w:p>
        </w:tc>
        <w:tc>
          <w:tcPr>
            <w:tcW w:type="dxa" w:w="1661"/>
          </w:tcPr>
          <w:p>
            <w:pPr>
              <w:pStyle w:val="null3"/>
            </w:pPr>
            <w:r>
              <w:rPr/>
              <w:t>商务、技术方案 标的清单 报价表</w:t>
            </w:r>
          </w:p>
        </w:tc>
      </w:tr>
      <w:tr>
        <w:tc>
          <w:tcPr>
            <w:tcW w:type="dxa" w:w="831"/>
          </w:tcPr>
          <w:p>
            <w:pPr>
              <w:pStyle w:val="null3"/>
            </w:pPr>
            <w:r>
              <w:rPr/>
              <w:t>8</w:t>
            </w:r>
          </w:p>
        </w:tc>
        <w:tc>
          <w:tcPr>
            <w:tcW w:type="dxa" w:w="2492"/>
          </w:tcPr>
          <w:p>
            <w:pPr>
              <w:pStyle w:val="null3"/>
            </w:pPr>
            <w:r>
              <w:rPr/>
              <w:t>磋商有效期</w:t>
            </w:r>
          </w:p>
        </w:tc>
        <w:tc>
          <w:tcPr>
            <w:tcW w:type="dxa" w:w="3322"/>
          </w:tcPr>
          <w:p>
            <w:pPr>
              <w:pStyle w:val="null3"/>
            </w:pPr>
            <w:r>
              <w:rPr/>
              <w:t>符合磋商文件中规定有效期限</w:t>
            </w:r>
          </w:p>
        </w:tc>
        <w:tc>
          <w:tcPr>
            <w:tcW w:type="dxa" w:w="1661"/>
          </w:tcPr>
          <w:p>
            <w:pPr>
              <w:pStyle w:val="null3"/>
            </w:pPr>
            <w:r>
              <w:rPr/>
              <w:t>响应函</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3家；评审得分相同的，按照最后报价由低到高的顺序推荐。评审得分且最后报价相同的，按照技术指标优劣顺序推荐。评审得分且最后报价且技术指标得分均相同的，成交候选供应商并列，由采购人决定成交候选供应商排序。</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整体服务方案</w:t>
            </w:r>
          </w:p>
        </w:tc>
        <w:tc>
          <w:tcPr>
            <w:tcW w:type="dxa" w:w="2492"/>
          </w:tcPr>
          <w:p>
            <w:pPr>
              <w:pStyle w:val="null3"/>
            </w:pPr>
            <w:r>
              <w:rPr/>
              <w:t>有整体服务方案，包括但不限于服务目标、服务内容、服务方案以及本项目重点、难点把控等。 整体服务方案全面具体、针对性强、服务思路清晰、服务标准高、质量标准明确、可操作及可行性强、能完全满足本项目采购所需的得10分； 整体服务方案较为全面、针对性较好、服务思路清晰、服务标准合格、质量标准明确、可操作及可行性良好、能满足基本采购所需的得8分；整体服务方案不全面、针对性一般、服务思路较清晰、服务标准一般、质量标准一般、缺少关键点、可操作及可行性一般、较能满足基本采购所需的得6分； 整体服务方案简单、无针对性，服务标准较低，可操作及可行性较差，不能满足采购所需的得3分；未提供整体服务方案或整体服务方案完全脱离项目实际的不得分。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商务、技术方案</w:t>
            </w:r>
          </w:p>
        </w:tc>
      </w:tr>
      <w:tr>
        <w:tc>
          <w:tcPr>
            <w:tcW w:type="dxa" w:w="831"/>
            <w:vMerge/>
          </w:tcPr>
          <w:p/>
        </w:tc>
        <w:tc>
          <w:tcPr>
            <w:tcW w:type="dxa" w:w="1661"/>
          </w:tcPr>
          <w:p>
            <w:pPr>
              <w:pStyle w:val="null3"/>
            </w:pPr>
            <w:r>
              <w:rPr/>
              <w:t>宣传视频专项服务方案</w:t>
            </w:r>
          </w:p>
        </w:tc>
        <w:tc>
          <w:tcPr>
            <w:tcW w:type="dxa" w:w="2492"/>
          </w:tcPr>
          <w:p>
            <w:pPr>
              <w:pStyle w:val="null3"/>
            </w:pPr>
            <w:r>
              <w:rPr/>
              <w:t>针对本项目采购需求中包含的视频制作专项服务方案。方案内容详细、科学合理、有创新性、有重点、有亮点得10分；方案较为详细合理,内容基本完整,创新性较强、重点较突出、亮点不足得8分；方案基本合理,内容勉强完整,创新性不强、重点不突出、亮点少得6分；方案不合理,未突出主题，可行性差得3分；无专项服务方案或专项服务方案完全脱离项目实际的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商务、技术方案</w:t>
            </w:r>
          </w:p>
        </w:tc>
      </w:tr>
      <w:tr>
        <w:tc>
          <w:tcPr>
            <w:tcW w:type="dxa" w:w="831"/>
            <w:vMerge/>
          </w:tcPr>
          <w:p/>
        </w:tc>
        <w:tc>
          <w:tcPr>
            <w:tcW w:type="dxa" w:w="1661"/>
          </w:tcPr>
          <w:p>
            <w:pPr>
              <w:pStyle w:val="null3"/>
            </w:pPr>
            <w:r>
              <w:rPr/>
              <w:t>媒体投放专项服务方案</w:t>
            </w:r>
          </w:p>
        </w:tc>
        <w:tc>
          <w:tcPr>
            <w:tcW w:type="dxa" w:w="2492"/>
          </w:tcPr>
          <w:p>
            <w:pPr>
              <w:pStyle w:val="null3"/>
            </w:pPr>
            <w:r>
              <w:rPr/>
              <w:t>针对本项目采购需求中包含的媒体平台投放专项服务方案。 通过抖音及西安市属媒体平台进行投放，方案内容详细、科学合理、可行性强得10分；方案较为清晰合理,内容基本完整,基本可行得8分；方案基本合理,内容勉强完整,勉强可行得6分；单案不清晰不合理,内容不完整,可行性差得3分；无专项服务方案或专项服务方案完全脱离项目实际的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商务、技术方案</w:t>
            </w:r>
          </w:p>
        </w:tc>
      </w:tr>
      <w:tr>
        <w:tc>
          <w:tcPr>
            <w:tcW w:type="dxa" w:w="831"/>
            <w:vMerge/>
          </w:tcPr>
          <w:p/>
        </w:tc>
        <w:tc>
          <w:tcPr>
            <w:tcW w:type="dxa" w:w="1661"/>
          </w:tcPr>
          <w:p>
            <w:pPr>
              <w:pStyle w:val="null3"/>
            </w:pPr>
            <w:r>
              <w:rPr/>
              <w:t>实施方案</w:t>
            </w:r>
          </w:p>
        </w:tc>
        <w:tc>
          <w:tcPr>
            <w:tcW w:type="dxa" w:w="2492"/>
          </w:tcPr>
          <w:p>
            <w:pPr>
              <w:pStyle w:val="null3"/>
            </w:pPr>
            <w:r>
              <w:rPr/>
              <w:t>结合项目实际情况，制定切实可行的实施方案、实施步骤、实施方法及工作安排等；实施方案科学合理、针对性强、步骤清晰，可操作性及可行性强的得10分；实施方案较为合理、针对性较好、步骤清晰，可操作及可行性良好、能满足基本采购所需的得8分； 实施方案不全面、针对性一般、步骤较清晰、缺少关键点、可操作及可行性一般、较能满足基本采购所需的得6分；实施方案简单、无针对性，步骤不清晰，可操作及可行性较差，不能满足采购所需的得3分；未提供实施方案或实施方案完全脱离实际的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商务、技术方案</w:t>
            </w:r>
          </w:p>
        </w:tc>
      </w:tr>
      <w:tr>
        <w:tc>
          <w:tcPr>
            <w:tcW w:type="dxa" w:w="831"/>
            <w:vMerge/>
          </w:tcPr>
          <w:p/>
        </w:tc>
        <w:tc>
          <w:tcPr>
            <w:tcW w:type="dxa" w:w="1661"/>
          </w:tcPr>
          <w:p>
            <w:pPr>
              <w:pStyle w:val="null3"/>
            </w:pPr>
            <w:r>
              <w:rPr/>
              <w:t>人员配备方案</w:t>
            </w:r>
          </w:p>
        </w:tc>
        <w:tc>
          <w:tcPr>
            <w:tcW w:type="dxa" w:w="2492"/>
          </w:tcPr>
          <w:p>
            <w:pPr>
              <w:pStyle w:val="null3"/>
            </w:pPr>
            <w:r>
              <w:rPr/>
              <w:t>针对拟投入本项目的服务人员配置合理、职责明确、分工清晰合理、相关人员经过严格培训、有相应的工作经验、有详细的描述和相关（包括但不限于执业证、劳动合同、从业证明、资格证书等）证明材料；人员配备合理、人员数量充足、职责明确、分工清晰、工作经历丰富、能够完全满足采购所需的得10分；人员配备较为合理、人员数量充足、职责较为明确、分工较为清晰、缺少部分工作经历、但能满足基本采购所需的得8分；人员配备较为合理、人员数量一般、职责、分工一般、缺少部分工作经历、勉强能满足基本采购所需的得6分；人员配备不合理且有欠缺、人员数量无保证、职责、分工不明确、工作经历较少、不能够满足采购所需的得3分；未提供人员配备方案或完全脱离项目实际的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商务、技术方案</w:t>
            </w:r>
          </w:p>
        </w:tc>
      </w:tr>
      <w:tr>
        <w:tc>
          <w:tcPr>
            <w:tcW w:type="dxa" w:w="831"/>
            <w:vMerge/>
          </w:tcPr>
          <w:p/>
        </w:tc>
        <w:tc>
          <w:tcPr>
            <w:tcW w:type="dxa" w:w="1661"/>
          </w:tcPr>
          <w:p>
            <w:pPr>
              <w:pStyle w:val="null3"/>
            </w:pPr>
            <w:r>
              <w:rPr/>
              <w:t>设备设施配置方案</w:t>
            </w:r>
          </w:p>
        </w:tc>
        <w:tc>
          <w:tcPr>
            <w:tcW w:type="dxa" w:w="2492"/>
          </w:tcPr>
          <w:p>
            <w:pPr>
              <w:pStyle w:val="null3"/>
            </w:pPr>
            <w:r>
              <w:rPr/>
              <w:t>针对拟投入本项目的设施设备提供相关（包括但不限于设备的清单、来源、配套使用情况标准、安全、管理等）证明材料。设备配置合理、数量充足、功能齐全、安全可靠、设备管理方案科学合理，完全有利于项目顺利实施的得10分；设备配置较为合理、数量较为充足、功能较为齐全、有安全保障、设备管理方案较为科学，有利于项目顺利实施的得8分； 设备配置基本合理、缺少部分设备、数量一般、有一定的安全保障，设备管理方案基本科学，勉强能保证项目顺利实施的得6分；设备配置不合理、配套功能不齐全、设备数量不足、缺少关键设施设备，设备管理方案不科学，不能保证基本所需的得3分； 未提供设备方案或设备方案与本项目实施无关的不得分。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商务、技术方案</w:t>
            </w:r>
          </w:p>
        </w:tc>
      </w:tr>
      <w:tr>
        <w:tc>
          <w:tcPr>
            <w:tcW w:type="dxa" w:w="831"/>
            <w:vMerge/>
          </w:tcPr>
          <w:p/>
        </w:tc>
        <w:tc>
          <w:tcPr>
            <w:tcW w:type="dxa" w:w="1661"/>
          </w:tcPr>
          <w:p>
            <w:pPr>
              <w:pStyle w:val="null3"/>
            </w:pPr>
            <w:r>
              <w:rPr/>
              <w:t>管理措施及制度</w:t>
            </w:r>
          </w:p>
        </w:tc>
        <w:tc>
          <w:tcPr>
            <w:tcW w:type="dxa" w:w="2492"/>
          </w:tcPr>
          <w:p>
            <w:pPr>
              <w:pStyle w:val="null3"/>
            </w:pPr>
            <w:r>
              <w:rPr/>
              <w:t>针对本项目拟定的各岗位管理制度、自查制度、内控制度、工作质量标准、奖惩考核机制等有明确方案措施。 管理措施及制度完整全面、科学合理、针对性强、可操作及可行性高，完全满足采购要求的得10分；管理措施及制度较为全面、科学合理性较好、针对性较好，可操作及可行性良好，能满足采购基本所需的得8分；管理措施及制度不全面、科学合理性一般、针对性一般、可操作及可行性一般、缺少部分关键点，不能完全满足基本采购所需的得6分；管理措施及制度简单、无科学合理性、无针对性、可操作及可行性较差，不能满足采购所需的得3分。未提供管理措施及制度或管理措施及制度完全脱离采购实际的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商务、技术方案</w:t>
            </w:r>
          </w:p>
        </w:tc>
      </w:tr>
      <w:tr>
        <w:tc>
          <w:tcPr>
            <w:tcW w:type="dxa" w:w="831"/>
            <w:vMerge/>
          </w:tcPr>
          <w:p/>
        </w:tc>
        <w:tc>
          <w:tcPr>
            <w:tcW w:type="dxa" w:w="1661"/>
          </w:tcPr>
          <w:p>
            <w:pPr>
              <w:pStyle w:val="null3"/>
            </w:pPr>
            <w:r>
              <w:rPr/>
              <w:t>服务质量保障措施</w:t>
            </w:r>
          </w:p>
        </w:tc>
        <w:tc>
          <w:tcPr>
            <w:tcW w:type="dxa" w:w="2492"/>
          </w:tcPr>
          <w:p>
            <w:pPr>
              <w:pStyle w:val="null3"/>
            </w:pPr>
            <w:r>
              <w:rPr/>
              <w:t>针对本项目服务有服务质量保障措施或相关承诺，包括但不限于项目服务时间、服务质量、服务人员到位情况等有实质性方案措施或相关承诺；服务质量保障措施或相关承诺完整详细、科学合理，能保质保量按时完成、人员及时到位，响应及时有保障的得10分；服务质量保障措施或相关承诺较为完整详细、较为科学合理，完成时间和完成质量较为勉强、人员到位较为及时，较为勉强的得8分；服务质量保障措施或相关承诺基本完整，完成时间和完成质量勉强满足、人员到位基本及时的得6分； 服务质量保障措施或相关承诺存在缺陷，完成时间和完成质量无法保证，人员无法及时到位，服务无保障的得3分； 未提供服务质量保障措施或完全脱离项目实际的不得分。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商务、技术方案</w:t>
            </w:r>
          </w:p>
        </w:tc>
      </w:tr>
      <w:tr>
        <w:tc>
          <w:tcPr>
            <w:tcW w:type="dxa" w:w="831"/>
            <w:vMerge/>
          </w:tcPr>
          <w:p/>
        </w:tc>
        <w:tc>
          <w:tcPr>
            <w:tcW w:type="dxa" w:w="1661"/>
          </w:tcPr>
          <w:p>
            <w:pPr>
              <w:pStyle w:val="null3"/>
            </w:pPr>
            <w:r>
              <w:rPr/>
              <w:t>业绩</w:t>
            </w:r>
          </w:p>
        </w:tc>
        <w:tc>
          <w:tcPr>
            <w:tcW w:type="dxa" w:w="2492"/>
          </w:tcPr>
          <w:p>
            <w:pPr>
              <w:pStyle w:val="null3"/>
            </w:pPr>
            <w:r>
              <w:rPr/>
              <w:t>具有2021年1月1日起至今的宣传视频制作类相关业绩，每提供1个业绩合同得2.5分，最多得5分； 具有2021年1月1日起至今的媒体投放类相关业绩，每提供1个业绩合同得2.5分，最多得5分； 业绩以合同扫描件（复印件）为依据，业绩内容同时包含宣传视频制作和媒体投放的，可重复提供并计分。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商务、技术方案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供应商的价格分，按照财政部财库〔2014〕214号文件第二十四条和 财库〔2020〕46号文件的规定，采用低价优先法计算，以本次满足磋商文件要求的最低最后磋商报价为磋商基准价，其磋商报价为满分。供应商的磋商报价得分，统一按照下列公式计算：磋商报价得分=(磋商基准价／最后磋商报价)×10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详见附件：资格证明文件</w:t>
      </w:r>
    </w:p>
    <w:p>
      <w:pPr>
        <w:pStyle w:val="null3"/>
        <w:ind w:firstLine="960"/>
      </w:pPr>
      <w:r>
        <w:rPr/>
        <w:t>详见附件：商务、技术方案</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详见附件：拟签订采购合同文本-手机软件植入式推送宣传.docx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