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ind w:firstLine="562" w:firstLineChars="200"/>
        <w:jc w:val="center"/>
        <w:outlineLvl w:val="0"/>
        <w:rPr>
          <w:rFonts w:hint="default" w:ascii="宋体" w:hAnsi="宋体" w:eastAsia="宋体" w:cs="宋体"/>
          <w:b/>
          <w:sz w:val="28"/>
          <w:szCs w:val="28"/>
          <w:lang w:val="en-US" w:eastAsia="zh-CN"/>
        </w:rPr>
      </w:pPr>
      <w:r>
        <w:rPr>
          <w:rFonts w:hint="eastAsia" w:ascii="宋体" w:hAnsi="宋体" w:cs="宋体"/>
          <w:b/>
          <w:sz w:val="28"/>
          <w:szCs w:val="28"/>
          <w:lang w:val="en-US" w:eastAsia="zh-CN"/>
        </w:rPr>
        <w:t>采购需求</w:t>
      </w:r>
    </w:p>
    <w:p>
      <w:pPr>
        <w:pStyle w:val="2"/>
        <w:spacing w:line="360" w:lineRule="auto"/>
        <w:ind w:firstLine="482" w:firstLineChars="200"/>
        <w:outlineLvl w:val="0"/>
        <w:rPr>
          <w:rFonts w:hint="eastAsia" w:ascii="宋体" w:hAnsi="宋体" w:cs="宋体"/>
          <w:bCs/>
          <w:sz w:val="24"/>
          <w:szCs w:val="24"/>
          <w:lang w:val="en-US" w:eastAsia="zh-CN"/>
        </w:rPr>
      </w:pPr>
      <w:r>
        <w:rPr>
          <w:rFonts w:hint="eastAsia" w:ascii="宋体" w:hAnsi="宋体" w:cs="宋体"/>
          <w:b/>
          <w:sz w:val="24"/>
          <w:szCs w:val="24"/>
        </w:rPr>
        <w:t>一、采购内容</w:t>
      </w:r>
      <w:r>
        <w:rPr>
          <w:rFonts w:hint="eastAsia" w:ascii="宋体" w:hAnsi="宋体" w:cs="宋体"/>
          <w:b/>
          <w:sz w:val="24"/>
          <w:szCs w:val="24"/>
          <w:lang w:val="en-US" w:eastAsia="zh-CN"/>
        </w:rPr>
        <w:t>:</w:t>
      </w:r>
      <w:r>
        <w:rPr>
          <w:rFonts w:hint="eastAsia" w:ascii="宋体" w:hAnsi="宋体" w:cs="宋体"/>
          <w:bCs/>
          <w:sz w:val="24"/>
          <w:szCs w:val="24"/>
          <w:lang w:val="en-US" w:eastAsia="zh-CN"/>
        </w:rPr>
        <w:t>2024年年底前完成东、西快速干道应急抢险场地的维护整理。达到防汛及除冰雪应急抢险的车辆和物资存放要求，满足值班人员值守用途。</w:t>
      </w:r>
    </w:p>
    <w:p>
      <w:pPr>
        <w:pStyle w:val="2"/>
        <w:spacing w:line="360" w:lineRule="auto"/>
        <w:ind w:firstLine="480" w:firstLineChars="200"/>
        <w:outlineLvl w:val="0"/>
        <w:rPr>
          <w:rFonts w:hint="eastAsia" w:ascii="宋体" w:hAnsi="宋体" w:cs="宋体"/>
          <w:bCs/>
          <w:sz w:val="24"/>
          <w:szCs w:val="24"/>
        </w:rPr>
      </w:pPr>
      <w:r>
        <w:rPr>
          <w:rFonts w:hint="eastAsia" w:ascii="宋体" w:hAnsi="宋体" w:cs="宋体"/>
          <w:bCs/>
          <w:sz w:val="24"/>
          <w:szCs w:val="24"/>
          <w:lang w:val="en-US" w:eastAsia="zh-CN"/>
        </w:rPr>
        <w:t>满足的要求：满足西安市城市快速干道管理中心对于东、西快速干道应急抢险场地维护整理后的使用要求。</w:t>
      </w:r>
    </w:p>
    <w:p>
      <w:pPr>
        <w:pStyle w:val="2"/>
        <w:spacing w:line="360" w:lineRule="auto"/>
        <w:ind w:firstLine="482" w:firstLineChars="200"/>
        <w:outlineLvl w:val="0"/>
        <w:rPr>
          <w:rFonts w:hint="eastAsia" w:ascii="宋体" w:hAnsi="宋体" w:cs="宋体"/>
          <w:bCs/>
          <w:sz w:val="24"/>
          <w:szCs w:val="24"/>
          <w:lang w:val="en-US" w:eastAsia="zh-CN"/>
        </w:rPr>
      </w:pPr>
      <w:r>
        <w:rPr>
          <w:rFonts w:hint="eastAsia" w:ascii="宋体" w:hAnsi="宋体" w:cs="宋体"/>
          <w:b/>
          <w:sz w:val="24"/>
          <w:szCs w:val="24"/>
        </w:rPr>
        <w:t>二、采购范围:</w:t>
      </w:r>
      <w:r>
        <w:rPr>
          <w:rFonts w:hint="eastAsia" w:ascii="宋体" w:hAnsi="宋体" w:cs="宋体"/>
          <w:bCs/>
          <w:sz w:val="24"/>
          <w:szCs w:val="24"/>
          <w:lang w:val="en-US" w:eastAsia="zh-CN"/>
        </w:rPr>
        <w:t>东、西快速干道应急抢险场地维护整理。主要包括大门换修，加装桥墩护栏，绿化维护，值班和物资活动房屋以及场地整理。详见工程量清单以及采购人规定的全部工作内容等。</w:t>
      </w:r>
    </w:p>
    <w:p>
      <w:pPr>
        <w:pStyle w:val="2"/>
        <w:spacing w:line="360" w:lineRule="auto"/>
        <w:ind w:firstLine="482" w:firstLineChars="200"/>
        <w:outlineLvl w:val="0"/>
        <w:rPr>
          <w:rFonts w:hint="eastAsia" w:ascii="宋体" w:hAnsi="宋体" w:cs="宋体"/>
          <w:bCs/>
          <w:sz w:val="24"/>
          <w:szCs w:val="24"/>
        </w:rPr>
      </w:pPr>
      <w:r>
        <w:rPr>
          <w:rFonts w:hint="eastAsia" w:ascii="宋体" w:hAnsi="宋体" w:cs="宋体"/>
          <w:b/>
          <w:sz w:val="24"/>
          <w:szCs w:val="24"/>
        </w:rPr>
        <w:t>三、技术服务求</w:t>
      </w:r>
      <w:r>
        <w:rPr>
          <w:rFonts w:hint="eastAsia" w:ascii="宋体" w:hAnsi="宋体" w:cs="宋体"/>
          <w:bCs/>
          <w:sz w:val="24"/>
          <w:szCs w:val="24"/>
        </w:rPr>
        <w:t>：供应按照采购文件中相应技术规范和服务要求组织专业队伍实施，采购人负责养护期内对供应商的考核。具体考核要求以采购人最终要求的为准。日常养护各项工作严格执行采购人关于设施日常养护的相关制度汇编等。</w:t>
      </w:r>
    </w:p>
    <w:p>
      <w:pPr>
        <w:pStyle w:val="2"/>
        <w:spacing w:line="360" w:lineRule="auto"/>
        <w:ind w:firstLine="480" w:firstLineChars="200"/>
        <w:outlineLvl w:val="0"/>
        <w:rPr>
          <w:rFonts w:hint="eastAsia" w:ascii="宋体" w:hAnsi="宋体" w:eastAsia="宋体" w:cs="宋体"/>
          <w:bCs/>
          <w:sz w:val="24"/>
          <w:szCs w:val="24"/>
          <w:highlight w:val="none"/>
        </w:rPr>
      </w:pPr>
      <w:r>
        <w:rPr>
          <w:rFonts w:hint="eastAsia" w:ascii="宋体" w:hAnsi="宋体" w:cs="宋体"/>
          <w:bCs/>
          <w:sz w:val="24"/>
          <w:szCs w:val="24"/>
          <w:highlight w:val="none"/>
        </w:rPr>
        <w:t>常备机械设备包含但不限于：维修工程车(转运机具、材料及清运垃圾)；小型路面破碎机、路面直线开槽切割机</w:t>
      </w:r>
      <w:r>
        <w:rPr>
          <w:rFonts w:hint="eastAsia" w:ascii="宋体" w:hAnsi="宋体" w:cs="宋体"/>
          <w:bCs/>
          <w:sz w:val="24"/>
          <w:szCs w:val="24"/>
          <w:highlight w:val="none"/>
          <w:lang w:eastAsia="zh-CN"/>
        </w:rPr>
        <w:t>、</w:t>
      </w:r>
      <w:r>
        <w:rPr>
          <w:rFonts w:hint="eastAsia" w:ascii="宋体" w:hAnsi="宋体" w:cs="宋体"/>
          <w:bCs/>
          <w:sz w:val="24"/>
          <w:szCs w:val="24"/>
          <w:highlight w:val="none"/>
        </w:rPr>
        <w:t>小型铣刨机、小型压路机(可压实沟槽、人行道基础)等其他专业设备</w:t>
      </w:r>
      <w:r>
        <w:rPr>
          <w:rFonts w:hint="eastAsia" w:ascii="宋体" w:hAnsi="宋体" w:cs="宋体"/>
          <w:bCs/>
          <w:sz w:val="24"/>
          <w:szCs w:val="24"/>
          <w:highlight w:val="none"/>
          <w:lang w:eastAsia="zh-CN"/>
        </w:rPr>
        <w:t>、</w:t>
      </w:r>
      <w:r>
        <w:rPr>
          <w:rFonts w:hint="eastAsia" w:ascii="宋体" w:hAnsi="宋体" w:eastAsia="宋体" w:cs="宋体"/>
          <w:bCs/>
          <w:sz w:val="24"/>
          <w:szCs w:val="24"/>
          <w:highlight w:val="none"/>
          <w:lang w:val="en-US" w:eastAsia="zh-CN"/>
        </w:rPr>
        <w:t>绿化养护等其他专业设备</w:t>
      </w:r>
      <w:r>
        <w:rPr>
          <w:rFonts w:hint="eastAsia" w:ascii="宋体" w:hAnsi="宋体" w:eastAsia="宋体" w:cs="宋体"/>
          <w:bCs/>
          <w:sz w:val="24"/>
          <w:szCs w:val="24"/>
          <w:highlight w:val="none"/>
        </w:rPr>
        <w:t>。</w:t>
      </w:r>
    </w:p>
    <w:p>
      <w:pPr>
        <w:pStyle w:val="2"/>
        <w:spacing w:line="360" w:lineRule="auto"/>
        <w:ind w:firstLine="482" w:firstLineChars="200"/>
        <w:outlineLvl w:val="0"/>
        <w:rPr>
          <w:rFonts w:hint="eastAsia" w:ascii="宋体" w:hAnsi="宋体" w:cs="宋体"/>
          <w:bCs/>
          <w:sz w:val="24"/>
          <w:szCs w:val="24"/>
          <w:highlight w:val="none"/>
        </w:rPr>
      </w:pPr>
      <w:r>
        <w:rPr>
          <w:rFonts w:hint="eastAsia" w:ascii="宋体" w:hAnsi="宋体" w:cs="宋体"/>
          <w:b/>
          <w:sz w:val="24"/>
          <w:szCs w:val="24"/>
          <w:highlight w:val="none"/>
        </w:rPr>
        <w:t>四、服务人员配置要求:</w:t>
      </w:r>
      <w:r>
        <w:rPr>
          <w:rFonts w:hint="eastAsia" w:ascii="宋体" w:hAnsi="宋体" w:cs="宋体"/>
          <w:bCs/>
          <w:sz w:val="24"/>
          <w:szCs w:val="24"/>
          <w:highlight w:val="none"/>
        </w:rPr>
        <w:t>拟派服务主要管理人员配置：除项目经理外，应配备技术负责人、技术管理人员、安全专职人员各1名。</w:t>
      </w:r>
    </w:p>
    <w:p>
      <w:pPr>
        <w:pStyle w:val="2"/>
        <w:spacing w:line="360" w:lineRule="auto"/>
        <w:ind w:firstLine="480" w:firstLineChars="200"/>
        <w:outlineLvl w:val="0"/>
        <w:rPr>
          <w:rFonts w:hint="eastAsia" w:ascii="宋体" w:hAnsi="宋体" w:cs="宋体"/>
          <w:bCs/>
          <w:sz w:val="24"/>
          <w:szCs w:val="24"/>
          <w:highlight w:val="none"/>
        </w:rPr>
      </w:pPr>
      <w:r>
        <w:rPr>
          <w:rFonts w:hint="eastAsia" w:ascii="宋体" w:hAnsi="宋体" w:cs="宋体"/>
          <w:bCs/>
          <w:sz w:val="24"/>
          <w:szCs w:val="24"/>
          <w:highlight w:val="none"/>
        </w:rPr>
        <w:t>拟派服务班组人员配置：应配置一个应急场地基础设施维护班组及场地绿化养护班组，以上各班组不得少于</w:t>
      </w:r>
      <w:r>
        <w:rPr>
          <w:rFonts w:hint="eastAsia" w:ascii="宋体" w:hAnsi="宋体" w:cs="宋体"/>
          <w:bCs/>
          <w:sz w:val="24"/>
          <w:szCs w:val="24"/>
          <w:highlight w:val="none"/>
          <w:lang w:val="en-US" w:eastAsia="zh-CN"/>
        </w:rPr>
        <w:t>3</w:t>
      </w:r>
      <w:r>
        <w:rPr>
          <w:rFonts w:hint="eastAsia" w:ascii="宋体" w:hAnsi="宋体" w:cs="宋体"/>
          <w:bCs/>
          <w:sz w:val="24"/>
          <w:szCs w:val="24"/>
          <w:highlight w:val="none"/>
        </w:rPr>
        <w:t>人。</w:t>
      </w:r>
    </w:p>
    <w:p>
      <w:pPr>
        <w:pStyle w:val="2"/>
        <w:spacing w:line="360" w:lineRule="auto"/>
        <w:ind w:firstLine="482" w:firstLineChars="200"/>
        <w:outlineLvl w:val="0"/>
        <w:rPr>
          <w:rFonts w:hint="eastAsia" w:ascii="宋体" w:hAnsi="宋体" w:cs="宋体"/>
          <w:b/>
          <w:sz w:val="24"/>
          <w:szCs w:val="24"/>
        </w:rPr>
      </w:pPr>
      <w:r>
        <w:rPr>
          <w:rFonts w:hint="eastAsia" w:ascii="宋体" w:hAnsi="宋体" w:cs="宋体"/>
          <w:b/>
          <w:sz w:val="24"/>
          <w:szCs w:val="24"/>
        </w:rPr>
        <w:t>五、商务要求</w:t>
      </w:r>
    </w:p>
    <w:p>
      <w:pPr>
        <w:pStyle w:val="2"/>
        <w:spacing w:line="360" w:lineRule="auto"/>
        <w:ind w:firstLine="482" w:firstLineChars="200"/>
        <w:outlineLvl w:val="0"/>
        <w:rPr>
          <w:rFonts w:hint="eastAsia" w:ascii="宋体" w:hAnsi="宋体" w:cs="宋体"/>
          <w:b/>
          <w:sz w:val="24"/>
          <w:szCs w:val="24"/>
        </w:rPr>
      </w:pPr>
      <w:r>
        <w:rPr>
          <w:rFonts w:hint="eastAsia" w:ascii="宋体" w:hAnsi="宋体" w:cs="宋体"/>
          <w:b/>
          <w:sz w:val="24"/>
          <w:szCs w:val="24"/>
        </w:rPr>
        <w:t>(一)服务期限:</w:t>
      </w:r>
      <w:r>
        <w:rPr>
          <w:rFonts w:hint="eastAsia" w:ascii="宋体" w:hAnsi="宋体" w:cs="宋体"/>
          <w:bCs/>
          <w:sz w:val="24"/>
          <w:szCs w:val="24"/>
        </w:rPr>
        <w:t>自签订合同之日起一个年度，具体以采购人确认的日期为准。</w:t>
      </w:r>
    </w:p>
    <w:p>
      <w:pPr>
        <w:pStyle w:val="2"/>
        <w:spacing w:line="360" w:lineRule="auto"/>
        <w:ind w:firstLine="482" w:firstLineChars="200"/>
        <w:outlineLvl w:val="0"/>
        <w:rPr>
          <w:rFonts w:hint="eastAsia" w:ascii="宋体" w:hAnsi="宋体" w:cs="宋体"/>
          <w:b/>
          <w:sz w:val="24"/>
          <w:szCs w:val="24"/>
        </w:rPr>
      </w:pPr>
      <w:r>
        <w:rPr>
          <w:rFonts w:hint="eastAsia" w:ascii="宋体" w:hAnsi="宋体" w:cs="宋体"/>
          <w:b/>
          <w:sz w:val="24"/>
          <w:szCs w:val="24"/>
        </w:rPr>
        <w:t>(二)款项结算</w:t>
      </w:r>
    </w:p>
    <w:p>
      <w:pPr>
        <w:pStyle w:val="2"/>
        <w:spacing w:line="360" w:lineRule="auto"/>
        <w:ind w:firstLine="480" w:firstLineChars="200"/>
        <w:outlineLvl w:val="0"/>
        <w:rPr>
          <w:rFonts w:hint="eastAsia" w:ascii="宋体" w:hAnsi="宋体" w:eastAsia="宋体" w:cs="宋体"/>
          <w:bCs/>
          <w:sz w:val="24"/>
          <w:szCs w:val="24"/>
        </w:rPr>
      </w:pPr>
      <w:r>
        <w:rPr>
          <w:rFonts w:hint="eastAsia" w:ascii="宋体" w:hAnsi="宋体" w:eastAsia="宋体" w:cs="宋体"/>
          <w:bCs/>
          <w:sz w:val="24"/>
          <w:szCs w:val="24"/>
          <w:lang w:val="en-US" w:eastAsia="zh-CN"/>
        </w:rPr>
        <w:t>（1）</w:t>
      </w:r>
      <w:r>
        <w:rPr>
          <w:rFonts w:hint="eastAsia" w:ascii="宋体" w:hAnsi="宋体" w:eastAsia="宋体" w:cs="宋体"/>
          <w:bCs/>
          <w:sz w:val="24"/>
          <w:szCs w:val="24"/>
          <w:lang w:val="en-US" w:eastAsia="zh-Hans"/>
        </w:rPr>
        <w:t>在合同签订之日后 30 日历天内甲方向乙方支付合同价款的50%费用，承</w:t>
      </w:r>
      <w:r>
        <w:rPr>
          <w:rFonts w:hint="eastAsia" w:ascii="宋体" w:hAnsi="宋体" w:eastAsia="宋体" w:cs="宋体"/>
          <w:bCs/>
          <w:sz w:val="24"/>
          <w:szCs w:val="24"/>
          <w:lang w:val="en-US" w:eastAsia="zh-CN"/>
        </w:rPr>
        <w:t>包</w:t>
      </w:r>
      <w:r>
        <w:rPr>
          <w:rFonts w:hint="eastAsia" w:ascii="宋体" w:hAnsi="宋体" w:eastAsia="宋体" w:cs="宋体"/>
          <w:bCs/>
          <w:sz w:val="24"/>
          <w:szCs w:val="24"/>
          <w:lang w:val="en-US" w:eastAsia="zh-Hans"/>
        </w:rPr>
        <w:t>人</w:t>
      </w:r>
      <w:r>
        <w:rPr>
          <w:rFonts w:hint="eastAsia" w:ascii="宋体" w:hAnsi="宋体" w:eastAsia="宋体" w:cs="宋体"/>
          <w:bCs/>
          <w:sz w:val="24"/>
          <w:szCs w:val="24"/>
          <w:lang w:val="en-US" w:eastAsia="zh-CN"/>
        </w:rPr>
        <w:t>每月</w:t>
      </w:r>
      <w:r>
        <w:rPr>
          <w:rFonts w:hint="eastAsia" w:ascii="宋体" w:hAnsi="宋体" w:eastAsia="宋体" w:cs="宋体"/>
          <w:bCs/>
          <w:sz w:val="24"/>
          <w:szCs w:val="24"/>
          <w:lang w:val="en-US" w:eastAsia="zh-Hans"/>
        </w:rPr>
        <w:t>报送的工程结算</w:t>
      </w:r>
      <w:r>
        <w:rPr>
          <w:rFonts w:hint="eastAsia" w:ascii="宋体" w:hAnsi="宋体" w:eastAsia="宋体" w:cs="宋体"/>
          <w:bCs/>
          <w:sz w:val="24"/>
          <w:szCs w:val="24"/>
          <w:lang w:val="en-US" w:eastAsia="zh-CN"/>
        </w:rPr>
        <w:t>，经</w:t>
      </w:r>
      <w:r>
        <w:rPr>
          <w:rFonts w:hint="eastAsia" w:ascii="宋体" w:hAnsi="宋体" w:eastAsia="宋体" w:cs="宋体"/>
          <w:bCs/>
          <w:sz w:val="24"/>
          <w:szCs w:val="24"/>
          <w:lang w:val="en-US" w:eastAsia="zh-Hans"/>
        </w:rPr>
        <w:t>发包人对所报工程实际完成的工作量核定</w:t>
      </w:r>
      <w:r>
        <w:rPr>
          <w:rFonts w:hint="eastAsia" w:ascii="宋体" w:hAnsi="宋体" w:eastAsia="宋体" w:cs="宋体"/>
          <w:bCs/>
          <w:sz w:val="24"/>
          <w:szCs w:val="24"/>
          <w:lang w:val="en-US" w:eastAsia="zh-CN"/>
        </w:rPr>
        <w:t>达到总工程的80%</w:t>
      </w:r>
      <w:r>
        <w:rPr>
          <w:rFonts w:hint="eastAsia" w:ascii="宋体" w:hAnsi="宋体" w:eastAsia="宋体" w:cs="宋体"/>
          <w:bCs/>
          <w:sz w:val="24"/>
          <w:szCs w:val="24"/>
          <w:lang w:val="en-US" w:eastAsia="zh-Hans"/>
        </w:rPr>
        <w:t xml:space="preserve"> </w:t>
      </w:r>
      <w:r>
        <w:rPr>
          <w:rFonts w:hint="eastAsia" w:ascii="宋体" w:hAnsi="宋体" w:eastAsia="宋体" w:cs="宋体"/>
          <w:bCs/>
          <w:sz w:val="24"/>
          <w:szCs w:val="24"/>
          <w:lang w:val="en-US" w:eastAsia="zh-CN"/>
        </w:rPr>
        <w:t>时</w:t>
      </w:r>
      <w:r>
        <w:rPr>
          <w:rFonts w:hint="eastAsia" w:ascii="宋体" w:hAnsi="宋体" w:eastAsia="宋体" w:cs="宋体"/>
          <w:bCs/>
          <w:sz w:val="24"/>
          <w:szCs w:val="24"/>
          <w:lang w:val="en-US" w:eastAsia="zh-Hans"/>
        </w:rPr>
        <w:t>支付至合同价款的80%，</w:t>
      </w:r>
      <w:r>
        <w:rPr>
          <w:rFonts w:hint="eastAsia" w:ascii="宋体" w:hAnsi="宋体" w:eastAsia="宋体" w:cs="宋体"/>
          <w:bCs/>
          <w:sz w:val="24"/>
          <w:szCs w:val="24"/>
          <w:lang w:eastAsia="zh-CN"/>
        </w:rPr>
        <w:t>待所有该工程完成并审核</w:t>
      </w:r>
      <w:r>
        <w:rPr>
          <w:rFonts w:hint="eastAsia" w:ascii="宋体" w:hAnsi="宋体" w:eastAsia="宋体" w:cs="宋体"/>
          <w:bCs/>
          <w:sz w:val="24"/>
          <w:szCs w:val="24"/>
        </w:rPr>
        <w:t>后，</w:t>
      </w:r>
      <w:r>
        <w:rPr>
          <w:rFonts w:hint="eastAsia" w:ascii="宋体" w:hAnsi="宋体" w:eastAsia="宋体" w:cs="宋体"/>
          <w:bCs/>
          <w:sz w:val="24"/>
          <w:szCs w:val="24"/>
          <w:lang w:val="en-US" w:eastAsia="zh-Hans"/>
        </w:rPr>
        <w:t>支付</w:t>
      </w:r>
      <w:r>
        <w:rPr>
          <w:rFonts w:hint="eastAsia" w:ascii="宋体" w:hAnsi="宋体" w:eastAsia="宋体" w:cs="宋体"/>
          <w:bCs/>
          <w:sz w:val="24"/>
          <w:szCs w:val="24"/>
          <w:lang w:val="en-US" w:eastAsia="zh-CN"/>
        </w:rPr>
        <w:t>至审核总</w:t>
      </w:r>
      <w:r>
        <w:rPr>
          <w:rFonts w:hint="eastAsia" w:ascii="宋体" w:hAnsi="宋体" w:eastAsia="宋体" w:cs="宋体"/>
          <w:bCs/>
          <w:sz w:val="24"/>
          <w:szCs w:val="24"/>
          <w:lang w:val="en-US" w:eastAsia="zh-Hans"/>
        </w:rPr>
        <w:t xml:space="preserve">价款的 </w:t>
      </w:r>
      <w:r>
        <w:rPr>
          <w:rFonts w:hint="eastAsia" w:ascii="宋体" w:hAnsi="宋体" w:eastAsia="宋体" w:cs="宋体"/>
          <w:bCs/>
          <w:sz w:val="24"/>
          <w:szCs w:val="24"/>
          <w:lang w:val="en-US" w:eastAsia="zh-CN"/>
        </w:rPr>
        <w:t>100</w:t>
      </w:r>
      <w:r>
        <w:rPr>
          <w:rFonts w:hint="eastAsia" w:ascii="宋体" w:hAnsi="宋体" w:eastAsia="宋体" w:cs="宋体"/>
          <w:bCs/>
          <w:sz w:val="24"/>
          <w:szCs w:val="24"/>
          <w:lang w:val="en-US" w:eastAsia="zh-Hans"/>
        </w:rPr>
        <w:t>%</w:t>
      </w:r>
      <w:r>
        <w:rPr>
          <w:rFonts w:hint="eastAsia" w:ascii="宋体" w:hAnsi="宋体" w:eastAsia="宋体" w:cs="宋体"/>
          <w:bCs/>
          <w:sz w:val="24"/>
          <w:szCs w:val="24"/>
        </w:rPr>
        <w:t>。</w:t>
      </w:r>
    </w:p>
    <w:p>
      <w:pPr>
        <w:pStyle w:val="2"/>
        <w:spacing w:line="360" w:lineRule="auto"/>
        <w:ind w:firstLine="480" w:firstLineChars="200"/>
        <w:outlineLvl w:val="0"/>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val="en-US" w:eastAsia="zh-CN"/>
        </w:rPr>
        <w:t>2</w:t>
      </w:r>
      <w:r>
        <w:rPr>
          <w:rFonts w:hint="eastAsia" w:ascii="宋体" w:hAnsi="宋体" w:eastAsia="宋体" w:cs="宋体"/>
          <w:bCs/>
          <w:sz w:val="24"/>
          <w:szCs w:val="24"/>
        </w:rPr>
        <w:t>)如遇特殊应急、突发应急情况(由发包人认定)，发包人可根据承包人实际发生费用，</w:t>
      </w:r>
      <w:bookmarkStart w:id="0" w:name="_GoBack"/>
      <w:bookmarkEnd w:id="0"/>
      <w:r>
        <w:rPr>
          <w:rFonts w:hint="eastAsia" w:ascii="宋体" w:hAnsi="宋体" w:eastAsia="宋体" w:cs="宋体"/>
          <w:bCs/>
          <w:sz w:val="24"/>
          <w:szCs w:val="24"/>
        </w:rPr>
        <w:t xml:space="preserve"> 进行核定后额外拨付。</w:t>
      </w:r>
    </w:p>
    <w:p>
      <w:pPr>
        <w:pStyle w:val="2"/>
        <w:spacing w:line="360" w:lineRule="auto"/>
        <w:ind w:firstLine="480" w:firstLineChars="200"/>
        <w:outlineLvl w:val="0"/>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val="en-US" w:eastAsia="zh-CN"/>
        </w:rPr>
        <w:t>3</w:t>
      </w:r>
      <w:r>
        <w:rPr>
          <w:rFonts w:hint="eastAsia" w:ascii="宋体" w:hAnsi="宋体" w:eastAsia="宋体" w:cs="宋体"/>
          <w:bCs/>
          <w:sz w:val="24"/>
          <w:szCs w:val="24"/>
        </w:rPr>
        <w:t>)最终工程结算价款总金额应不能超过政府采购预算，若超过则由发包人与承包人协商并按照政府采购有关规定执行。</w:t>
      </w:r>
    </w:p>
    <w:p>
      <w:pPr>
        <w:pStyle w:val="2"/>
        <w:spacing w:line="360" w:lineRule="auto"/>
        <w:ind w:firstLine="480" w:firstLineChars="200"/>
        <w:jc w:val="both"/>
        <w:outlineLvl w:val="0"/>
        <w:rPr>
          <w:rFonts w:hint="eastAsia" w:ascii="宋体" w:hAnsi="宋体" w:cs="宋体"/>
          <w:bCs/>
          <w:sz w:val="24"/>
          <w:szCs w:val="24"/>
        </w:rPr>
      </w:pPr>
      <w:r>
        <w:rPr>
          <w:rFonts w:hint="eastAsia" w:ascii="宋体" w:hAnsi="宋体" w:cs="宋体"/>
          <w:bCs/>
          <w:sz w:val="24"/>
          <w:szCs w:val="24"/>
        </w:rPr>
        <w:t>注:其他详见合同文本</w:t>
      </w:r>
    </w:p>
    <w:p>
      <w:pPr>
        <w:pStyle w:val="2"/>
        <w:ind w:firstLine="120" w:firstLineChars="50"/>
        <w:rPr>
          <w:rFonts w:hint="eastAsia" w:ascii="宋体" w:hAnsi="宋体" w:cs="宋体"/>
          <w:b/>
          <w:sz w:val="24"/>
          <w:szCs w:val="24"/>
          <w:highlight w:val="none"/>
        </w:rPr>
      </w:pPr>
      <w:r>
        <w:rPr>
          <w:rFonts w:hint="eastAsia" w:ascii="宋体" w:hAnsi="宋体" w:cs="宋体"/>
          <w:b/>
          <w:sz w:val="24"/>
          <w:szCs w:val="24"/>
          <w:highlight w:val="none"/>
        </w:rPr>
        <w:t>六、工程量清单</w:t>
      </w:r>
    </w:p>
    <w:tbl>
      <w:tblPr>
        <w:tblStyle w:val="4"/>
        <w:tblW w:w="846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6"/>
        <w:gridCol w:w="979"/>
        <w:gridCol w:w="1145"/>
        <w:gridCol w:w="2046"/>
        <w:gridCol w:w="654"/>
        <w:gridCol w:w="723"/>
        <w:gridCol w:w="1118"/>
        <w:gridCol w:w="11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8467" w:type="dxa"/>
            <w:gridSpan w:val="8"/>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分部分项工程量清单计价表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780" w:type="dxa"/>
            <w:gridSpan w:val="3"/>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工程名称：应急场地基础设施</w:t>
            </w:r>
          </w:p>
        </w:tc>
        <w:tc>
          <w:tcPr>
            <w:tcW w:w="2700" w:type="dxa"/>
            <w:gridSpan w:val="2"/>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p>
        </w:tc>
        <w:tc>
          <w:tcPr>
            <w:tcW w:w="2987" w:type="dxa"/>
            <w:gridSpan w:val="3"/>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专业：土建工程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6" w:type="dxa"/>
            <w:vMerge w:val="restart"/>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979"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编码</w:t>
            </w:r>
          </w:p>
        </w:tc>
        <w:tc>
          <w:tcPr>
            <w:tcW w:w="3191" w:type="dxa"/>
            <w:gridSpan w:val="2"/>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54"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单位</w:t>
            </w:r>
          </w:p>
        </w:tc>
        <w:tc>
          <w:tcPr>
            <w:tcW w:w="723"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工程数量</w:t>
            </w:r>
          </w:p>
        </w:tc>
        <w:tc>
          <w:tcPr>
            <w:tcW w:w="2264"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6"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979"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191"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54"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23"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综合单价</w:t>
            </w: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3191"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（一）大门换修</w:t>
            </w:r>
          </w:p>
        </w:tc>
        <w:tc>
          <w:tcPr>
            <w:tcW w:w="65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2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5"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7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010501003001</w:t>
            </w:r>
          </w:p>
        </w:tc>
        <w:tc>
          <w:tcPr>
            <w:tcW w:w="3191"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全钢板大门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1.地点:西快速干道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2.开启方式:向外平开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3.有框、无框:有框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4.含门扇数:2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5.材料品种、规格:7*2.8m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6.五金种类、规格:带有配套五金件、插销、明锁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7.防护材料种类:防锈处理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8.油漆品种、刷漆遍数:底漆一遍调和漆两遍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1.拆除旧门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2.门（骨架）制作、运输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3.门、五金配件安装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4.刷防护材料、油漆</w:t>
            </w:r>
          </w:p>
        </w:tc>
        <w:tc>
          <w:tcPr>
            <w:tcW w:w="65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72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w:t>
            </w: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674.27</w:t>
            </w: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13215.69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7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020404004001</w:t>
            </w:r>
          </w:p>
        </w:tc>
        <w:tc>
          <w:tcPr>
            <w:tcW w:w="3191"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电动伸缩门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1.地点:东快速干道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2.门材质、品牌、外围尺寸:不锈钢成品电动推拉门6*1.8m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3.电子配件品种、规格、品牌:包含接线、遥控、轨道、灯光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1.拆除旧门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2.门制作、运输、安装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3.五金、电子配件安装</w:t>
            </w:r>
          </w:p>
        </w:tc>
        <w:tc>
          <w:tcPr>
            <w:tcW w:w="65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72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1145.29</w:t>
            </w: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12369.13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191"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分部小计</w:t>
            </w:r>
          </w:p>
        </w:tc>
        <w:tc>
          <w:tcPr>
            <w:tcW w:w="65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2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25584.82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3191"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（二）活动房屋</w:t>
            </w:r>
          </w:p>
        </w:tc>
        <w:tc>
          <w:tcPr>
            <w:tcW w:w="65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2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7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AB001</w:t>
            </w:r>
          </w:p>
        </w:tc>
        <w:tc>
          <w:tcPr>
            <w:tcW w:w="3191"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集装箱房定制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1.地点:东快速干道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2.规格:成品集装箱房，带有空调、电源等设备，门窗数量和形式根据甲方需求定制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3.用途:值班室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1.运输至施工现场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2.在指定位置安装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3.调试、交验</w:t>
            </w:r>
          </w:p>
        </w:tc>
        <w:tc>
          <w:tcPr>
            <w:tcW w:w="65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2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11367.54</w:t>
            </w: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11367.54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3" w:hRule="atLeast"/>
        </w:trPr>
        <w:tc>
          <w:tcPr>
            <w:tcW w:w="656" w:type="dxa"/>
            <w:tcBorders>
              <w:top w:val="single" w:color="000000" w:sz="4" w:space="0"/>
              <w:left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79"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AB002</w:t>
            </w:r>
          </w:p>
        </w:tc>
        <w:tc>
          <w:tcPr>
            <w:tcW w:w="3191" w:type="dxa"/>
            <w:gridSpan w:val="2"/>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集装箱房定制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1.地点:东快速干道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2.规格:成品集装箱房，带有置物架和隔间等设施，门窗数量和形式根据甲方需求定制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3.用途:物资存放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1.运输至施工现场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2.在指定位置安装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3.调试、交验</w:t>
            </w:r>
          </w:p>
        </w:tc>
        <w:tc>
          <w:tcPr>
            <w:tcW w:w="654"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23"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8"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11367.54</w:t>
            </w: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11367.54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191"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分部小计</w:t>
            </w:r>
          </w:p>
        </w:tc>
        <w:tc>
          <w:tcPr>
            <w:tcW w:w="65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2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22735.08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3191"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（三）围墙整修</w:t>
            </w:r>
          </w:p>
        </w:tc>
        <w:tc>
          <w:tcPr>
            <w:tcW w:w="65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2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0"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7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010302001001</w:t>
            </w:r>
          </w:p>
        </w:tc>
        <w:tc>
          <w:tcPr>
            <w:tcW w:w="3191"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实心砖墙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1.地点:西快速干道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2.砖品种、规格、强度等级:红机砖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3.墙体类型:外墙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4.墙体厚度:240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5.墙体高度:4.5m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6.墙体长度:5m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7.勾缝要求:平缝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8.砂浆强度等级、配合比:M5水泥砂浆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1.砂浆制作、运输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2.砌砖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3.勾缝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4.砖压顶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5.砌筑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6.材料运输</w:t>
            </w:r>
          </w:p>
        </w:tc>
        <w:tc>
          <w:tcPr>
            <w:tcW w:w="65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72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721.94</w:t>
            </w: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3898.48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7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040801006001</w:t>
            </w:r>
          </w:p>
        </w:tc>
        <w:tc>
          <w:tcPr>
            <w:tcW w:w="3191"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拆除砖石结构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1.地点:西快速干道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2.结构形式:砖混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3.尺寸:5*0.24*5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4.部位:桥下部分旧围墙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1.拆除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w:t>
            </w:r>
          </w:p>
        </w:tc>
        <w:tc>
          <w:tcPr>
            <w:tcW w:w="65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72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179.83</w:t>
            </w: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1078.98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191"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分部小计</w:t>
            </w:r>
          </w:p>
        </w:tc>
        <w:tc>
          <w:tcPr>
            <w:tcW w:w="65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2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4977.46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3191"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（四）桥墩围栏</w:t>
            </w:r>
          </w:p>
        </w:tc>
        <w:tc>
          <w:tcPr>
            <w:tcW w:w="65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2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7"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79"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040309001001</w:t>
            </w:r>
          </w:p>
        </w:tc>
        <w:tc>
          <w:tcPr>
            <w:tcW w:w="3191" w:type="dxa"/>
            <w:gridSpan w:val="2"/>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金属栏杆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1.地点:西快速干道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2.材质:钢管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3.规格:DN150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4.油漆品种、工艺要求:酚醛防锈漆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5.说明:护栏围绕桥墩一周，钢管制作，刷底漆、防锈漆和黑红相间面漆。具体样式参照大兴桥下桥墩护栏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1.制作、运输、安装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2.除锈、刷油漆</w:t>
            </w:r>
          </w:p>
        </w:tc>
        <w:tc>
          <w:tcPr>
            <w:tcW w:w="654"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723"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3.256</w:t>
            </w:r>
          </w:p>
        </w:tc>
        <w:tc>
          <w:tcPr>
            <w:tcW w:w="1118"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14063.74</w:t>
            </w:r>
          </w:p>
        </w:tc>
        <w:tc>
          <w:tcPr>
            <w:tcW w:w="1146" w:type="dxa"/>
            <w:tcBorders>
              <w:top w:val="single" w:color="000000" w:sz="4" w:space="0"/>
              <w:left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45791.54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191"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分部小计</w:t>
            </w:r>
          </w:p>
        </w:tc>
        <w:tc>
          <w:tcPr>
            <w:tcW w:w="65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2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45791.54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3191"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（五）水电接驳</w:t>
            </w:r>
          </w:p>
        </w:tc>
        <w:tc>
          <w:tcPr>
            <w:tcW w:w="65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2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7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030208006001</w:t>
            </w:r>
          </w:p>
        </w:tc>
        <w:tc>
          <w:tcPr>
            <w:tcW w:w="3191"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电缆沟土石方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1.工作地点:东快速干道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2.土方类别:回填土及沥青路面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3.管沟尺寸:长*宽*高80*0.3*0.5m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1.挖土、填土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2.铺回填沟槽沥青面层</w:t>
            </w:r>
          </w:p>
        </w:tc>
        <w:tc>
          <w:tcPr>
            <w:tcW w:w="65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72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216.36</w:t>
            </w: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2596.32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7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030212001001</w:t>
            </w:r>
          </w:p>
        </w:tc>
        <w:tc>
          <w:tcPr>
            <w:tcW w:w="3191"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电气配管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1.地点:东快速干道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2.材质:PVC电气穿线管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3.规格:外径75mm，壁厚5mm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4.配置形式及部位:室外沟槽，接驳至活动房屋配电箱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1.支架制作、安装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2.电线管路敷设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3.接地</w:t>
            </w:r>
          </w:p>
        </w:tc>
        <w:tc>
          <w:tcPr>
            <w:tcW w:w="65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72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79.42</w:t>
            </w: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6353.6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5" w:hRule="atLeast"/>
        </w:trPr>
        <w:tc>
          <w:tcPr>
            <w:tcW w:w="656" w:type="dxa"/>
            <w:tcBorders>
              <w:top w:val="single" w:color="000000" w:sz="4" w:space="0"/>
              <w:left w:val="single" w:color="000000" w:sz="8" w:space="0"/>
              <w:bottom w:val="single" w:color="auto"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79" w:type="dxa"/>
            <w:tcBorders>
              <w:top w:val="single" w:color="000000" w:sz="4" w:space="0"/>
              <w:left w:val="single" w:color="000000" w:sz="4" w:space="0"/>
              <w:bottom w:val="single" w:color="auto"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030212003001</w:t>
            </w:r>
          </w:p>
        </w:tc>
        <w:tc>
          <w:tcPr>
            <w:tcW w:w="3191" w:type="dxa"/>
            <w:gridSpan w:val="2"/>
            <w:tcBorders>
              <w:top w:val="single" w:color="000000" w:sz="4" w:space="0"/>
              <w:left w:val="single" w:color="000000" w:sz="4" w:space="0"/>
              <w:bottom w:val="single" w:color="auto"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电气配线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1.工作地点:东快速干道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2.配线形式:暗配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3.导线型号、材质、规格:6mm2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4.敷设部位或线制:室外沟槽，接驳至活动房屋配电箱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1.支持体（夹板、绝缘子、槽板等）安装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2.支架制作、安装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4.管内穿线</w:t>
            </w:r>
          </w:p>
        </w:tc>
        <w:tc>
          <w:tcPr>
            <w:tcW w:w="654" w:type="dxa"/>
            <w:tcBorders>
              <w:top w:val="single" w:color="000000" w:sz="4" w:space="0"/>
              <w:left w:val="single" w:color="000000" w:sz="4" w:space="0"/>
              <w:bottom w:val="single" w:color="auto"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723" w:type="dxa"/>
            <w:tcBorders>
              <w:top w:val="single" w:color="000000" w:sz="4" w:space="0"/>
              <w:left w:val="single" w:color="000000" w:sz="4" w:space="0"/>
              <w:bottom w:val="single" w:color="auto"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118" w:type="dxa"/>
            <w:tcBorders>
              <w:top w:val="single" w:color="000000" w:sz="4" w:space="0"/>
              <w:left w:val="single" w:color="000000" w:sz="4" w:space="0"/>
              <w:bottom w:val="single" w:color="auto"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10.69</w:t>
            </w:r>
          </w:p>
        </w:tc>
        <w:tc>
          <w:tcPr>
            <w:tcW w:w="1146" w:type="dxa"/>
            <w:tcBorders>
              <w:top w:val="single" w:color="000000" w:sz="4" w:space="0"/>
              <w:left w:val="single" w:color="000000" w:sz="4" w:space="0"/>
              <w:bottom w:val="single" w:color="auto"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2" w:hRule="atLeast"/>
        </w:trPr>
        <w:tc>
          <w:tcPr>
            <w:tcW w:w="656" w:type="dxa"/>
            <w:tcBorders>
              <w:top w:val="single" w:color="auto" w:sz="4" w:space="0"/>
              <w:left w:val="single" w:color="auto" w:sz="4" w:space="0"/>
              <w:bottom w:val="single" w:color="auto"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979" w:type="dxa"/>
            <w:tcBorders>
              <w:top w:val="single" w:color="auto" w:sz="4" w:space="0"/>
              <w:left w:val="single" w:color="000000" w:sz="4" w:space="0"/>
              <w:bottom w:val="single" w:color="auto"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040101002001</w:t>
            </w:r>
          </w:p>
        </w:tc>
        <w:tc>
          <w:tcPr>
            <w:tcW w:w="3191" w:type="dxa"/>
            <w:gridSpan w:val="2"/>
            <w:tcBorders>
              <w:top w:val="single" w:color="auto" w:sz="4" w:space="0"/>
              <w:left w:val="single" w:color="000000" w:sz="4" w:space="0"/>
              <w:bottom w:val="single" w:color="auto"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挖沟槽土方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1.工作地点:东快速干道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2.土壤类别:四类土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3.挖土深度:0.5m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4.沟槽尺寸:长*宽*高80*0.3*0.5m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1.土方开挖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2.场内运输</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3.平整、夯实</w:t>
            </w:r>
          </w:p>
        </w:tc>
        <w:tc>
          <w:tcPr>
            <w:tcW w:w="654" w:type="dxa"/>
            <w:tcBorders>
              <w:top w:val="single" w:color="auto" w:sz="4" w:space="0"/>
              <w:left w:val="single" w:color="000000" w:sz="4" w:space="0"/>
              <w:bottom w:val="single" w:color="auto"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723" w:type="dxa"/>
            <w:tcBorders>
              <w:top w:val="single" w:color="auto" w:sz="4" w:space="0"/>
              <w:left w:val="single" w:color="000000" w:sz="4" w:space="0"/>
              <w:bottom w:val="single" w:color="auto"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18" w:type="dxa"/>
            <w:tcBorders>
              <w:top w:val="single" w:color="auto" w:sz="4" w:space="0"/>
              <w:left w:val="single" w:color="000000" w:sz="4" w:space="0"/>
              <w:bottom w:val="single" w:color="auto"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w:t>
            </w:r>
          </w:p>
        </w:tc>
        <w:tc>
          <w:tcPr>
            <w:tcW w:w="1146" w:type="dxa"/>
            <w:tcBorders>
              <w:top w:val="single" w:color="auto" w:sz="4" w:space="0"/>
              <w:left w:val="single" w:color="000000" w:sz="4" w:space="0"/>
              <w:bottom w:val="single" w:color="auto" w:sz="4" w:space="0"/>
              <w:right w:val="single" w:color="auto"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56" w:type="dxa"/>
            <w:tcBorders>
              <w:top w:val="single" w:color="auto"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79" w:type="dxa"/>
            <w:tcBorders>
              <w:top w:val="single" w:color="auto"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030801005001</w:t>
            </w:r>
          </w:p>
        </w:tc>
        <w:tc>
          <w:tcPr>
            <w:tcW w:w="3191" w:type="dxa"/>
            <w:gridSpan w:val="2"/>
            <w:tcBorders>
              <w:top w:val="single" w:color="auto"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塑料管UPVC、PVC、PP-C、PP-R、PE管等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1.工作地点:东快速干道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2.安装部位（室内、外）:室外沟槽，接驳至活动房屋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3.输送介质（给水、排水、热媒体、燃气、雨水）:给水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4.材质:塑料UPVC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5.规格:90mm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6.连接形式:承插粘接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7.套管形式、材质、规格:防水套管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8.接口材料:化学材料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9.除锈、刷油、防腐、绝热及保护层设计要求:防腐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2.管件安装（指铜管管件、不锈钢管管件）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3.套管（包括防水套管）制作、安装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4.管道除锈、刷油、防腐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5.管道绝热及保护层安装、除锈、刷油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6.给水管道消毒、冲洗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7.水压及泄漏试验</w:t>
            </w:r>
          </w:p>
        </w:tc>
        <w:tc>
          <w:tcPr>
            <w:tcW w:w="654" w:type="dxa"/>
            <w:tcBorders>
              <w:top w:val="single" w:color="auto"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723" w:type="dxa"/>
            <w:tcBorders>
              <w:top w:val="single" w:color="auto"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118" w:type="dxa"/>
            <w:tcBorders>
              <w:top w:val="single" w:color="auto"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84.97</w:t>
            </w:r>
          </w:p>
        </w:tc>
        <w:tc>
          <w:tcPr>
            <w:tcW w:w="1146" w:type="dxa"/>
            <w:tcBorders>
              <w:top w:val="single" w:color="auto"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6797.6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5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191"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分部小计</w:t>
            </w:r>
          </w:p>
        </w:tc>
        <w:tc>
          <w:tcPr>
            <w:tcW w:w="65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2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46"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16702.32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826" w:type="dxa"/>
            <w:gridSpan w:val="4"/>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654"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23"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rPr>
                <w:rFonts w:hint="eastAsia" w:ascii="宋体" w:hAnsi="宋体" w:eastAsia="宋体" w:cs="宋体"/>
                <w:i w:val="0"/>
                <w:iCs w:val="0"/>
                <w:color w:val="000000"/>
                <w:sz w:val="20"/>
                <w:szCs w:val="20"/>
                <w:u w:val="none"/>
              </w:rPr>
            </w:pPr>
          </w:p>
        </w:tc>
        <w:tc>
          <w:tcPr>
            <w:tcW w:w="1118"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rPr>
                <w:rFonts w:hint="eastAsia" w:ascii="宋体" w:hAnsi="宋体" w:eastAsia="宋体" w:cs="宋体"/>
                <w:i w:val="0"/>
                <w:iCs w:val="0"/>
                <w:color w:val="000000"/>
                <w:sz w:val="20"/>
                <w:szCs w:val="20"/>
                <w:u w:val="none"/>
              </w:rPr>
            </w:pPr>
          </w:p>
        </w:tc>
        <w:tc>
          <w:tcPr>
            <w:tcW w:w="1146"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115791.22</w:t>
            </w:r>
          </w:p>
        </w:tc>
      </w:tr>
    </w:tbl>
    <w:p/>
    <w:p/>
    <w:p/>
    <w:p/>
    <w:p/>
    <w:p/>
    <w:p/>
    <w:p/>
    <w:p/>
    <w:p/>
    <w:p/>
    <w:p/>
    <w:p/>
    <w:p/>
    <w:p/>
    <w:p/>
    <w:p/>
    <w:p/>
    <w:p/>
    <w:p/>
    <w:p/>
    <w:p/>
    <w:p/>
    <w:p/>
    <w:p/>
    <w:tbl>
      <w:tblPr>
        <w:tblStyle w:val="4"/>
        <w:tblW w:w="850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4"/>
        <w:gridCol w:w="1037"/>
        <w:gridCol w:w="3572"/>
        <w:gridCol w:w="655"/>
        <w:gridCol w:w="627"/>
        <w:gridCol w:w="900"/>
        <w:gridCol w:w="1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163" w:type="dxa"/>
            <w:gridSpan w:val="3"/>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工程名称：应急场地绿化养护</w:t>
            </w:r>
          </w:p>
        </w:tc>
        <w:tc>
          <w:tcPr>
            <w:tcW w:w="1282" w:type="dxa"/>
            <w:gridSpan w:val="2"/>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p>
        </w:tc>
        <w:tc>
          <w:tcPr>
            <w:tcW w:w="2059" w:type="dxa"/>
            <w:gridSpan w:val="2"/>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专业：绿化工程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554" w:type="dxa"/>
            <w:vMerge w:val="restart"/>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037"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项目编码</w:t>
            </w:r>
          </w:p>
        </w:tc>
        <w:tc>
          <w:tcPr>
            <w:tcW w:w="3572"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55"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单位</w:t>
            </w:r>
          </w:p>
        </w:tc>
        <w:tc>
          <w:tcPr>
            <w:tcW w:w="627"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工程</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2059"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554"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037"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572"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5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27"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综合单价</w:t>
            </w: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554"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35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（一）乔木养护</w:t>
            </w:r>
          </w:p>
        </w:tc>
        <w:tc>
          <w:tcPr>
            <w:tcW w:w="6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0" w:hRule="atLeast"/>
        </w:trPr>
        <w:tc>
          <w:tcPr>
            <w:tcW w:w="554"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050102001001</w:t>
            </w:r>
          </w:p>
        </w:tc>
        <w:tc>
          <w:tcPr>
            <w:tcW w:w="35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栽植乔木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1.地点:东快速干道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2.类型:绿化养护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3.乔木种类:国槐、构树、银杏、雪松等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4.养护期:自合同签订至当年年底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1.树形及观赏特性的标准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(1)生长健壮，树冠丰满，主侧枝分布均匀，数量适宜，整形树木造型美观。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(2)树叶生长茂盛，一般条件下无黄叶，焦叶，卷叶。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(3)树干不得有钻蛀性害虫危害，生长季节无枯黄叶柱，落叶在10％以下。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(4)枝干健壮，无明显枯枝死杈，无明显人为损坏。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2.水肥管理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(1)大型景观乔木每两年进行一次开挖深施肥工作。小乔木每年1次。肥料要选取有机肥为宜，施肥量要适宜。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(2)根据季节和生长情况适宜浇灌，做好排水，保持适当水分。不耐寒植物冬季必须浇灌防冻水。观花乔木加强春季、夏季浇水，促使开花长叶。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(3)对于新栽植乔木，每年灌溉次数不得少于8次，但也要注意水害。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3.年修剪次数及日常管理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大型乔木一般全年修剪至少1次，主要是除枯枝，病虫枝，徒长枝等，对于整型小乔木进行修剪要根据植物种类习性制定修剪方法，每年至少修剪5次。</w:t>
            </w:r>
          </w:p>
        </w:tc>
        <w:tc>
          <w:tcPr>
            <w:tcW w:w="6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株</w:t>
            </w:r>
          </w:p>
        </w:tc>
        <w:tc>
          <w:tcPr>
            <w:tcW w:w="6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w:t>
            </w:r>
          </w:p>
        </w:tc>
        <w:tc>
          <w:tcPr>
            <w:tcW w:w="9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90.96</w:t>
            </w: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17919.12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554"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5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分部小计</w:t>
            </w:r>
          </w:p>
        </w:tc>
        <w:tc>
          <w:tcPr>
            <w:tcW w:w="6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17919.12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554"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35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（二）灌木养护</w:t>
            </w:r>
          </w:p>
        </w:tc>
        <w:tc>
          <w:tcPr>
            <w:tcW w:w="6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54" w:type="dxa"/>
            <w:tcBorders>
              <w:top w:val="single" w:color="000000" w:sz="4" w:space="0"/>
              <w:left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37"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050102004001</w:t>
            </w:r>
          </w:p>
        </w:tc>
        <w:tc>
          <w:tcPr>
            <w:tcW w:w="3572"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栽植灌木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1.地点:东快速干道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2.类型:绿化养护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3.灌木种类:红叶石楠球、棕竹、红叶李等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4.养护期:自合同签订至当年年底</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1.观赏特性要求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（1）长势良好，枝多叶茂，下部不光秃，无枯枝残叶，植株整齐一致。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（2）绿篱及色块植株生长健壮，枝叶繁茂，修剪及时，整齐。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2.水肥管理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（1）灌溉：根据植物的生长及特性进行合理灌溉，适时灌溉。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（2）施肥：一般每年春季，秋季结合除草重点施肥2至3次，促进花芽分化，花芽分化后适当追施磷，钾肥，使花多色艳花期长。肥料不能裸露，使用埋施或水施的方法。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3.年修剪次数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（1）除杂草：灌木丛周边及从内无杂草，人工拔出，除杂草松土时要注意保护根系，不能伤根系更不能造成黄土裸露。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修剪：地被灌木修剪要造型美观，年修剪次数不少于8次。花灌木在花芽分化前修剪，避免把花芽剪掉，对于其它灌木应根据生长情况组织修剪。不可出现失修现象，枝条冒顶高度不得高于10㎝，灌木球按照造型要求修剪，其它植物根据不同生态习性及景观要求，及时去除不符合造型的枝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补植、更换：出现死苗，要及时汇报，并及时清理死苗，及时补植。补植回来的苗木种类力求规格，植株接近，以保证良好的景观效果。对于已呈老化或明显与周围环境不协调的灌木，花卉应及时进行汇报更换。</w:t>
            </w:r>
          </w:p>
        </w:tc>
        <w:tc>
          <w:tcPr>
            <w:tcW w:w="655"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株</w:t>
            </w:r>
          </w:p>
        </w:tc>
        <w:tc>
          <w:tcPr>
            <w:tcW w:w="627"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900"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41.72</w:t>
            </w: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554" w:type="dxa"/>
            <w:tcBorders>
              <w:top w:val="single" w:color="000000" w:sz="4" w:space="0"/>
              <w:left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37"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050102004002</w:t>
            </w:r>
          </w:p>
        </w:tc>
        <w:tc>
          <w:tcPr>
            <w:tcW w:w="3572"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栽植灌木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1.地点:东快速干道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2.类型:绿化养护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3.灌木种类:海桐、金叶女贞等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4.养护期:自合同签订至当年年底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1.观赏特性要求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（1）长势良好，枝多叶茂，下部不光秃，无枯枝残叶，植株整齐一致。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（2）绿篱及色块植株生长健壮，枝叶繁茂，修剪及时，整齐。</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2.水肥管理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（1）灌溉：根据植物的生长及特性进行合理灌溉，适时灌溉。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（2）施肥：一般每年春季，秋季结合除草重点施肥2至3次，促进花芽分化，花芽分化后适当追施磷，钾肥，使花多色艳花期长。肥料不能裸露，使用埋施或水施的方法。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3.年修剪次数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（1）除杂草：灌木丛周边及从内无杂草，人工拔出，除杂草松土时要注意保护根系，不能伤根系更不能造成黄土裸露。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修剪：地被灌木修剪要造型美观，年修剪次数不少于8次。花灌木在花芽分化前修剪，避免把花芽剪掉，对于其它灌木应根据生长情况组织修剪。不可出现失修现象，枝条冒顶高度不得高于10㎝，灌木球按照造型要求修剪，其它植物根据不同生态习性及景观要求，及时去除不符合造型的枝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补植、更换：出现死苗，要及时汇报，并及时清理死苗，及时补植。补植回来的苗木种类力求规格，植株接近，以保证良好的景观效果。对于已呈老化或明显与周围环境不协调的灌木，花卉应及时进行汇报更换。</w:t>
            </w:r>
          </w:p>
        </w:tc>
        <w:tc>
          <w:tcPr>
            <w:tcW w:w="655"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627"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00"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35.13</w:t>
            </w: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3161.7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554"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5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分部小计</w:t>
            </w:r>
          </w:p>
        </w:tc>
        <w:tc>
          <w:tcPr>
            <w:tcW w:w="6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554"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35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（三）草坪养护</w:t>
            </w:r>
          </w:p>
        </w:tc>
        <w:tc>
          <w:tcPr>
            <w:tcW w:w="6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43" w:hRule="atLeast"/>
        </w:trPr>
        <w:tc>
          <w:tcPr>
            <w:tcW w:w="554" w:type="dxa"/>
            <w:tcBorders>
              <w:top w:val="single" w:color="000000" w:sz="4" w:space="0"/>
              <w:left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37"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050102010001</w:t>
            </w:r>
          </w:p>
        </w:tc>
        <w:tc>
          <w:tcPr>
            <w:tcW w:w="3572"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铺种草皮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1.地点:东快速干道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2.类型:绿化养护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3.草皮种类:混播草，黑麦、早熟禾、高羊茅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4.养护期:自合同签订至当年年底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1.观赏特性要求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长势旺盛，叶片健壮，叶片浓绿，无枯黄叶，修剪及时，高度适宜，无病虫害。覆盖率不低于95％，无明显杂草。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2.水肥及日常管理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（1）灌溉：根据草坪植物的生长需要加强淋水和施肥，保证水肥充</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足。雨季缺水季节，适时灌溉。春秋季应在每月进行2次灌溉，夏季应在每周进行一次灌溉。保证土壤表层5㎝至7㎝范围内土壤墒情良好。春季应对草坪浇灌返青水，冬季必须对草坪在寒潮来之前浇灌一次防冻水。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（2）施肥：在植物休眠期间应增加淋水施肥，使草坪保持优良的长势。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（3）除杂草：松土及时清除杂草，方法合理彻底，一般采用人工拔除。草坪纯度标准为每平方米不超过10柱非目的草种。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3.水肥及日常管理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灌溉：根据草坪植物的生长需要加强淋水和施肥，保证水肥充足。雨季缺水季节，适时灌溉。春秋季应在每月进行2次灌溉，夏季应在每周进行一次灌溉。保证土壤表层5㎝至7㎝范围内土壤墒情良好。春季应对草坪浇灌返青水，冬季必须对草坪在寒潮来之前浇灌一次防冻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（2）施肥：在植物休眠期间应增加淋水施肥，使草坪保持优良的长势。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（3）除杂草：松土及时清除杂草，方法合理彻底，一般采用人工拔除。草坪纯度标准为每平方米不超过10柱非目的草种。</w:t>
            </w:r>
          </w:p>
        </w:tc>
        <w:tc>
          <w:tcPr>
            <w:tcW w:w="655"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627"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8250</w:t>
            </w:r>
          </w:p>
        </w:tc>
        <w:tc>
          <w:tcPr>
            <w:tcW w:w="900"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17.01</w:t>
            </w: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140332.5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554"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5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分部小计</w:t>
            </w:r>
          </w:p>
        </w:tc>
        <w:tc>
          <w:tcPr>
            <w:tcW w:w="6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140332.5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5163" w:type="dxa"/>
            <w:gridSpan w:val="3"/>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655"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27"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rPr>
                <w:rFonts w:hint="eastAsia" w:ascii="宋体" w:hAnsi="宋体" w:eastAsia="宋体" w:cs="宋体"/>
                <w:i w:val="0"/>
                <w:iCs w:val="0"/>
                <w:color w:val="000000"/>
                <w:sz w:val="20"/>
                <w:szCs w:val="20"/>
                <w:u w:val="none"/>
              </w:rPr>
            </w:pPr>
          </w:p>
        </w:tc>
        <w:tc>
          <w:tcPr>
            <w:tcW w:w="1159"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162456.32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8" w:hRule="atLeast"/>
        </w:trPr>
        <w:tc>
          <w:tcPr>
            <w:tcW w:w="8504" w:type="dxa"/>
            <w:gridSpan w:val="7"/>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工程名称：应急场地杂物清理                                         专业：土建工程</w:t>
            </w:r>
          </w:p>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554" w:type="dxa"/>
            <w:vMerge w:val="restart"/>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037"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项目编码</w:t>
            </w:r>
          </w:p>
        </w:tc>
        <w:tc>
          <w:tcPr>
            <w:tcW w:w="3572"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55"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单位</w:t>
            </w:r>
          </w:p>
        </w:tc>
        <w:tc>
          <w:tcPr>
            <w:tcW w:w="627"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工程数量</w:t>
            </w:r>
          </w:p>
        </w:tc>
        <w:tc>
          <w:tcPr>
            <w:tcW w:w="2059"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554"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037"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572"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5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27"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综合单价</w:t>
            </w: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554"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35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（一）杂物规整</w:t>
            </w:r>
          </w:p>
        </w:tc>
        <w:tc>
          <w:tcPr>
            <w:tcW w:w="6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554"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AB002</w:t>
            </w:r>
          </w:p>
        </w:tc>
        <w:tc>
          <w:tcPr>
            <w:tcW w:w="35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杂物规整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1.地点:东、西快速干道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2.类型:场地内挪移报废车辆、杂物。以现场实际为准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1.报废车辆及杂物规整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2.甲方指定位置堆放</w:t>
            </w:r>
          </w:p>
        </w:tc>
        <w:tc>
          <w:tcPr>
            <w:tcW w:w="6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6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5533.8</w:t>
            </w: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5533.8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554"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5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分部小计</w:t>
            </w:r>
          </w:p>
        </w:tc>
        <w:tc>
          <w:tcPr>
            <w:tcW w:w="6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5533.8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554"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35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（二）垃圾清理</w:t>
            </w:r>
          </w:p>
        </w:tc>
        <w:tc>
          <w:tcPr>
            <w:tcW w:w="6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554"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AB001</w:t>
            </w:r>
          </w:p>
        </w:tc>
        <w:tc>
          <w:tcPr>
            <w:tcW w:w="35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垃圾外运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1.地点:东、西快速干道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2.类型:建筑垃圾。场地内已有废弃物和此次施工产生的建筑垃圾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1.场地建筑垃圾清理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2.垃圾外运，自找弃置点</w:t>
            </w:r>
          </w:p>
        </w:tc>
        <w:tc>
          <w:tcPr>
            <w:tcW w:w="6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6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9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106.51</w:t>
            </w: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8520.8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554"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03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5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分部小计</w:t>
            </w:r>
          </w:p>
        </w:tc>
        <w:tc>
          <w:tcPr>
            <w:tcW w:w="6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8520.8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5163" w:type="dxa"/>
            <w:gridSpan w:val="3"/>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6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rPr>
                <w:rFonts w:hint="eastAsia" w:ascii="宋体" w:hAnsi="宋体" w:eastAsia="宋体" w:cs="宋体"/>
                <w:i w:val="0"/>
                <w:iCs w:val="0"/>
                <w:color w:val="000000"/>
                <w:sz w:val="20"/>
                <w:szCs w:val="20"/>
                <w:u w:val="none"/>
              </w:rPr>
            </w:pPr>
          </w:p>
        </w:tc>
        <w:tc>
          <w:tcPr>
            <w:tcW w:w="1159"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14054.6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7345" w:type="dxa"/>
            <w:gridSpan w:val="6"/>
            <w:tcBorders>
              <w:top w:val="single" w:color="000000" w:sz="4" w:space="0"/>
              <w:left w:val="single" w:color="000000" w:sz="8" w:space="0"/>
              <w:bottom w:val="single" w:color="000000" w:sz="8"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总计</w:t>
            </w:r>
          </w:p>
        </w:tc>
        <w:tc>
          <w:tcPr>
            <w:tcW w:w="1159"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292302.14</w:t>
            </w:r>
          </w:p>
        </w:tc>
      </w:tr>
    </w:tbl>
    <w:p>
      <w:pPr>
        <w:pStyle w:val="2"/>
        <w:spacing w:line="360" w:lineRule="auto"/>
        <w:outlineLvl w:val="0"/>
        <w:rPr>
          <w:rFonts w:hint="eastAsia" w:ascii="宋体" w:hAnsi="宋体" w:eastAsia="宋体" w:cs="宋体"/>
          <w:b/>
          <w:sz w:val="24"/>
          <w:szCs w:val="24"/>
          <w:lang w:eastAsia="zh-CN"/>
        </w:rPr>
      </w:pPr>
    </w:p>
    <w:p>
      <w:pPr>
        <w:pStyle w:val="2"/>
        <w:spacing w:line="360" w:lineRule="auto"/>
        <w:ind w:firstLine="482" w:firstLineChars="200"/>
        <w:jc w:val="center"/>
        <w:outlineLvl w:val="0"/>
        <w:rPr>
          <w:rFonts w:hint="eastAsia" w:ascii="宋体" w:hAnsi="宋体" w:cs="宋体"/>
          <w:b/>
          <w:sz w:val="24"/>
          <w:szCs w:val="24"/>
        </w:rPr>
      </w:pPr>
    </w:p>
    <w:p/>
    <w:sectPr>
      <w:headerReference r:id="rId3" w:type="default"/>
      <w:footerReference r:id="rId4" w:type="default"/>
      <w:pgSz w:w="11906" w:h="16838"/>
      <w:pgMar w:top="1327" w:right="1800" w:bottom="132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sz w:val="18"/>
        <w:szCs w:val="18"/>
      </w:rPr>
    </w:pPr>
    <w:r>
      <w:rPr>
        <w:sz w:val="18"/>
        <w:szCs w:val="18"/>
      </w:rPr>
      <mc:AlternateContent>
        <mc:Choice Requires="wps">
          <w:drawing>
            <wp:anchor distT="0" distB="0" distL="114300" distR="114300" simplePos="0" relativeHeight="251659264" behindDoc="0" locked="0" layoutInCell="1" allowOverlap="1">
              <wp:simplePos x="0" y="0"/>
              <wp:positionH relativeFrom="margin">
                <wp:posOffset>2901315</wp:posOffset>
              </wp:positionH>
              <wp:positionV relativeFrom="paragraph">
                <wp:posOffset>198755</wp:posOffset>
              </wp:positionV>
              <wp:extent cx="114935" cy="131445"/>
              <wp:effectExtent l="0" t="0" r="0" b="0"/>
              <wp:wrapNone/>
              <wp:docPr id="4" name="文本框 4"/>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snapToGrid w:val="0"/>
                            <w:jc w:val="center"/>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left:228.45pt;margin-top:15.65pt;height:10.35pt;width:9.05pt;mso-position-horizontal-relative:margin;mso-wrap-style:none;z-index:251659264;mso-width-relative:page;mso-height-relative:page;" filled="f" stroked="f" coordsize="21600,21600" o:gfxdata="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&#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A77VRDXAAAACQEAAA8AAAAAAAAAAQAgAAAAIgAAAGRy&#10;cy9kb3ducmV2LnhtbFBLAQIUABQAAAAIAIdO4kCYN5yJzQEAAJcDAAAOAAAAAAAAAAEAIAAAACYB&#10;AABkcnMvZTJvRG9jLnhtbFBLBQYAAAAABgAGAFkBAABlBQAAAAA=&#10;">
              <v:fill on="f" focussize="0,0"/>
              <v:stroke on="f"/>
              <v:imagedata o:title=""/>
              <o:lock v:ext="edit" aspectratio="f"/>
              <v:textbox inset="0mm,0mm,0mm,0mm" style="mso-fit-shape-to-text:t;">
                <w:txbxContent>
                  <w:p>
                    <w:pPr>
                      <w:snapToGrid w:val="0"/>
                      <w:jc w:val="center"/>
                      <w:rPr>
                        <w:rFonts w:hint="eastAsia"/>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lZDgxNjAwZTA2NmQyZWM5YmEzZGY2MWNmYjliNTEifQ=="/>
  </w:docVars>
  <w:rsids>
    <w:rsidRoot w:val="00000000"/>
    <w:rsid w:val="001F3F93"/>
    <w:rsid w:val="042121DF"/>
    <w:rsid w:val="06AB380D"/>
    <w:rsid w:val="0CFD2463"/>
    <w:rsid w:val="13DC1FB6"/>
    <w:rsid w:val="14976C19"/>
    <w:rsid w:val="1A1161B5"/>
    <w:rsid w:val="1A2B77F4"/>
    <w:rsid w:val="1E8C2760"/>
    <w:rsid w:val="20F546B7"/>
    <w:rsid w:val="215672C1"/>
    <w:rsid w:val="22A36885"/>
    <w:rsid w:val="255317AE"/>
    <w:rsid w:val="25631255"/>
    <w:rsid w:val="26365D5A"/>
    <w:rsid w:val="27B1344D"/>
    <w:rsid w:val="28724840"/>
    <w:rsid w:val="30907F59"/>
    <w:rsid w:val="32257F95"/>
    <w:rsid w:val="35902B9A"/>
    <w:rsid w:val="38AA4CF1"/>
    <w:rsid w:val="3C0108D7"/>
    <w:rsid w:val="45967968"/>
    <w:rsid w:val="49AA39E1"/>
    <w:rsid w:val="4CF229A2"/>
    <w:rsid w:val="4DD958BA"/>
    <w:rsid w:val="4FEB6B02"/>
    <w:rsid w:val="501B0BF9"/>
    <w:rsid w:val="530D4FE1"/>
    <w:rsid w:val="55F83D27"/>
    <w:rsid w:val="56B23D6E"/>
    <w:rsid w:val="5AAA0CD9"/>
    <w:rsid w:val="5B174C4F"/>
    <w:rsid w:val="5B7B47DE"/>
    <w:rsid w:val="5CD61B88"/>
    <w:rsid w:val="61A3723C"/>
    <w:rsid w:val="64743FC6"/>
    <w:rsid w:val="68805AF5"/>
    <w:rsid w:val="6E3D27C7"/>
    <w:rsid w:val="6ED8429D"/>
    <w:rsid w:val="716B4379"/>
    <w:rsid w:val="74BF4EC8"/>
    <w:rsid w:val="7A417FD7"/>
    <w:rsid w:val="7C782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4680</Words>
  <Characters>5434</Characters>
  <Lines>0</Lines>
  <Paragraphs>0</Paragraphs>
  <TotalTime>0</TotalTime>
  <ScaleCrop>false</ScaleCrop>
  <LinksUpToDate>false</LinksUpToDate>
  <CharactersWithSpaces>5480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2024-05-21T03:21:00Z</dcterms:created>
  <dc:creator>Administrator</dc:creator>
  <cp:lastModifiedBy>WPS_1698309818</cp:lastModifiedBy>
  <dcterms:modified xsi:type="dcterms:W3CDTF">2024-06-18T11:25:08Z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782BA2A97D8D42EABC6CD0188C6F6BB9_12</vt:lpwstr>
  </property>
</Properties>
</file>