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安检机、安检门采购项目</w:t>
      </w:r>
    </w:p>
    <w:p>
      <w:pPr>
        <w:pStyle w:val="null3"/>
        <w:jc w:val="center"/>
        <w:outlineLvl w:val="2"/>
      </w:pPr>
      <w:r>
        <w:rPr>
          <w:sz w:val="28"/>
          <w:b/>
        </w:rPr>
        <w:t>采购项目编号：</w:t>
      </w:r>
      <w:r>
        <w:rPr>
          <w:sz w:val="28"/>
          <w:b/>
        </w:rPr>
        <w:t>HSGJ2024-159</w:t>
      </w:r>
      <w:r>
        <w:br/>
      </w:r>
      <w:r>
        <w:br/>
      </w:r>
      <w:r>
        <w:br/>
      </w:r>
    </w:p>
    <w:p>
      <w:pPr>
        <w:pStyle w:val="null3"/>
        <w:jc w:val="center"/>
        <w:outlineLvl w:val="2"/>
      </w:pPr>
      <w:r>
        <w:rPr>
          <w:sz w:val="28"/>
          <w:b/>
        </w:rPr>
        <w:t>西安博物院</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华晟国际项目管理有限公司</w:t>
      </w:r>
      <w:r>
        <w:rPr/>
        <w:t>（以下简称“代理机构”）受</w:t>
      </w:r>
      <w:r>
        <w:rPr/>
        <w:t>西安博物院</w:t>
      </w:r>
      <w:r>
        <w:rPr/>
        <w:t>委托，拟对</w:t>
      </w:r>
      <w:r>
        <w:rPr/>
        <w:t>安检机、安检门采购项目</w:t>
      </w:r>
      <w:r>
        <w:rPr/>
        <w:t>进行国内公开招标，兹邀请符合本次招标要求的供应商参加投标。</w:t>
      </w:r>
    </w:p>
    <w:p>
      <w:pPr>
        <w:pStyle w:val="null3"/>
        <w:outlineLvl w:val="2"/>
      </w:pPr>
      <w:r>
        <w:rPr>
          <w:sz w:val="28"/>
          <w:b/>
        </w:rPr>
        <w:t>一、采购项目编号：</w:t>
      </w:r>
      <w:r>
        <w:rPr>
          <w:sz w:val="28"/>
          <w:b/>
        </w:rPr>
        <w:t>HSGJ2024-159</w:t>
      </w:r>
    </w:p>
    <w:p>
      <w:pPr>
        <w:pStyle w:val="null3"/>
        <w:outlineLvl w:val="2"/>
      </w:pPr>
      <w:r>
        <w:rPr>
          <w:sz w:val="28"/>
          <w:b/>
        </w:rPr>
        <w:t>二、采购项目名称：</w:t>
      </w:r>
      <w:r>
        <w:rPr>
          <w:sz w:val="28"/>
          <w:b/>
        </w:rPr>
        <w:t>安检机、安检门采购项目</w:t>
      </w:r>
    </w:p>
    <w:p>
      <w:pPr>
        <w:pStyle w:val="null3"/>
        <w:outlineLvl w:val="2"/>
      </w:pPr>
      <w:r>
        <w:rPr>
          <w:sz w:val="28"/>
          <w:b/>
        </w:rPr>
        <w:t>三、招标项目简介</w:t>
      </w:r>
    </w:p>
    <w:p>
      <w:pPr>
        <w:pStyle w:val="null3"/>
        <w:ind w:firstLine="480"/>
      </w:pPr>
      <w:r>
        <w:rPr/>
        <w:t>西安博物院安检机、安检门采购项目，具体内容详见第三章。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采购包1（西安博物院安检机、安检门采购项目）：属于专门面向中小企业采购。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2、财务状况报告：财务状况报告：提供2022年度或2023年度的财务审计报告或开标前六个月内其基本存款账户开户银行出具的资信证明（附开户许可证或开户备案证明或基本账户信息）；</w:t>
      </w:r>
    </w:p>
    <w:p>
      <w:pPr>
        <w:pStyle w:val="null3"/>
      </w:pPr>
      <w:r>
        <w:rPr/>
        <w:t>3、社会保障资金缴纳证明：提供2023年7月1日至今已缴存的至少一个月的社会保障资金缴存单据或社保机构开具的社会保险参保缴费情况证明，依法不需要缴纳社会保障资金的单位应提供相关证明材料；</w:t>
      </w:r>
    </w:p>
    <w:p>
      <w:pPr>
        <w:pStyle w:val="null3"/>
      </w:pPr>
      <w:r>
        <w:rPr/>
        <w:t>4、税收缴纳证明：提供2023年7月1日至今已缴存的至少一个月的纳税证明或完税证明，依法免税的单位应提供相关证明材料；</w:t>
      </w:r>
    </w:p>
    <w:p>
      <w:pPr>
        <w:pStyle w:val="null3"/>
      </w:pPr>
      <w:r>
        <w:rPr/>
        <w:t>5、无重大违法记录声明：近3年内在经营活动中没有重大违法记录的书面声明；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投标全过程，其中法定代表人直接参加投标的，须出具法定代表人身份证，并与营业执照上信息一致。法定代表人授权代表参加开标的，须出具法定代表人授权书及授权代表身份证。（其他组织或自然人参照执行）；</w:t>
      </w:r>
    </w:p>
    <w:p>
      <w:pPr>
        <w:pStyle w:val="null3"/>
      </w:pPr>
      <w:r>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pPr>
        <w:pStyle w:val="null3"/>
      </w:pPr>
      <w:r>
        <w:rPr/>
        <w:t>9、关联关系：单位负责人为同一人或者存在直接控股、管理关系的不同供应商，不得参加同一合同项下的政府采购活动。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西安博物院</w:t>
      </w:r>
    </w:p>
    <w:p>
      <w:pPr>
        <w:pStyle w:val="null3"/>
      </w:pPr>
      <w:r>
        <w:rPr/>
        <w:t xml:space="preserve"> 地址： </w:t>
      </w:r>
      <w:r>
        <w:rPr/>
        <w:t>西安市碑林区友谊西路72号</w:t>
      </w:r>
    </w:p>
    <w:p>
      <w:pPr>
        <w:pStyle w:val="null3"/>
      </w:pPr>
      <w:r>
        <w:rPr/>
        <w:t xml:space="preserve"> 邮编： </w:t>
      </w:r>
      <w:r>
        <w:rPr/>
        <w:t>/</w:t>
      </w:r>
    </w:p>
    <w:p>
      <w:pPr>
        <w:pStyle w:val="null3"/>
      </w:pPr>
      <w:r>
        <w:rPr/>
        <w:t xml:space="preserve"> 联系人： </w:t>
      </w:r>
      <w:r>
        <w:rPr/>
        <w:t>段老师</w:t>
      </w:r>
    </w:p>
    <w:p>
      <w:pPr>
        <w:pStyle w:val="null3"/>
      </w:pPr>
      <w:r>
        <w:rPr/>
        <w:t xml:space="preserve"> 联系电话： </w:t>
      </w:r>
      <w:r>
        <w:rPr/>
        <w:t>029-87889170</w:t>
      </w:r>
    </w:p>
    <w:p>
      <w:pPr>
        <w:pStyle w:val="null3"/>
        <w:outlineLvl w:val="2"/>
      </w:pPr>
      <w:r>
        <w:rPr>
          <w:sz w:val="28"/>
          <w:b/>
        </w:rPr>
        <w:t>代理机构：</w:t>
      </w:r>
      <w:r>
        <w:rPr>
          <w:sz w:val="28"/>
          <w:b/>
        </w:rPr>
        <w:t>华晟国际项目管理有限公司</w:t>
      </w:r>
    </w:p>
    <w:p>
      <w:pPr>
        <w:pStyle w:val="null3"/>
      </w:pPr>
      <w:r>
        <w:rPr/>
        <w:t xml:space="preserve"> 地址： </w:t>
      </w:r>
      <w:r>
        <w:rPr/>
        <w:t>西安市高新路88号尚品国际B幢25层</w:t>
      </w:r>
    </w:p>
    <w:p>
      <w:pPr>
        <w:pStyle w:val="null3"/>
      </w:pPr>
      <w:r>
        <w:rPr/>
        <w:t xml:space="preserve"> 邮编： </w:t>
      </w:r>
      <w:r>
        <w:rPr/>
        <w:t>/</w:t>
      </w:r>
    </w:p>
    <w:p>
      <w:pPr>
        <w:pStyle w:val="null3"/>
      </w:pPr>
      <w:r>
        <w:rPr/>
        <w:t xml:space="preserve"> 联系人： </w:t>
      </w:r>
      <w:r>
        <w:rPr/>
        <w:t>屈晨、杨帆、贾娜娜</w:t>
      </w:r>
    </w:p>
    <w:p>
      <w:pPr>
        <w:pStyle w:val="null3"/>
      </w:pPr>
      <w:r>
        <w:rPr/>
        <w:t xml:space="preserve"> 联系电话： </w:t>
      </w:r>
      <w:r>
        <w:rPr/>
        <w:t>029-81779899转8009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发改办价格[2003]857号）、发改价格[2011]534号按标准计取。银行户名：华晟国际项目管理有限公司 开户银行：建设银行西安劳动路支行 账 号：610501 740015 00000 427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西安博物院</w:t>
      </w:r>
      <w:r>
        <w:rPr/>
        <w:t>和</w:t>
      </w:r>
      <w:r>
        <w:rPr/>
        <w:t>华晟国际项目管理有限公司</w:t>
      </w:r>
      <w:r>
        <w:rPr/>
        <w:t>享有。对招标文件中供应商参加本次政府采购活动应当具备的条件，招标项目技术、服务、商务及其他要求，评标细则及标准由</w:t>
      </w:r>
      <w:r>
        <w:rPr/>
        <w:t>西安博物院</w:t>
      </w:r>
      <w:r>
        <w:rPr/>
        <w:t>负责解释。除上述招标文件内容，其他内容由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西安博物院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联系人：屈晨、杨帆、贾娜娜</w:t>
      </w:r>
    </w:p>
    <w:p>
      <w:pPr>
        <w:pStyle w:val="null3"/>
      </w:pPr>
      <w:r>
        <w:rPr/>
        <w:t>联系电话：029-81779899转8009</w:t>
      </w:r>
    </w:p>
    <w:p>
      <w:pPr>
        <w:pStyle w:val="null3"/>
      </w:pPr>
      <w:r>
        <w:rPr/>
        <w:t>地址：西安市高新路88号尚品国际B幢25层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西安博物院安检机、安检门采购项目，具体内容详见第三章。</w:t>
      </w:r>
    </w:p>
    <w:p>
      <w:pPr>
        <w:pStyle w:val="null3"/>
        <w:outlineLvl w:val="2"/>
      </w:pPr>
      <w:r>
        <w:rPr>
          <w:sz w:val="28"/>
          <w:b/>
        </w:rPr>
        <w:t>3.2采购内容</w:t>
      </w:r>
    </w:p>
    <w:p>
      <w:pPr>
        <w:pStyle w:val="null3"/>
      </w:pPr>
      <w:r>
        <w:rPr/>
        <w:t>采购包1：</w:t>
      </w:r>
    </w:p>
    <w:p>
      <w:pPr>
        <w:pStyle w:val="null3"/>
      </w:pPr>
      <w:r>
        <w:rPr/>
        <w:t>采购包预算金额（元）: 720,000.00</w:t>
      </w:r>
    </w:p>
    <w:p>
      <w:pPr>
        <w:pStyle w:val="null3"/>
      </w:pPr>
      <w:r>
        <w:rPr/>
        <w:t>采购包最高限价（元）: 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安检机和安检门</w:t>
            </w:r>
          </w:p>
        </w:tc>
        <w:tc>
          <w:tcPr>
            <w:tcW w:type="dxa" w:w="831"/>
          </w:tcPr>
          <w:p>
            <w:pPr>
              <w:pStyle w:val="null3"/>
              <w:jc w:val="right"/>
            </w:pPr>
            <w:r>
              <w:rPr/>
              <w:t>1.00</w:t>
            </w:r>
          </w:p>
        </w:tc>
        <w:tc>
          <w:tcPr>
            <w:tcW w:type="dxa" w:w="831"/>
          </w:tcPr>
          <w:p>
            <w:pPr>
              <w:pStyle w:val="null3"/>
              <w:jc w:val="right"/>
            </w:pPr>
            <w:r>
              <w:rPr/>
              <w:t>720,000.00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标的名称：安检机和安检门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rPr>
              <w:t>（一）、</w:t>
            </w:r>
            <w:r>
              <w:rPr>
                <w:rFonts w:ascii="宋体" w:hAnsi="宋体" w:cs="宋体" w:eastAsia="宋体"/>
                <w:sz w:val="24"/>
                <w:b/>
              </w:rPr>
              <w:t>X光安全检查设备</w:t>
            </w:r>
            <w:r>
              <w:rPr>
                <w:rFonts w:ascii="宋体" w:hAnsi="宋体" w:cs="宋体" w:eastAsia="宋体"/>
                <w:sz w:val="24"/>
                <w:b/>
              </w:rPr>
              <w:t xml:space="preserve">(核心产品） </w:t>
            </w:r>
            <w:r>
              <w:rPr>
                <w:rFonts w:ascii="宋体" w:hAnsi="宋体" w:cs="宋体" w:eastAsia="宋体"/>
                <w:sz w:val="24"/>
                <w:b/>
              </w:rPr>
              <w:t xml:space="preserve">   数量：2台</w:t>
            </w:r>
          </w:p>
          <w:p>
            <w:pPr>
              <w:pStyle w:val="null3"/>
              <w:ind w:firstLine="482"/>
              <w:jc w:val="left"/>
            </w:pPr>
            <w:r>
              <w:rPr>
                <w:rFonts w:ascii="宋体" w:hAnsi="宋体" w:cs="宋体" w:eastAsia="宋体"/>
                <w:sz w:val="24"/>
                <w:b/>
              </w:rPr>
              <w:t>1、设备基本技术要求</w:t>
            </w:r>
          </w:p>
          <w:p>
            <w:pPr>
              <w:pStyle w:val="null3"/>
              <w:ind w:firstLine="480"/>
              <w:jc w:val="both"/>
            </w:pPr>
            <w:r>
              <w:rPr>
                <w:rFonts w:ascii="宋体" w:hAnsi="宋体" w:cs="宋体" w:eastAsia="宋体"/>
                <w:sz w:val="24"/>
              </w:rPr>
              <w:t>1.1通道尺寸，宽度655毫米，高度505毫米。</w:t>
            </w:r>
          </w:p>
          <w:p>
            <w:pPr>
              <w:pStyle w:val="null3"/>
              <w:ind w:firstLine="240"/>
              <w:jc w:val="both"/>
            </w:pPr>
            <w:r>
              <w:rPr>
                <w:rFonts w:ascii="宋体" w:hAnsi="宋体" w:cs="宋体" w:eastAsia="宋体"/>
                <w:sz w:val="24"/>
                <w:color w:val="000000"/>
              </w:rPr>
              <w:t>▲</w:t>
            </w:r>
            <w:r>
              <w:rPr>
                <w:rFonts w:ascii="宋体" w:hAnsi="宋体" w:cs="宋体" w:eastAsia="宋体"/>
                <w:sz w:val="24"/>
              </w:rPr>
              <w:t>1.2安检机操作台同时具备一体化设计，要求安检机为整体设计，不需要单独操作台，配备一体式操作台，方便安检人员操作和减少占地空间。</w:t>
            </w:r>
          </w:p>
          <w:p>
            <w:pPr>
              <w:pStyle w:val="null3"/>
              <w:ind w:firstLine="482"/>
              <w:jc w:val="both"/>
            </w:pPr>
            <w:r>
              <w:rPr>
                <w:rFonts w:ascii="宋体" w:hAnsi="宋体" w:cs="宋体" w:eastAsia="宋体"/>
                <w:sz w:val="24"/>
                <w:b/>
              </w:rPr>
              <w:t>2、性能与功能要求</w:t>
            </w:r>
          </w:p>
          <w:p>
            <w:pPr>
              <w:pStyle w:val="null3"/>
              <w:ind w:firstLine="480"/>
              <w:jc w:val="both"/>
            </w:pPr>
            <w:r>
              <w:rPr>
                <w:rFonts w:ascii="宋体" w:hAnsi="宋体" w:cs="宋体" w:eastAsia="宋体"/>
                <w:sz w:val="24"/>
              </w:rPr>
              <w:t>2.1图像质量</w:t>
            </w:r>
          </w:p>
          <w:p>
            <w:pPr>
              <w:pStyle w:val="null3"/>
              <w:ind w:firstLine="720"/>
              <w:jc w:val="both"/>
            </w:pPr>
            <w:r>
              <w:rPr>
                <w:rFonts w:ascii="宋体" w:hAnsi="宋体" w:cs="宋体" w:eastAsia="宋体"/>
                <w:sz w:val="24"/>
              </w:rPr>
              <w:t>2.1.1线分辨力:≦直径为0.0787mm铜丝</w:t>
            </w:r>
          </w:p>
          <w:p>
            <w:pPr>
              <w:pStyle w:val="null3"/>
              <w:ind w:firstLine="480"/>
              <w:jc w:val="both"/>
            </w:pPr>
            <w:r>
              <w:rPr>
                <w:rFonts w:ascii="宋体" w:hAnsi="宋体" w:cs="宋体" w:eastAsia="宋体"/>
                <w:sz w:val="24"/>
              </w:rPr>
              <w:t>▲2.1.2穿透力：不低于48毫米钢板。</w:t>
            </w:r>
          </w:p>
          <w:p>
            <w:pPr>
              <w:pStyle w:val="null3"/>
              <w:ind w:firstLine="720"/>
              <w:jc w:val="both"/>
            </w:pPr>
            <w:r>
              <w:rPr>
                <w:rFonts w:ascii="宋体" w:hAnsi="宋体" w:cs="宋体" w:eastAsia="宋体"/>
                <w:sz w:val="24"/>
              </w:rPr>
              <w:t>2.1.3 穿透分辨力：水平视角≥（AWG36）单根实芯铜线； 垂直视角≥（AWG36）单根实芯铜线。</w:t>
            </w:r>
          </w:p>
          <w:p>
            <w:pPr>
              <w:pStyle w:val="null3"/>
              <w:ind w:firstLine="720"/>
              <w:jc w:val="both"/>
            </w:pPr>
            <w:r>
              <w:rPr>
                <w:rFonts w:ascii="宋体" w:hAnsi="宋体" w:cs="宋体" w:eastAsia="宋体"/>
                <w:sz w:val="24"/>
              </w:rPr>
              <w:t>2.1.4空间分辨率：水平视角≤0.8mm线对、垂直视角≤0.8mm线对。</w:t>
            </w:r>
          </w:p>
          <w:p>
            <w:pPr>
              <w:pStyle w:val="null3"/>
              <w:ind w:firstLine="720"/>
              <w:jc w:val="both"/>
            </w:pPr>
            <w:r>
              <w:rPr>
                <w:rFonts w:ascii="宋体" w:hAnsi="宋体" w:cs="宋体" w:eastAsia="宋体"/>
                <w:sz w:val="24"/>
              </w:rPr>
              <w:t>2.1.5图像显示具有垂直视角图像显示和水平视角图像显示功能，且分辨率不低于1280×1024。</w:t>
            </w:r>
          </w:p>
          <w:p>
            <w:pPr>
              <w:pStyle w:val="null3"/>
              <w:ind w:firstLine="480"/>
              <w:jc w:val="both"/>
            </w:pPr>
            <w:r>
              <w:rPr>
                <w:rFonts w:ascii="宋体" w:hAnsi="宋体" w:cs="宋体" w:eastAsia="宋体"/>
                <w:sz w:val="24"/>
              </w:rPr>
              <w:t>2.2 X射线发生器</w:t>
            </w:r>
          </w:p>
          <w:p>
            <w:pPr>
              <w:pStyle w:val="null3"/>
              <w:ind w:firstLine="480"/>
              <w:jc w:val="both"/>
            </w:pPr>
            <w:r>
              <w:rPr>
                <w:rFonts w:ascii="宋体" w:hAnsi="宋体" w:cs="宋体" w:eastAsia="宋体"/>
                <w:sz w:val="24"/>
              </w:rPr>
              <w:t>2.2.1照射束发射方向：底照式及侧照式（双源双视角）。</w:t>
            </w:r>
          </w:p>
          <w:p>
            <w:pPr>
              <w:pStyle w:val="null3"/>
              <w:ind w:firstLine="240"/>
              <w:jc w:val="both"/>
            </w:pPr>
            <w:r>
              <w:rPr>
                <w:rFonts w:ascii="宋体" w:hAnsi="宋体" w:cs="宋体" w:eastAsia="宋体"/>
                <w:sz w:val="24"/>
              </w:rPr>
              <w:t>▲2.2.2图像自动保存检验，可存储至少1000000幅图像；保存图像应包含图像生成时间、操机员ID、设备识别号等信息；当图像数据量达到设定的存储数量限值时，系统应能够自动删除起始数据。</w:t>
            </w:r>
          </w:p>
          <w:p>
            <w:pPr>
              <w:pStyle w:val="null3"/>
              <w:ind w:firstLine="480"/>
              <w:jc w:val="both"/>
            </w:pPr>
            <w:r>
              <w:rPr>
                <w:rFonts w:ascii="宋体" w:hAnsi="宋体" w:cs="宋体" w:eastAsia="宋体"/>
                <w:sz w:val="24"/>
              </w:rPr>
              <w:t>2.4.行李计数</w:t>
            </w:r>
          </w:p>
          <w:p>
            <w:pPr>
              <w:pStyle w:val="null3"/>
              <w:ind w:firstLine="480"/>
              <w:jc w:val="both"/>
            </w:pPr>
            <w:r>
              <w:rPr>
                <w:rFonts w:ascii="宋体" w:hAnsi="宋体" w:cs="宋体" w:eastAsia="宋体"/>
                <w:sz w:val="24"/>
              </w:rPr>
              <w:t>2.4.1行李累计计数，记录设备投入使用后被检行李物品累计计数，应不能够被清零复位；行李可清零计数，记录一段时间范围内被检行李物品计数，应能够手动清零复位或在系统启动后自动清零复位。</w:t>
            </w:r>
          </w:p>
          <w:p>
            <w:pPr>
              <w:pStyle w:val="null3"/>
              <w:ind w:firstLine="480"/>
              <w:jc w:val="both"/>
            </w:pPr>
            <w:r>
              <w:rPr>
                <w:rFonts w:ascii="宋体" w:hAnsi="宋体" w:cs="宋体" w:eastAsia="宋体"/>
                <w:sz w:val="24"/>
              </w:rPr>
              <w:t>2.5图像存档管理</w:t>
            </w:r>
          </w:p>
          <w:p>
            <w:pPr>
              <w:pStyle w:val="null3"/>
              <w:ind w:firstLine="480"/>
              <w:jc w:val="both"/>
            </w:pPr>
            <w:r>
              <w:rPr>
                <w:rFonts w:ascii="宋体" w:hAnsi="宋体" w:cs="宋体" w:eastAsia="宋体"/>
                <w:sz w:val="24"/>
              </w:rPr>
              <w:t>2.5.1图像检索，设备应能够根据图像扫描时间、操作人员ID、图像保存方式等条件组合检索图像；图像格式转化，设备应能够将图像转化为BMP、JPG、GIF等通用图像格式；</w:t>
            </w:r>
          </w:p>
          <w:p>
            <w:pPr>
              <w:pStyle w:val="null3"/>
              <w:ind w:firstLine="480"/>
              <w:jc w:val="both"/>
            </w:pPr>
            <w:r>
              <w:rPr>
                <w:rFonts w:ascii="宋体" w:hAnsi="宋体" w:cs="宋体" w:eastAsia="宋体"/>
                <w:sz w:val="24"/>
              </w:rPr>
              <w:t>2.6功能要求</w:t>
            </w:r>
          </w:p>
          <w:p>
            <w:pPr>
              <w:pStyle w:val="null3"/>
              <w:ind w:firstLine="240"/>
              <w:jc w:val="both"/>
            </w:pPr>
            <w:r>
              <w:rPr>
                <w:rFonts w:ascii="宋体" w:hAnsi="宋体" w:cs="宋体" w:eastAsia="宋体"/>
                <w:sz w:val="24"/>
              </w:rPr>
              <w:t>▲2.6.1检测速度可调功能检查：设备应可实现皮带速度0.2m/s—0.8m/s可调，并可完整出图；支持通过率大于2800个/h。</w:t>
            </w:r>
          </w:p>
          <w:p>
            <w:pPr>
              <w:pStyle w:val="null3"/>
              <w:ind w:firstLine="480"/>
              <w:jc w:val="both"/>
            </w:pPr>
            <w:r>
              <w:rPr>
                <w:rFonts w:ascii="宋体" w:hAnsi="宋体" w:cs="宋体" w:eastAsia="宋体"/>
                <w:sz w:val="24"/>
              </w:rPr>
              <w:t>2.6.2触摸板式鼠标操作检查：设备应可通过操作键盘板上的触控板进行鼠标操作；数据报表功能检查：安检机工作状态，异常情况，用户登录情况，考核情况等应都可以通过Excel表格导出。</w:t>
            </w:r>
          </w:p>
          <w:p>
            <w:pPr>
              <w:pStyle w:val="null3"/>
              <w:ind w:firstLine="480"/>
              <w:jc w:val="both"/>
            </w:pPr>
            <w:r>
              <w:rPr>
                <w:rFonts w:ascii="宋体" w:hAnsi="宋体" w:cs="宋体" w:eastAsia="宋体"/>
                <w:sz w:val="24"/>
              </w:rPr>
              <w:t>2.6.3图像导出及打印功能检查：设备应可使用外投U盘导出安检图像，并可对导出图像进行处理：应可外接打印机，打印图像。分屏监控功能：设备可</w:t>
            </w:r>
            <w:r>
              <w:rPr>
                <w:rFonts w:ascii="宋体" w:hAnsi="宋体" w:cs="宋体" w:eastAsia="宋体"/>
                <w:sz w:val="24"/>
                <w:color w:val="000000"/>
              </w:rPr>
              <w:t>通过增加配件的方</w:t>
            </w:r>
            <w:r>
              <w:rPr>
                <w:rFonts w:ascii="宋体" w:hAnsi="宋体" w:cs="宋体" w:eastAsia="宋体"/>
                <w:sz w:val="24"/>
              </w:rPr>
              <w:t>式实现远程多屏显示并画面可控。正反转出图功能：设备正转方向及反转方向均可完整出图，进行物品检查。</w:t>
            </w:r>
          </w:p>
          <w:p>
            <w:pPr>
              <w:pStyle w:val="null3"/>
              <w:ind w:firstLine="240"/>
              <w:jc w:val="both"/>
            </w:pPr>
            <w:r>
              <w:rPr>
                <w:rFonts w:ascii="宋体" w:hAnsi="宋体" w:cs="宋体" w:eastAsia="宋体"/>
                <w:sz w:val="24"/>
              </w:rPr>
              <w:t>▲2.6.4独立操作台功能检查：设备应可增加独立操作台配件，增配的独立操作台上的操作键盘和显示器应可替换操作台进行安检机设备的键盘操作控制和图像显示。</w:t>
            </w:r>
          </w:p>
          <w:p>
            <w:pPr>
              <w:pStyle w:val="null3"/>
              <w:ind w:firstLine="482"/>
              <w:jc w:val="both"/>
            </w:pPr>
            <w:r>
              <w:rPr>
                <w:rFonts w:ascii="宋体" w:hAnsi="宋体" w:cs="宋体" w:eastAsia="宋体"/>
                <w:sz w:val="24"/>
                <w:b/>
              </w:rPr>
              <w:t>3、辐射安全</w:t>
            </w:r>
          </w:p>
          <w:p>
            <w:pPr>
              <w:pStyle w:val="null3"/>
              <w:ind w:firstLine="480"/>
              <w:jc w:val="both"/>
            </w:pPr>
            <w:r>
              <w:rPr>
                <w:rFonts w:ascii="宋体" w:hAnsi="宋体" w:cs="宋体" w:eastAsia="宋体"/>
                <w:sz w:val="24"/>
              </w:rPr>
              <w:t>▲3.1最大周围泄露剂量率（封闭式设备在距设备任何可达表面0.1米处）≦0.01微希沃特/小时。单次检查剂量＜1.4微希沃特，符合ASA/ISO1600标准胶卷安全。</w:t>
            </w:r>
          </w:p>
          <w:p>
            <w:pPr>
              <w:pStyle w:val="null3"/>
              <w:ind w:firstLine="482"/>
              <w:jc w:val="both"/>
            </w:pPr>
            <w:r>
              <w:rPr>
                <w:rFonts w:ascii="宋体" w:hAnsi="宋体" w:cs="宋体" w:eastAsia="宋体"/>
                <w:sz w:val="24"/>
                <w:b/>
              </w:rPr>
              <w:t>4.安装运行条件要求</w:t>
            </w:r>
          </w:p>
          <w:p>
            <w:pPr>
              <w:pStyle w:val="null3"/>
              <w:ind w:firstLine="480"/>
              <w:jc w:val="both"/>
            </w:pPr>
            <w:r>
              <w:rPr>
                <w:rFonts w:ascii="宋体" w:hAnsi="宋体" w:cs="宋体" w:eastAsia="宋体"/>
                <w:sz w:val="24"/>
              </w:rPr>
              <w:t>▲4.1泄漏电流≦0.05mA；设备噪音：≦51.1dB(A)</w:t>
            </w:r>
          </w:p>
          <w:p>
            <w:pPr>
              <w:pStyle w:val="null3"/>
              <w:ind w:firstLine="480"/>
              <w:jc w:val="both"/>
            </w:pPr>
            <w:r>
              <w:rPr>
                <w:rFonts w:ascii="宋体" w:hAnsi="宋体" w:cs="宋体" w:eastAsia="宋体"/>
                <w:sz w:val="24"/>
              </w:rPr>
              <w:t>5安检识别系统</w:t>
            </w:r>
          </w:p>
          <w:p>
            <w:pPr>
              <w:pStyle w:val="null3"/>
              <w:ind w:firstLine="480"/>
              <w:jc w:val="both"/>
            </w:pPr>
            <w:r>
              <w:rPr>
                <w:rFonts w:ascii="宋体" w:hAnsi="宋体" w:cs="宋体" w:eastAsia="宋体"/>
                <w:sz w:val="24"/>
              </w:rPr>
              <w:t>▲5.1违禁品报警系统可通过TCP/IP方式连接安检机设备。安检机应能对图像进行分析识别。当以下违禁品物品通过时，应能以方框和文字进行标识，并有声光报警提示。1、刀具类；2、枪形物；3、雨伞；4、棍形物；5、鞭炮、烟花；笔记本电脑、手机、充电宝等小电子产品以及手铐、甩棍、电击器、弹弓、剪刀、打火机等特定管制物品。6、液体报警功能提示系统可通过TCP/IP方式连接安检机设备。安检机应能对图像进行分析识别。当以下物品装有液体通行时，应能以方框和文字“液体容器”进行标识，并有声光报警提示，可检物品包装：玻璃瓶、陶瓷瓶、铝罐、塑料罐、金属瓶、保温杯。</w:t>
            </w:r>
          </w:p>
          <w:p>
            <w:pPr>
              <w:pStyle w:val="null3"/>
              <w:jc w:val="both"/>
            </w:pPr>
            <w:r>
              <w:rPr>
                <w:rFonts w:ascii="宋体" w:hAnsi="宋体" w:cs="宋体" w:eastAsia="宋体"/>
                <w:sz w:val="24"/>
                <w:b/>
              </w:rPr>
              <w:t>（二）、安全检查金属探测门</w:t>
            </w:r>
            <w:r>
              <w:rPr>
                <w:rFonts w:ascii="宋体" w:hAnsi="宋体" w:cs="宋体" w:eastAsia="宋体"/>
                <w:sz w:val="24"/>
                <w:b/>
              </w:rPr>
              <w:t xml:space="preserve">    </w:t>
            </w:r>
            <w:r>
              <w:rPr>
                <w:rFonts w:ascii="宋体" w:hAnsi="宋体" w:cs="宋体" w:eastAsia="宋体"/>
                <w:sz w:val="24"/>
                <w:b/>
              </w:rPr>
              <w:t>数量：</w:t>
            </w:r>
            <w:r>
              <w:rPr>
                <w:rFonts w:ascii="宋体" w:hAnsi="宋体" w:cs="宋体" w:eastAsia="宋体"/>
                <w:sz w:val="24"/>
                <w:b/>
              </w:rPr>
              <w:t>4台</w:t>
            </w:r>
          </w:p>
          <w:tbl>
            <w:tblPr>
              <w:tblBorders>
                <w:top w:val="none" w:color="000000" w:sz="4"/>
                <w:left w:val="none" w:color="000000" w:sz="4"/>
                <w:bottom w:val="none" w:color="000000" w:sz="4"/>
                <w:right w:val="none" w:color="000000" w:sz="4"/>
                <w:insideH w:val="none"/>
                <w:insideV w:val="none"/>
              </w:tblBorders>
            </w:tblPr>
            <w:tblGrid>
              <w:gridCol w:w="263"/>
              <w:gridCol w:w="2284"/>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2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技术要求</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通道尺寸：</w:t>
                  </w:r>
                  <w:r>
                    <w:rPr>
                      <w:rFonts w:ascii="宋体" w:hAnsi="宋体" w:cs="宋体" w:eastAsia="宋体"/>
                      <w:sz w:val="24"/>
                    </w:rPr>
                    <w:t>≥1990(高) x 700(宽) x 500(深)</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▲功耗检测：≤9.0W</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重量：</w:t>
                  </w:r>
                  <w:r>
                    <w:rPr>
                      <w:rFonts w:ascii="宋体" w:hAnsi="宋体" w:cs="宋体" w:eastAsia="宋体"/>
                      <w:sz w:val="24"/>
                    </w:rPr>
                    <w:t>≤65Kg，便于移动</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量显示及设备功能：设备应配置7寸显示屏，应能显示电源状态。设备应配备内置锂电池，当使用市电供电时，应能自动对电池充电，当市电断电时，系统应能自动切换到备用电池。当使用30A锂电池时，应能维持系统工作40小时，应有低电压欠压告警功能。</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外壳防护等级：</w:t>
                  </w:r>
                  <w:r>
                    <w:rPr>
                      <w:rFonts w:ascii="宋体" w:hAnsi="宋体" w:cs="宋体" w:eastAsia="宋体"/>
                      <w:sz w:val="24"/>
                    </w:rPr>
                    <w:t>≥IP53</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▲全金属显示功能：系统显示屏上应能以条状图形来显示通过系统的金属量。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▲黑色金属和有色金属探测模式：设备应可在有色或黑色金属探测模式间切换。</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▲抗互相干扰功能：设备应能根据环境在开机时自动设置工作频率：2台门并排靠拢工作相距5厘米时，2台门应能独立正常工作，互不干扰。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对人体无害：对心脏起博器佩带者、孕妇、磁性介质等无害。</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结构布局检查：设有总电源开关，以便能切断和接通全部电源；设有操作面板，以方便控制和操作；在人走进通道的一面设有是否允许通行的显示装置；设有报警信息指示装置；提供安全的连接，电源插头不应该暴露，避免无意的断开电源线；便于装配、运输和维修</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w:t>
                  </w:r>
                </w:p>
              </w:tc>
              <w:tc>
                <w:tcPr>
                  <w:tcW w:type="dxa" w:w="2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人行通道尺寸：高度应大于等于</w:t>
                  </w:r>
                  <w:r>
                    <w:rPr>
                      <w:rFonts w:ascii="宋体" w:hAnsi="宋体" w:cs="宋体" w:eastAsia="宋体"/>
                      <w:sz w:val="24"/>
                    </w:rPr>
                    <w:t>1980mm；宽度应大于等于710mm；深度应小于等于910mm</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合同签订后30天交付</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合同签订后，乙方应开具增值税发票</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交付并验收合格后</w:t>
      </w:r>
      <w:r>
        <w:rPr/>
        <w:t xml:space="preserve"> ，达到付款条件起 </w:t>
      </w:r>
      <w:r>
        <w:rPr/>
        <w:t>7</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详见合同。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质保期：验收合格之日起三年</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4资质证明文件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4资质证明文件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财务状况报告：提供2022年度或2023年度的财务审计报告或开标前六个月内其基本存款账户开户银行出具的资信证明（附开户许可证或开户备案证明或基本账户信息）；</w:t>
            </w:r>
          </w:p>
        </w:tc>
        <w:tc>
          <w:tcPr>
            <w:tcW w:type="dxa" w:w="1661"/>
          </w:tcPr>
          <w:p>
            <w:pPr>
              <w:pStyle w:val="null3"/>
            </w:pPr>
            <w:r>
              <w:rPr/>
              <w:t>4资质证明文件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提供2023年7月1日至今已缴存的至少一个月的社会保障资金缴存单据或社保机构开具的社会保险参保缴费情况证明，依法不需要缴纳社会保障资金的单位应提供相关证明材料；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4资质证明文件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提供2023年7月1日至今已缴存的至少一个月的纳税证明或完税证明，依法免税的单位应提供相关证明材料；</w:t>
            </w:r>
          </w:p>
        </w:tc>
        <w:tc>
          <w:tcPr>
            <w:tcW w:type="dxa" w:w="1661"/>
          </w:tcPr>
          <w:p>
            <w:pPr>
              <w:pStyle w:val="null3"/>
            </w:pPr>
            <w:r>
              <w:rPr/>
              <w:t>4资质证明文件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4资质证明文件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4资质证明文件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开标的，须出具法定代表人授权书及授权代表身份证。（其他组织或自然人参照执行）；</w:t>
            </w:r>
          </w:p>
        </w:tc>
        <w:tc>
          <w:tcPr>
            <w:tcW w:type="dxa" w:w="1661"/>
          </w:tcPr>
          <w:p>
            <w:pPr>
              <w:pStyle w:val="null3"/>
            </w:pPr>
            <w:r>
              <w:rPr/>
              <w:t>4资质证明文件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tc>
        <w:tc>
          <w:tcPr>
            <w:tcW w:type="dxa" w:w="1661"/>
          </w:tcPr>
          <w:p>
            <w:pPr>
              <w:pStyle w:val="null3"/>
            </w:pPr>
            <w:r>
              <w:rPr/>
              <w:t>4资质证明文件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4资质证明文件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投标内容未出现漏项或数量与要求不符，未出现重大负偏差</w:t>
            </w:r>
          </w:p>
        </w:tc>
        <w:tc>
          <w:tcPr>
            <w:tcW w:type="dxa" w:w="1661"/>
          </w:tcPr>
          <w:p>
            <w:pPr>
              <w:pStyle w:val="null3"/>
            </w:pPr>
            <w:r>
              <w:rPr/>
              <w:t>1分项报价表 3商务响应表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投标文件的签署、加盖公章有效</w:t>
            </w:r>
          </w:p>
        </w:tc>
        <w:tc>
          <w:tcPr>
            <w:tcW w:type="dxa" w:w="1661"/>
          </w:tcPr>
          <w:p>
            <w:pPr>
              <w:pStyle w:val="null3"/>
            </w:pPr>
            <w:r>
              <w:rPr/>
              <w:t>开标一览表 4资质证明文件 2技术参数响应表 中小企业声明函 6供应商拒绝政府采购领域商业贿赂承诺书 5技术方案 投标函 残疾人福利性单位声明函 1分项报价表 标的清单 投标文件封面 3商务响应表 监狱企业的证明文件</w:t>
            </w:r>
          </w:p>
        </w:tc>
      </w:tr>
      <w:tr>
        <w:tc>
          <w:tcPr>
            <w:tcW w:type="dxa" w:w="831"/>
          </w:tcPr>
          <w:p>
            <w:pPr>
              <w:pStyle w:val="null3"/>
            </w:pPr>
            <w:r>
              <w:rPr/>
              <w:t>3</w:t>
            </w:r>
          </w:p>
        </w:tc>
        <w:tc>
          <w:tcPr>
            <w:tcW w:type="dxa" w:w="2492"/>
          </w:tcPr>
          <w:p>
            <w:pPr>
              <w:pStyle w:val="null3"/>
            </w:pPr>
            <w:r>
              <w:rPr/>
              <w:t>投标文件有效期</w:t>
            </w:r>
          </w:p>
        </w:tc>
        <w:tc>
          <w:tcPr>
            <w:tcW w:type="dxa" w:w="3322"/>
          </w:tcPr>
          <w:p>
            <w:pPr>
              <w:pStyle w:val="null3"/>
            </w:pPr>
            <w:r>
              <w:rPr/>
              <w:t>投标文件有效期达到招标文件的要求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报价未超过招标文件中规定的采购预算或最高限价的</w:t>
            </w:r>
          </w:p>
        </w:tc>
        <w:tc>
          <w:tcPr>
            <w:tcW w:type="dxa" w:w="1661"/>
          </w:tcPr>
          <w:p>
            <w:pPr>
              <w:pStyle w:val="null3"/>
            </w:pPr>
            <w:r>
              <w:rPr/>
              <w:t>开标一览表 1分项报价表 标的清单</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t>开标一览表 1分项报价表 标的清单</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完全理解并接受法律法规和招标文件对供应商合法经营的各类规约和责任义务要求，未出现法律法规或招标文件规定的其他无效情形。</w:t>
            </w:r>
          </w:p>
        </w:tc>
        <w:tc>
          <w:tcPr>
            <w:tcW w:type="dxa" w:w="1661"/>
          </w:tcPr>
          <w:p>
            <w:pPr>
              <w:pStyle w:val="null3"/>
            </w:pPr>
            <w:r>
              <w:rPr/>
              <w:t>开标一览表 4资质证明文件 2技术参数响应表 中小企业声明函 6供应商拒绝政府采购领域商业贿赂承诺书 5技术方案 投标函 残疾人福利性单位声明函 1分项报价表 标的清单 投标文件封面 3商务响应表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各项技术参数的响应情况，由评委进行评审。带▲的技术参数完全满足招标文件要求得26分，每负偏离1项扣2分，扣完为止。（须提供符合国家标准的检测报告予以佐证）。一般技术参数完全满足招标文件要求的得14分，每负偏离1项扣1分，扣完为止。</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5技术方案</w:t>
            </w:r>
          </w:p>
        </w:tc>
      </w:tr>
      <w:tr>
        <w:tc>
          <w:tcPr>
            <w:tcW w:type="dxa" w:w="831"/>
            <w:vMerge/>
          </w:tcPr>
          <w:p/>
        </w:tc>
        <w:tc>
          <w:tcPr>
            <w:tcW w:type="dxa" w:w="1661"/>
          </w:tcPr>
          <w:p>
            <w:pPr>
              <w:pStyle w:val="null3"/>
            </w:pPr>
            <w:r>
              <w:rPr/>
              <w:t>质量保证措施</w:t>
            </w:r>
          </w:p>
        </w:tc>
        <w:tc>
          <w:tcPr>
            <w:tcW w:type="dxa" w:w="2492"/>
          </w:tcPr>
          <w:p>
            <w:pPr>
              <w:pStyle w:val="null3"/>
            </w:pPr>
            <w:r>
              <w:rPr/>
              <w:t>针对本项目提供详细完善的质量保证措施，保证措施详细完善、针对性强得且有相关质量证书得（4-7]分；保证措施基本完善、针对性一般得（2-4]分；保证措施不完善、针对性弱得（0-2]分，未提供不得分。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5技术方案</w:t>
            </w:r>
          </w:p>
        </w:tc>
      </w:tr>
      <w:tr>
        <w:tc>
          <w:tcPr>
            <w:tcW w:type="dxa" w:w="831"/>
            <w:vMerge/>
          </w:tcPr>
          <w:p/>
        </w:tc>
        <w:tc>
          <w:tcPr>
            <w:tcW w:type="dxa" w:w="1661"/>
          </w:tcPr>
          <w:p>
            <w:pPr>
              <w:pStyle w:val="null3"/>
            </w:pPr>
            <w:r>
              <w:rPr/>
              <w:t>安装、验收方案</w:t>
            </w:r>
          </w:p>
        </w:tc>
        <w:tc>
          <w:tcPr>
            <w:tcW w:type="dxa" w:w="2492"/>
          </w:tcPr>
          <w:p>
            <w:pPr>
              <w:pStyle w:val="null3"/>
            </w:pPr>
            <w:r>
              <w:rPr/>
              <w:t>针对本项目提供具体可行的安装、验收服务方案及保证按期交货。方案详细，可行性、针对性强及优于按期交货得（4-6]分；方案较详细，可行性、针对性较强，基本保证按期交货得（2-4]分；方案欠缺得（0-2]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5技术方案</w:t>
            </w:r>
          </w:p>
        </w:tc>
      </w:tr>
      <w:tr>
        <w:tc>
          <w:tcPr>
            <w:tcW w:type="dxa" w:w="831"/>
            <w:vMerge/>
          </w:tcPr>
          <w:p/>
        </w:tc>
        <w:tc>
          <w:tcPr>
            <w:tcW w:type="dxa" w:w="1661"/>
          </w:tcPr>
          <w:p>
            <w:pPr>
              <w:pStyle w:val="null3"/>
            </w:pPr>
            <w:r>
              <w:rPr/>
              <w:t>售后服务方案</w:t>
            </w:r>
          </w:p>
        </w:tc>
        <w:tc>
          <w:tcPr>
            <w:tcW w:type="dxa" w:w="2492"/>
          </w:tcPr>
          <w:p>
            <w:pPr>
              <w:pStyle w:val="null3"/>
            </w:pPr>
            <w:r>
              <w:rPr/>
              <w:t>针对本项目所投产品的售后服务措施，包括但不限于零配件及易损件储备、发生故障后的补救措施，配备有专业服务人员以及维修响应时间，措施完全满足要求且执行性强得（3-5]分；措施部分满足要求且执行性一般强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5技术方案</w:t>
            </w:r>
          </w:p>
        </w:tc>
      </w:tr>
      <w:tr>
        <w:tc>
          <w:tcPr>
            <w:tcW w:type="dxa" w:w="831"/>
            <w:vMerge/>
          </w:tcPr>
          <w:p/>
        </w:tc>
        <w:tc>
          <w:tcPr>
            <w:tcW w:type="dxa" w:w="1661"/>
          </w:tcPr>
          <w:p>
            <w:pPr>
              <w:pStyle w:val="null3"/>
            </w:pPr>
            <w:r>
              <w:rPr/>
              <w:t>培训方案</w:t>
            </w:r>
          </w:p>
        </w:tc>
        <w:tc>
          <w:tcPr>
            <w:tcW w:type="dxa" w:w="2492"/>
          </w:tcPr>
          <w:p>
            <w:pPr>
              <w:pStyle w:val="null3"/>
            </w:pPr>
            <w:r>
              <w:rPr/>
              <w:t>针对本项目设备提供专业技能培训内容： 1、操作培训：日常使用操作及简单的设备维护；2、技术培训：理论知识，考核试题及考核案例；方案完全满足要求且执行性强得（3-5]分；方案部分满足要求且执行性一般强得（0-3]分。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5技术方案</w:t>
            </w:r>
          </w:p>
        </w:tc>
      </w:tr>
      <w:tr>
        <w:tc>
          <w:tcPr>
            <w:tcW w:type="dxa" w:w="831"/>
            <w:vMerge/>
          </w:tcPr>
          <w:p/>
        </w:tc>
        <w:tc>
          <w:tcPr>
            <w:tcW w:type="dxa" w:w="1661"/>
          </w:tcPr>
          <w:p>
            <w:pPr>
              <w:pStyle w:val="null3"/>
            </w:pPr>
            <w:r>
              <w:rPr/>
              <w:t>来源渠道</w:t>
            </w:r>
          </w:p>
        </w:tc>
        <w:tc>
          <w:tcPr>
            <w:tcW w:type="dxa" w:w="2492"/>
          </w:tcPr>
          <w:p>
            <w:pPr>
              <w:pStyle w:val="null3"/>
            </w:pPr>
            <w:r>
              <w:rPr/>
              <w:t>所投产品货源渠道正规，确保产品无假货、水货、翻新货且无产权纠纷，投标人需提供主要产品来源渠道证明文件,（包括但不限于销售协议或代理协议或原厂授权等）复印或扫描件并加盖公章，完全满足要求且资料齐全的得（2-4]分；基本满足要求且资料基本齐全的得（0-2]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5技术方案</w:t>
            </w:r>
          </w:p>
        </w:tc>
      </w:tr>
      <w:tr>
        <w:tc>
          <w:tcPr>
            <w:tcW w:type="dxa" w:w="831"/>
            <w:vMerge/>
          </w:tcPr>
          <w:p/>
        </w:tc>
        <w:tc>
          <w:tcPr>
            <w:tcW w:type="dxa" w:w="1661"/>
          </w:tcPr>
          <w:p>
            <w:pPr>
              <w:pStyle w:val="null3"/>
            </w:pPr>
            <w:r>
              <w:rPr/>
              <w:t>类似业绩</w:t>
            </w:r>
          </w:p>
        </w:tc>
        <w:tc>
          <w:tcPr>
            <w:tcW w:type="dxa" w:w="2492"/>
          </w:tcPr>
          <w:p>
            <w:pPr>
              <w:pStyle w:val="null3"/>
            </w:pPr>
            <w:r>
              <w:rPr/>
              <w:t>提供2021年1月至今类似项目业绩合同（以合同签订时间为准），每提供1份计1分，满分3分。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5技术方案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经资格审查、符合性审查合格的投标文件，其投标报价为有效投标报价,满足招标文件要求且投标报价最低的为评标基准价，其价格分为满分。价格分按照下列公式计算。 报价得分=（评标基准价/有效报价）×价格权重（30%）×100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1分项报价表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详见附件：1分项报价表</w:t>
      </w:r>
    </w:p>
    <w:p>
      <w:pPr>
        <w:pStyle w:val="null3"/>
        <w:ind w:firstLine="960"/>
      </w:pPr>
      <w:r>
        <w:rPr/>
        <w:t>详见附件：2技术参数响应表</w:t>
      </w:r>
    </w:p>
    <w:p>
      <w:pPr>
        <w:pStyle w:val="null3"/>
        <w:ind w:firstLine="960"/>
      </w:pPr>
      <w:r>
        <w:rPr/>
        <w:t>详见附件：3商务响应表</w:t>
      </w:r>
    </w:p>
    <w:p>
      <w:pPr>
        <w:pStyle w:val="null3"/>
        <w:ind w:firstLine="960"/>
      </w:pPr>
      <w:r>
        <w:rPr/>
        <w:t>详见附件：4资质证明文件</w:t>
      </w:r>
    </w:p>
    <w:p>
      <w:pPr>
        <w:pStyle w:val="null3"/>
        <w:ind w:firstLine="960"/>
      </w:pPr>
      <w:r>
        <w:rPr/>
        <w:t>详见附件：5技术方案</w:t>
      </w:r>
    </w:p>
    <w:p>
      <w:pPr>
        <w:pStyle w:val="null3"/>
        <w:ind w:firstLine="960"/>
      </w:pPr>
      <w:r>
        <w:rPr/>
        <w:t>详见附件：6供应商拒绝政府采购领域商业贿赂承诺书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