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信息化运行维护——网络安全运行维护项目</w:t>
      </w:r>
    </w:p>
    <w:p>
      <w:pPr>
        <w:pStyle w:val="null3"/>
        <w:jc w:val="center"/>
        <w:outlineLvl w:val="2"/>
      </w:pPr>
      <w:r>
        <w:rPr>
          <w:sz w:val="28"/>
          <w:b/>
        </w:rPr>
        <w:t>采购项目编号：</w:t>
      </w:r>
      <w:r>
        <w:rPr>
          <w:sz w:val="28"/>
          <w:b/>
        </w:rPr>
        <w:t>ZY2024-ZB-CS1083</w:t>
      </w:r>
      <w:r>
        <w:br/>
      </w:r>
      <w:r>
        <w:br/>
      </w:r>
      <w:r>
        <w:br/>
      </w:r>
    </w:p>
    <w:p>
      <w:pPr>
        <w:pStyle w:val="null3"/>
        <w:jc w:val="center"/>
        <w:outlineLvl w:val="2"/>
      </w:pPr>
      <w:r>
        <w:rPr>
          <w:sz w:val="28"/>
          <w:b/>
        </w:rPr>
        <w:t>西安市交通运输综合执法支队</w:t>
      </w:r>
    </w:p>
    <w:p>
      <w:pPr>
        <w:pStyle w:val="null3"/>
        <w:jc w:val="center"/>
        <w:outlineLvl w:val="2"/>
      </w:pPr>
      <w:r>
        <w:rPr>
          <w:sz w:val="28"/>
          <w:b/>
        </w:rPr>
        <w:t>陕西正翼项目管理咨询有限公司</w:t>
      </w:r>
      <w:r>
        <w:rPr>
          <w:sz w:val="28"/>
          <w:b/>
        </w:rPr>
        <w:t>共同编制</w:t>
      </w:r>
    </w:p>
    <w:p>
      <w:pPr>
        <w:pStyle w:val="null3"/>
        <w:jc w:val="center"/>
        <w:outlineLvl w:val="2"/>
      </w:pPr>
      <w:r>
        <w:rPr>
          <w:sz w:val="28"/>
          <w:b/>
        </w:rPr>
        <w:t>2024年07月04日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陕西正翼项目管理咨询有限公司</w:t>
      </w:r>
      <w:r>
        <w:rPr/>
        <w:t>（以下简称“代理机构”）受</w:t>
      </w:r>
      <w:r>
        <w:rPr/>
        <w:t>西安市交通运输综合执法支队</w:t>
      </w:r>
      <w:r>
        <w:rPr/>
        <w:t>委托，拟对</w:t>
      </w:r>
      <w:r>
        <w:rPr/>
        <w:t>信息化运行维护——网络安全运行维护项目</w:t>
      </w:r>
      <w:r>
        <w:rPr/>
        <w:t>采用竞争性磋商采购方式进行采购，兹邀请供应商参加本项目的竞争性磋商。</w:t>
      </w:r>
    </w:p>
    <w:p>
      <w:pPr>
        <w:pStyle w:val="null3"/>
        <w:outlineLvl w:val="2"/>
      </w:pPr>
      <w:r>
        <w:rPr>
          <w:sz w:val="28"/>
          <w:b/>
        </w:rPr>
        <w:t>一、项目编号：</w:t>
      </w:r>
      <w:r>
        <w:rPr>
          <w:sz w:val="28"/>
          <w:b/>
        </w:rPr>
        <w:t>ZY2024-ZB-CS1083</w:t>
      </w:r>
    </w:p>
    <w:p>
      <w:pPr>
        <w:pStyle w:val="null3"/>
        <w:outlineLvl w:val="2"/>
      </w:pPr>
      <w:r>
        <w:rPr>
          <w:sz w:val="28"/>
          <w:b/>
        </w:rPr>
        <w:t>二、项目名称：</w:t>
      </w:r>
      <w:r>
        <w:rPr>
          <w:sz w:val="28"/>
          <w:b/>
        </w:rPr>
        <w:t>信息化运行维护——网络安全运行维护项目</w:t>
      </w:r>
    </w:p>
    <w:p>
      <w:pPr>
        <w:pStyle w:val="null3"/>
        <w:outlineLvl w:val="2"/>
      </w:pPr>
      <w:r>
        <w:rPr>
          <w:sz w:val="28"/>
          <w:b/>
        </w:rPr>
        <w:t>三、磋商项目简介</w:t>
      </w:r>
    </w:p>
    <w:p>
      <w:pPr>
        <w:pStyle w:val="null3"/>
        <w:ind w:firstLine="480"/>
      </w:pPr>
      <w:r>
        <w:rPr/>
        <w:t>西安市交通运输综合执法支队信息化运行维护—网络安全运行维护项目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采购包1（信息化运行维护——网络安全运行维护项目）：属于专门面向中小企业采购。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2、财务状况报告：提供2022年度或2023年度经审计的完整财务报告或磋商日期前三个月内其基本存款账户开户银行出具的资信证明。（如提供资信证明，须同时提供基本存款账户开户许可证或基本账户信息表）；</w:t>
      </w:r>
    </w:p>
    <w:p>
      <w:pPr>
        <w:pStyle w:val="null3"/>
      </w:pPr>
      <w:r>
        <w:rPr/>
        <w:t>3、税收缴纳证明：提供2024年1月至今已缴存的至少一个月的社会保障资金缴存单据或社保机构开具的社会保险参保缴费情况证明，依法不需要缴纳社会保障资金的单位应提供相关证明材料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4、社会保障资金缴纳证明：供应商提供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5、书面声明：提供具有履行本合同所必需的设备和专业技术能力的书面声明及承诺</w:t>
      </w:r>
    </w:p>
    <w:p>
      <w:pPr>
        <w:pStyle w:val="null3"/>
      </w:pPr>
      <w:r>
        <w:rPr/>
        <w:t>6、无重大违法记录：提供参加本次政府采购活动前三年内在经营活动中没有重大违法记录的书面声明;</w:t>
      </w:r>
    </w:p>
    <w:p>
      <w:pPr>
        <w:pStyle w:val="null3"/>
      </w:pPr>
      <w:r>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t>8、授权委托书：非法定代表人参加投标，须提供法定代表人授权委托书及被授权人身份证原件；法定代表人参加投标时,只须提供法定代表人身份证原件；</w:t>
      </w:r>
    </w:p>
    <w:p>
      <w:pPr>
        <w:pStyle w:val="null3"/>
      </w:pPr>
      <w:r>
        <w:rPr/>
        <w:t>9、专门面向中小企业：本项目专门面向中小企业采购，供应商须为中小微企业或监狱企业或残疾人福利性单位。</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西安市交通运输综合执法支队</w:t>
      </w:r>
    </w:p>
    <w:p>
      <w:pPr>
        <w:pStyle w:val="null3"/>
      </w:pPr>
      <w:r>
        <w:rPr/>
        <w:t xml:space="preserve"> 地址： </w:t>
      </w:r>
      <w:r>
        <w:rPr/>
        <w:t>西安市雁塔区含光南路218号交通信息大厦</w:t>
      </w:r>
    </w:p>
    <w:p>
      <w:pPr>
        <w:pStyle w:val="null3"/>
      </w:pPr>
      <w:r>
        <w:rPr/>
        <w:t xml:space="preserve"> 邮编： </w:t>
      </w:r>
      <w:r>
        <w:rPr/>
        <w:t>710068</w:t>
      </w:r>
    </w:p>
    <w:p>
      <w:pPr>
        <w:pStyle w:val="null3"/>
      </w:pPr>
      <w:r>
        <w:rPr/>
        <w:t xml:space="preserve"> 联系人： </w:t>
      </w:r>
      <w:r>
        <w:rPr/>
        <w:t>郭老师</w:t>
      </w:r>
    </w:p>
    <w:p>
      <w:pPr>
        <w:pStyle w:val="null3"/>
      </w:pPr>
      <w:r>
        <w:rPr/>
        <w:t xml:space="preserve"> 联系电话： </w:t>
      </w:r>
      <w:r>
        <w:rPr/>
        <w:t>029-89193506</w:t>
      </w:r>
    </w:p>
    <w:p>
      <w:pPr>
        <w:pStyle w:val="null3"/>
        <w:outlineLvl w:val="3"/>
      </w:pPr>
      <w:r>
        <w:rPr>
          <w:sz w:val="24"/>
          <w:b/>
        </w:rPr>
        <w:t>代理机构：</w:t>
      </w:r>
      <w:r>
        <w:rPr>
          <w:sz w:val="24"/>
          <w:b/>
        </w:rPr>
        <w:t>陕西正翼项目管理咨询有限公司</w:t>
      </w:r>
    </w:p>
    <w:p>
      <w:pPr>
        <w:pStyle w:val="null3"/>
      </w:pPr>
      <w:r>
        <w:rPr/>
        <w:t xml:space="preserve"> 地址： </w:t>
      </w:r>
      <w:r>
        <w:rPr/>
        <w:t>陕西省西安市未央区西安经济技术开发区凤城一路6号利君V时代B座901、912室</w:t>
      </w:r>
    </w:p>
    <w:p>
      <w:pPr>
        <w:pStyle w:val="null3"/>
      </w:pPr>
      <w:r>
        <w:rPr/>
        <w:t xml:space="preserve"> 邮编： </w:t>
      </w:r>
      <w:r>
        <w:rPr/>
        <w:t>710000</w:t>
      </w:r>
    </w:p>
    <w:p>
      <w:pPr>
        <w:pStyle w:val="null3"/>
      </w:pPr>
      <w:r>
        <w:rPr/>
        <w:t xml:space="preserve"> 联系人： </w:t>
      </w:r>
      <w:r>
        <w:rPr/>
        <w:t>程康</w:t>
      </w:r>
    </w:p>
    <w:p>
      <w:pPr>
        <w:pStyle w:val="null3"/>
      </w:pPr>
      <w:r>
        <w:rPr/>
        <w:t xml:space="preserve"> 联系电话： </w:t>
      </w:r>
      <w:r>
        <w:rPr/>
        <w:t>029-86210100转808</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说明：2024年12月前乙方须向甲方提供银行开具的履约保函，履约保函金额为合同总价款的5%，有效期至服务期满后30天，合同服务期满并经甲方组织验收、完成项目绩效评价后10日内，甲方向乙方返还履约保函。</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代理服务费收费标准：以成交金额为基数，参照国家计委颁布《招标代理服务收费管理暂行办法》（计价格〔2002〕1980号）和国家发展改革委员会办公厅颁发的《关于招标代理服务收费有关问题的通知》（发改办价格〔2003〕857号）文件规定执行,招标代理服务费不足5000元按5000元收取。 收款账户如下： 收款单位：陕西正翼项目管理咨询有限公司 开户银行：中国民生银行股份有限公司西安经济技术开发区支行 银行账号：152 605 604</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西安市交通运输综合执法支队</w:t>
      </w:r>
      <w:r>
        <w:rPr/>
        <w:t>和</w:t>
      </w:r>
      <w:r>
        <w:rPr/>
        <w:t>陕西正翼项目管理咨询有限公司</w:t>
      </w:r>
      <w:r>
        <w:rPr/>
        <w:t>享有。对磋商文件中供应商参加本次政府采购活动应当具备的条件，磋商项目技术、服务、商务及其他要求，评审细则及标准由</w:t>
      </w:r>
      <w:r>
        <w:rPr/>
        <w:t>西安市交通运输综合执法支队</w:t>
      </w:r>
      <w:r>
        <w:rPr/>
        <w:t>负责解释。除上述磋商文件内容，其他内容由</w:t>
      </w:r>
      <w:r>
        <w:rPr/>
        <w:t>陕西正翼项目管理咨询有限公司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西安市交通运输综合执法支队</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陕西正翼项目管理咨询有限公司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3.1磋商文件、磋商响应文件、澄清表（函）； 3.2本合同及附件文本；</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陕西正翼项目管理咨询有限公司</w:t>
      </w:r>
      <w:r>
        <w:rPr/>
        <w:t xml:space="preserve"> 负责答复；供应商对除采购需求外的采购文件的询问、质疑由</w:t>
      </w:r>
      <w:r>
        <w:rPr/>
        <w:t>陕西正翼项目管理咨询有限公司</w:t>
      </w:r>
      <w:r>
        <w:rPr/>
        <w:t xml:space="preserve"> 负责答复；供应商对采购过程、采购结果的询问、质疑由 </w:t>
      </w:r>
      <w:r>
        <w:rPr/>
        <w:t>陕西正翼项目管理咨询有限公司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联系人：程康</w:t>
      </w:r>
    </w:p>
    <w:p>
      <w:pPr>
        <w:pStyle w:val="null3"/>
      </w:pPr>
      <w:r>
        <w:rPr/>
        <w:t>联系电话：029-86210100转808</w:t>
      </w:r>
    </w:p>
    <w:p>
      <w:pPr>
        <w:pStyle w:val="null3"/>
      </w:pPr>
      <w:r>
        <w:rPr/>
        <w:t>地址：陕西省西安市未央区西安经济技术开发区凤城一路6号利君V时代B座901、912室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西安市交通运输综合执法支队信息化运行维护—网络安全运行维护项目。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网络安全运行维护</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标的名称：网络安全运行维护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b/>
              </w:rPr>
              <w:t>一、</w:t>
            </w:r>
            <w:r>
              <w:rPr>
                <w:rFonts w:ascii="宋体" w:hAnsi="宋体" w:cs="宋体" w:eastAsia="宋体"/>
                <w:sz w:val="24"/>
                <w:b/>
              </w:rPr>
              <w:t>网络安全培训教育要求</w:t>
            </w:r>
          </w:p>
          <w:p>
            <w:pPr>
              <w:pStyle w:val="null3"/>
              <w:ind w:firstLine="480"/>
              <w:jc w:val="left"/>
            </w:pPr>
            <w:r>
              <w:rPr>
                <w:rFonts w:ascii="宋体" w:hAnsi="宋体" w:cs="宋体" w:eastAsia="宋体"/>
                <w:sz w:val="24"/>
              </w:rPr>
              <w:t>服务期内，按照上级网络安全培训工作要求，协调安全专家为我支队组织多层次、多形式的培训计划，培训范围包括支队、各大队及第三方运维单位，覆盖从领导层到基层员工。服务内容应覆盖政策法规培训、安全技能培训、安全意识培训、演示环境搭建、培训试题编制等多个维度，增强全员的网络安全能力。本培训工作服务期内应至少进行</w:t>
            </w:r>
            <w:r>
              <w:rPr>
                <w:rFonts w:ascii="宋体" w:hAnsi="宋体" w:cs="宋体" w:eastAsia="宋体"/>
                <w:sz w:val="24"/>
              </w:rPr>
              <w:t>6次，支队、各大队及第三方运维单位各2次。</w:t>
            </w:r>
          </w:p>
          <w:p>
            <w:pPr>
              <w:pStyle w:val="null3"/>
              <w:jc w:val="left"/>
            </w:pPr>
            <w:r>
              <w:rPr>
                <w:rFonts w:ascii="宋体" w:hAnsi="宋体" w:cs="宋体" w:eastAsia="宋体"/>
                <w:sz w:val="24"/>
              </w:rPr>
              <w:t>培训形式不限于在线直播、录播、现场教学、理论课程和实践操作培训等形式，且能够提供培训考核、安全竞赛和学习成果分析，能够量化培训成果。技能培训结束需要对合格学员颁发结业证书。</w:t>
            </w:r>
          </w:p>
          <w:p>
            <w:pPr>
              <w:pStyle w:val="null3"/>
              <w:jc w:val="left"/>
            </w:pPr>
            <w:r>
              <w:rPr>
                <w:rFonts w:ascii="宋体" w:hAnsi="宋体" w:cs="宋体" w:eastAsia="宋体"/>
                <w:sz w:val="24"/>
              </w:rPr>
              <w:t>服务结束后至少交付以下材料：《培训课件</w:t>
            </w:r>
            <w:r>
              <w:rPr>
                <w:rFonts w:ascii="宋体" w:hAnsi="宋体" w:cs="宋体" w:eastAsia="宋体"/>
                <w:sz w:val="24"/>
              </w:rPr>
              <w:t>PPT》等。</w:t>
            </w:r>
          </w:p>
          <w:p>
            <w:pPr>
              <w:pStyle w:val="null3"/>
              <w:jc w:val="left"/>
            </w:pPr>
            <w:r>
              <w:rPr>
                <w:rFonts w:ascii="宋体" w:hAnsi="宋体" w:cs="宋体" w:eastAsia="宋体"/>
                <w:sz w:val="24"/>
                <w:b/>
              </w:rPr>
              <w:t>二、</w:t>
            </w:r>
            <w:r>
              <w:rPr>
                <w:rFonts w:ascii="宋体" w:hAnsi="宋体" w:cs="宋体" w:eastAsia="宋体"/>
                <w:sz w:val="24"/>
                <w:b/>
              </w:rPr>
              <w:t>网络安全活动宣传要求</w:t>
            </w:r>
          </w:p>
          <w:p>
            <w:pPr>
              <w:pStyle w:val="null3"/>
              <w:ind w:firstLine="480"/>
              <w:jc w:val="left"/>
            </w:pPr>
            <w:r>
              <w:rPr>
                <w:rFonts w:ascii="宋体" w:hAnsi="宋体" w:cs="宋体" w:eastAsia="宋体"/>
                <w:sz w:val="24"/>
              </w:rPr>
              <w:t>1、</w:t>
            </w:r>
            <w:r>
              <w:rPr>
                <w:rFonts w:ascii="宋体" w:hAnsi="宋体" w:cs="宋体" w:eastAsia="宋体"/>
                <w:sz w:val="24"/>
              </w:rPr>
              <w:t>服务期内，为支队在国家网络安全宣传周期间集中开展宣传教育活动，构建积极的网络安全文化氛围，提升全员参与度，传播网络安全重要性，鼓励员工报告可疑行为，形成</w:t>
            </w:r>
            <w:r>
              <w:rPr>
                <w:rFonts w:ascii="宋体" w:hAnsi="宋体" w:cs="宋体" w:eastAsia="宋体"/>
                <w:sz w:val="24"/>
              </w:rPr>
              <w:t>“人人关心安全、人人参与安全”的良好风气。服务商应明确宣传主题、目标受众、宣传周期、阶段划分、关键节点等要素，确保宣传工作有条不紊、循序渐进地开展。本服务服务期内应开展1次，为期7天。宣传材料覆盖支队和各大队。</w:t>
            </w:r>
          </w:p>
          <w:p>
            <w:pPr>
              <w:pStyle w:val="null3"/>
              <w:ind w:firstLine="480"/>
              <w:jc w:val="left"/>
            </w:pPr>
            <w:r>
              <w:rPr>
                <w:rFonts w:ascii="宋体" w:hAnsi="宋体" w:cs="宋体" w:eastAsia="宋体"/>
                <w:sz w:val="24"/>
              </w:rPr>
              <w:t>2、</w:t>
            </w:r>
            <w:r>
              <w:rPr>
                <w:rFonts w:ascii="宋体" w:hAnsi="宋体" w:cs="宋体" w:eastAsia="宋体"/>
                <w:sz w:val="24"/>
              </w:rPr>
              <w:t>宣传工作应结合支队实际情况及交通运输行业特点，提炼核心宣传信息，包括但不限于网络安全法律法规解读、典型网络安全案例剖析、日常操作规范、应急响应流程等，确保宣传内容针对性强、易于理解。形式包括但不限于：</w:t>
            </w:r>
          </w:p>
          <w:p>
            <w:pPr>
              <w:pStyle w:val="null3"/>
              <w:ind w:firstLine="480"/>
              <w:jc w:val="left"/>
            </w:pPr>
            <w:r>
              <w:rPr>
                <w:rFonts w:ascii="宋体" w:hAnsi="宋体" w:cs="宋体" w:eastAsia="宋体"/>
                <w:sz w:val="24"/>
              </w:rPr>
              <w:t>3、</w:t>
            </w:r>
            <w:r>
              <w:rPr>
                <w:rFonts w:ascii="宋体" w:hAnsi="宋体" w:cs="宋体" w:eastAsia="宋体"/>
                <w:sz w:val="24"/>
              </w:rPr>
              <w:t>宣传横幅：设计风格应庄重而不失生动，准确传达网络安全重要性、法律法规知识及我单位网络安全政策。需提供多套设计方案供选择，每套方案均包含清晰的设计说明、色彩搭配、图文元素解析等内容。</w:t>
            </w:r>
          </w:p>
          <w:p>
            <w:pPr>
              <w:pStyle w:val="null3"/>
              <w:jc w:val="left"/>
            </w:pPr>
            <w:r>
              <w:rPr>
                <w:rFonts w:ascii="宋体" w:hAnsi="宋体" w:cs="宋体" w:eastAsia="宋体"/>
                <w:sz w:val="24"/>
              </w:rPr>
              <w:t>宣传海报：设计应富有创意，兼具艺术性和教育性，通过直观、生动的画面与简洁的文字，阐明网络安全主题，引发受众关注与思考。海报规格、材质等需符合公共场所展示标准。</w:t>
            </w:r>
          </w:p>
          <w:p>
            <w:pPr>
              <w:pStyle w:val="null3"/>
              <w:ind w:firstLine="480"/>
              <w:jc w:val="left"/>
            </w:pPr>
            <w:r>
              <w:rPr>
                <w:rFonts w:ascii="宋体" w:hAnsi="宋体" w:cs="宋体" w:eastAsia="宋体"/>
                <w:sz w:val="24"/>
              </w:rPr>
              <w:t>4、</w:t>
            </w:r>
            <w:r>
              <w:rPr>
                <w:rFonts w:ascii="宋体" w:hAnsi="宋体" w:cs="宋体" w:eastAsia="宋体"/>
                <w:sz w:val="24"/>
              </w:rPr>
              <w:t>电子宣传资料：包括但不限于电子手册、动画短片等，适用于线上平台传播，要求内容丰富、形式新颖、交互性强，利于广泛传播与深度学习。</w:t>
            </w:r>
          </w:p>
          <w:p>
            <w:pPr>
              <w:pStyle w:val="null3"/>
              <w:jc w:val="left"/>
            </w:pPr>
            <w:r>
              <w:rPr>
                <w:rFonts w:ascii="宋体" w:hAnsi="宋体" w:cs="宋体" w:eastAsia="宋体"/>
                <w:sz w:val="24"/>
              </w:rPr>
              <w:t>服务结束后至少交付以下材料：宣传横幅、宣传海报、电子宣传资料等。</w:t>
            </w:r>
          </w:p>
          <w:p>
            <w:pPr>
              <w:pStyle w:val="null3"/>
              <w:jc w:val="left"/>
            </w:pPr>
            <w:r>
              <w:rPr>
                <w:rFonts w:ascii="宋体" w:hAnsi="宋体" w:cs="宋体" w:eastAsia="宋体"/>
                <w:sz w:val="24"/>
                <w:b/>
              </w:rPr>
              <w:t>三、</w:t>
            </w:r>
            <w:r>
              <w:rPr>
                <w:rFonts w:ascii="宋体" w:hAnsi="宋体" w:cs="宋体" w:eastAsia="宋体"/>
                <w:sz w:val="24"/>
                <w:b/>
              </w:rPr>
              <w:t>网络安全合规检查要求</w:t>
            </w:r>
          </w:p>
          <w:p>
            <w:pPr>
              <w:pStyle w:val="null3"/>
              <w:ind w:firstLine="480"/>
              <w:jc w:val="left"/>
            </w:pPr>
            <w:r>
              <w:rPr>
                <w:rFonts w:ascii="宋体" w:hAnsi="宋体" w:cs="宋体" w:eastAsia="宋体"/>
                <w:sz w:val="24"/>
              </w:rPr>
              <w:t>服务期内，依据国家网络安全法律、行业标准及《西安市交通运输行业网络安全管理办法》，为我单位制定安全检查规范并进行</w:t>
            </w:r>
            <w:r>
              <w:rPr>
                <w:rFonts w:ascii="宋体" w:hAnsi="宋体" w:cs="宋体" w:eastAsia="宋体"/>
                <w:sz w:val="24"/>
              </w:rPr>
              <w:t>6次网络安全合规检查，其中支队机关、各内设大队各开展2次。服务应包括对网络架构、数据保护措施、访问控制策略、系统漏洞管理、管理制度落实等方面的审查，确保所有系统和流程均符合规定要求。</w:t>
            </w:r>
          </w:p>
          <w:p>
            <w:pPr>
              <w:pStyle w:val="null3"/>
              <w:jc w:val="left"/>
            </w:pPr>
            <w:r>
              <w:rPr>
                <w:rFonts w:ascii="宋体" w:hAnsi="宋体" w:cs="宋体" w:eastAsia="宋体"/>
                <w:sz w:val="24"/>
              </w:rPr>
              <w:t>此外，服务商应结合《党委（党组）网络安全工作责任制实施办法》、《西安市交通运输行业网络安全工作考核办法》，建立一套科学合理的考核评价体系，确定考核指标，将网络安全工作成效纳入各部门及个人的绩效考核之中。考核指标应明确、量化，涵盖网络安全责任制落实、安全管理制度执行、安全事件响应速度、安全培训参与度等多个维度，通过考核激励各单位及全体员工主动提升网络安全管理水平。</w:t>
            </w:r>
          </w:p>
          <w:p>
            <w:pPr>
              <w:pStyle w:val="null3"/>
              <w:jc w:val="left"/>
            </w:pPr>
            <w:r>
              <w:rPr>
                <w:rFonts w:ascii="宋体" w:hAnsi="宋体" w:cs="宋体" w:eastAsia="宋体"/>
                <w:sz w:val="24"/>
              </w:rPr>
              <w:t>服务结束后至少交付以下材料：《安全合规检查报告》《网络安全责任制考核总结报告》《问题整改通知单》等。</w:t>
            </w:r>
          </w:p>
          <w:p>
            <w:pPr>
              <w:pStyle w:val="null3"/>
              <w:jc w:val="left"/>
            </w:pPr>
            <w:r>
              <w:rPr>
                <w:rFonts w:ascii="宋体" w:hAnsi="宋体" w:cs="宋体" w:eastAsia="宋体"/>
                <w:sz w:val="24"/>
                <w:b/>
              </w:rPr>
              <w:t>四、</w:t>
            </w:r>
            <w:r>
              <w:rPr>
                <w:rFonts w:ascii="宋体" w:hAnsi="宋体" w:cs="宋体" w:eastAsia="宋体"/>
                <w:sz w:val="24"/>
                <w:b/>
              </w:rPr>
              <w:t>网络安全威胁预防要求</w:t>
            </w:r>
          </w:p>
          <w:p>
            <w:pPr>
              <w:pStyle w:val="null3"/>
              <w:ind w:firstLine="480"/>
              <w:jc w:val="left"/>
            </w:pPr>
            <w:r>
              <w:rPr>
                <w:rFonts w:ascii="宋体" w:hAnsi="宋体" w:cs="宋体" w:eastAsia="宋体"/>
                <w:sz w:val="24"/>
              </w:rPr>
              <w:t>服务期内，为支队组织</w:t>
            </w:r>
            <w:r>
              <w:rPr>
                <w:rFonts w:ascii="宋体" w:hAnsi="宋体" w:cs="宋体" w:eastAsia="宋体"/>
                <w:sz w:val="24"/>
              </w:rPr>
              <w:t>1次网络安全应急演练工作，针对交通运输行业业务系统，提供针对当前主流网络安全威胁（如勒索软件攻击、数据泄露、系统入侵、拒绝服务攻击等）的模拟演练场景，要求场景贴近实际、具有代表性，能够全面覆盖支队关键信息基础设施和重要业务流程，能够发现安全漏洞和隐患，有效识别、分析和控制信息系统安全风险。演练场景应涵盖从威胁发现、预警发布、应急响应启动、现场处置、危机沟通、后期恢复等全过程，确保演练的完整性和实战性，进而促进统一指挥、协调有序的安全应急管理机制的落实，完善安全事件防范与处置流程，提升运维人员安全意识和安全突发事件处置能力。</w:t>
            </w:r>
          </w:p>
          <w:p>
            <w:pPr>
              <w:pStyle w:val="null3"/>
              <w:jc w:val="left"/>
            </w:pPr>
            <w:r>
              <w:rPr>
                <w:rFonts w:ascii="宋体" w:hAnsi="宋体" w:cs="宋体" w:eastAsia="宋体"/>
                <w:sz w:val="24"/>
              </w:rPr>
              <w:t>服务商应提供明确的应急预案、应急演练策划方案、应急演练脚本、应急演练环境搭建及安全事件应急响应支持，对参演人员的应急响应速度、决策质量、操作规范性等方面进行实时评估，并在演练结束后出具评估报告，为后续改进提供依据。</w:t>
            </w:r>
          </w:p>
          <w:p>
            <w:pPr>
              <w:pStyle w:val="null3"/>
              <w:jc w:val="left"/>
            </w:pPr>
            <w:r>
              <w:rPr>
                <w:rFonts w:ascii="宋体" w:hAnsi="宋体" w:cs="宋体" w:eastAsia="宋体"/>
                <w:sz w:val="24"/>
              </w:rPr>
              <w:t>服务结束后至少交付以下材料：《应急演练策划方案》、《应急演练脚本》、《应急处置预案》等。</w:t>
            </w:r>
          </w:p>
          <w:p>
            <w:pPr>
              <w:pStyle w:val="null3"/>
              <w:jc w:val="left"/>
            </w:pPr>
            <w:r>
              <w:rPr>
                <w:rFonts w:ascii="宋体" w:hAnsi="宋体" w:cs="宋体" w:eastAsia="宋体"/>
                <w:sz w:val="24"/>
                <w:b/>
              </w:rPr>
              <w:t>五、</w:t>
            </w:r>
            <w:r>
              <w:rPr>
                <w:rFonts w:ascii="宋体" w:hAnsi="宋体" w:cs="宋体" w:eastAsia="宋体"/>
                <w:sz w:val="24"/>
                <w:b/>
              </w:rPr>
              <w:t>信息系统安全评估要求</w:t>
            </w:r>
          </w:p>
          <w:p>
            <w:pPr>
              <w:pStyle w:val="null3"/>
              <w:ind w:firstLine="480"/>
              <w:jc w:val="left"/>
            </w:pPr>
            <w:r>
              <w:rPr>
                <w:rFonts w:ascii="宋体" w:hAnsi="宋体" w:cs="宋体" w:eastAsia="宋体"/>
                <w:sz w:val="24"/>
              </w:rPr>
              <w:t>服务期内，服务商对支队重要业务系统（不少于</w:t>
            </w:r>
            <w:r>
              <w:rPr>
                <w:rFonts w:ascii="宋体" w:hAnsi="宋体" w:cs="宋体" w:eastAsia="宋体"/>
                <w:sz w:val="24"/>
              </w:rPr>
              <w:t>5个）开展安全评估工作，要求涵盖先进的渗透测试技术，包括但不限于黑盒、白盒渗透，以检测系统防御深层漏洞；实施深度漏洞扫描，利用行业领先工具识别开放端口、服务漏洞及配置弱点；进行细致的风险分析，评级并出具包含威胁详情、潜在影响及改进建议的综合性评估报告。报告需详细记录每项威胁的特征、可能产生的影响以及量身定制的改进建议和缓解措施，为支队提供清晰的整改路径，确保业务系统的持续安全运行与合规性。</w:t>
            </w:r>
          </w:p>
          <w:p>
            <w:pPr>
              <w:pStyle w:val="null3"/>
              <w:jc w:val="left"/>
            </w:pPr>
            <w:r>
              <w:rPr>
                <w:rFonts w:ascii="宋体" w:hAnsi="宋体" w:cs="宋体" w:eastAsia="宋体"/>
                <w:sz w:val="24"/>
              </w:rPr>
              <w:t>服务商应提供自研或厂商授权的漏洞扫描工具（提供相关证明材料），以确保技术服务的合法性与可靠性。</w:t>
            </w:r>
          </w:p>
          <w:p>
            <w:pPr>
              <w:pStyle w:val="null3"/>
              <w:jc w:val="left"/>
            </w:pPr>
            <w:r>
              <w:rPr>
                <w:rFonts w:ascii="宋体" w:hAnsi="宋体" w:cs="宋体" w:eastAsia="宋体"/>
                <w:sz w:val="24"/>
              </w:rPr>
              <w:t>服务结束后至少交付以下材料：《漏洞扫描报告》、《渗透测试报告》、《问题整改通知单》等。</w:t>
            </w:r>
          </w:p>
          <w:p>
            <w:pPr>
              <w:pStyle w:val="null3"/>
              <w:jc w:val="left"/>
            </w:pPr>
            <w:r>
              <w:rPr>
                <w:rFonts w:ascii="宋体" w:hAnsi="宋体" w:cs="宋体" w:eastAsia="宋体"/>
                <w:sz w:val="24"/>
                <w:b/>
              </w:rPr>
              <w:t>六、</w:t>
            </w:r>
            <w:r>
              <w:rPr>
                <w:rFonts w:ascii="宋体" w:hAnsi="宋体" w:cs="宋体" w:eastAsia="宋体"/>
                <w:sz w:val="24"/>
                <w:b/>
              </w:rPr>
              <w:t>安全管理制度建设要求</w:t>
            </w:r>
          </w:p>
          <w:p>
            <w:pPr>
              <w:pStyle w:val="null3"/>
              <w:ind w:firstLine="480"/>
              <w:jc w:val="left"/>
            </w:pPr>
            <w:r>
              <w:rPr>
                <w:rFonts w:ascii="宋体" w:hAnsi="宋体" w:cs="宋体" w:eastAsia="宋体"/>
                <w:sz w:val="24"/>
              </w:rPr>
              <w:t>服务期内，服务商需对支队目前的网络安全及数据安全管理制度进行全面的调查与评估，并结合国家、行业等相关法律法规及政策要求，协助支队制定并优化符合支队实际情况的安全管理体系。优化完善制度文件，做好制度执行记录，包括但不限于安全策略、操作规程、通报处置、数据分类与保护政策等，提升网络与数据安全风险管控能力。</w:t>
            </w:r>
          </w:p>
          <w:p>
            <w:pPr>
              <w:pStyle w:val="null3"/>
              <w:jc w:val="left"/>
            </w:pPr>
            <w:r>
              <w:rPr>
                <w:rFonts w:ascii="宋体" w:hAnsi="宋体" w:cs="宋体" w:eastAsia="宋体"/>
                <w:sz w:val="24"/>
              </w:rPr>
              <w:t>服务结束后至少交付以下材料：《网络安全管理办法》、《数据安全管理办法》、《人员安全管理》、《系统运行维护管理制度》等。</w:t>
            </w:r>
          </w:p>
          <w:p>
            <w:pPr>
              <w:pStyle w:val="null3"/>
              <w:jc w:val="left"/>
            </w:pPr>
            <w:r>
              <w:rPr>
                <w:rFonts w:ascii="宋体" w:hAnsi="宋体" w:cs="宋体" w:eastAsia="宋体"/>
                <w:sz w:val="24"/>
                <w:b/>
              </w:rPr>
              <w:t>七、</w:t>
            </w:r>
            <w:r>
              <w:rPr>
                <w:rFonts w:ascii="宋体" w:hAnsi="宋体" w:cs="宋体" w:eastAsia="宋体"/>
                <w:sz w:val="24"/>
                <w:b/>
              </w:rPr>
              <w:t>服务团队技术要求</w:t>
            </w:r>
          </w:p>
          <w:p>
            <w:pPr>
              <w:pStyle w:val="null3"/>
              <w:ind w:firstLine="480"/>
              <w:jc w:val="left"/>
            </w:pPr>
            <w:r>
              <w:rPr>
                <w:rFonts w:ascii="宋体" w:hAnsi="宋体" w:cs="宋体" w:eastAsia="宋体"/>
                <w:sz w:val="24"/>
              </w:rPr>
              <w:t>1．服务方需明确提出服务的组织方式和具体管理方案，须提供服务人员</w:t>
            </w:r>
            <w:r>
              <w:rPr>
                <w:rFonts w:ascii="宋体" w:hAnsi="宋体" w:cs="宋体" w:eastAsia="宋体"/>
                <w:sz w:val="24"/>
              </w:rPr>
              <w:t>与项目相关的</w:t>
            </w:r>
            <w:r>
              <w:rPr>
                <w:rFonts w:ascii="宋体" w:hAnsi="宋体" w:cs="宋体" w:eastAsia="宋体"/>
                <w:sz w:val="24"/>
              </w:rPr>
              <w:t>资质证书</w:t>
            </w:r>
            <w:r>
              <w:rPr>
                <w:rFonts w:ascii="宋体" w:hAnsi="宋体" w:cs="宋体" w:eastAsia="宋体"/>
                <w:sz w:val="24"/>
              </w:rPr>
              <w:t>。</w:t>
            </w:r>
          </w:p>
          <w:p>
            <w:pPr>
              <w:pStyle w:val="null3"/>
              <w:ind w:firstLine="480"/>
              <w:jc w:val="left"/>
            </w:pPr>
            <w:r>
              <w:rPr>
                <w:rFonts w:ascii="宋体" w:hAnsi="宋体" w:cs="宋体" w:eastAsia="宋体"/>
                <w:sz w:val="24"/>
              </w:rPr>
              <w:t>2．服务方的服务人员应经过严格的技术培训，熟悉本项目的相关知识，其主要人员资格和服务条件须审查同意。</w:t>
            </w:r>
          </w:p>
          <w:p>
            <w:pPr>
              <w:pStyle w:val="null3"/>
              <w:ind w:firstLine="480"/>
              <w:jc w:val="left"/>
            </w:pPr>
            <w:r>
              <w:rPr>
                <w:rFonts w:ascii="宋体" w:hAnsi="宋体" w:cs="宋体" w:eastAsia="宋体"/>
                <w:sz w:val="24"/>
              </w:rPr>
              <w:t>3．精通网络安全技术，包括端口、服务漏洞扫描、程序漏洞分析检测、权限管理、入侵和攻击分析追踪、网站渗透、病毒木马防范等；</w:t>
            </w:r>
          </w:p>
          <w:p>
            <w:pPr>
              <w:pStyle w:val="null3"/>
              <w:ind w:firstLine="480"/>
              <w:jc w:val="left"/>
            </w:pPr>
            <w:r>
              <w:rPr>
                <w:rFonts w:ascii="宋体" w:hAnsi="宋体" w:cs="宋体" w:eastAsia="宋体"/>
                <w:sz w:val="24"/>
              </w:rPr>
              <w:t>4．熟悉tcp/ip协议，熟悉各类网络攻击方法、手工测试方式，熟悉内存缓冲区原理和防范措施，熟悉信息存储和传输安全、熟悉数据包结构、熟悉DDOS类型和原理；</w:t>
            </w:r>
          </w:p>
          <w:p>
            <w:pPr>
              <w:pStyle w:val="null3"/>
              <w:ind w:firstLine="480"/>
              <w:jc w:val="left"/>
            </w:pPr>
            <w:r>
              <w:rPr>
                <w:rFonts w:ascii="宋体" w:hAnsi="宋体" w:cs="宋体" w:eastAsia="宋体"/>
                <w:sz w:val="24"/>
              </w:rPr>
              <w:t>5．对主流安全产品（如fw、waf、ids、ips、apt、scanner、audit等) 具备熟悉功能应用、熟悉日志分析、熟悉策略调配等能力；</w:t>
            </w:r>
          </w:p>
          <w:p>
            <w:pPr>
              <w:pStyle w:val="null3"/>
              <w:ind w:firstLine="480"/>
              <w:jc w:val="left"/>
            </w:pPr>
            <w:r>
              <w:rPr>
                <w:rFonts w:ascii="宋体" w:hAnsi="宋体" w:cs="宋体" w:eastAsia="宋体"/>
                <w:sz w:val="24"/>
              </w:rPr>
              <w:t>6．对网络安全、系统安全、应用安全等知识全面知晓，并具备安全应急处置能力。</w:t>
            </w:r>
          </w:p>
          <w:p>
            <w:pPr>
              <w:pStyle w:val="null3"/>
              <w:ind w:firstLine="480"/>
              <w:jc w:val="left"/>
            </w:pPr>
            <w:r>
              <w:rPr>
                <w:rFonts w:ascii="宋体" w:hAnsi="宋体" w:cs="宋体" w:eastAsia="宋体"/>
                <w:sz w:val="24"/>
              </w:rPr>
              <w:t>7．服务方提供后台技术支撑团队，提供全面的安全技术保障。</w:t>
            </w:r>
          </w:p>
          <w:p>
            <w:pPr>
              <w:pStyle w:val="null3"/>
              <w:ind w:firstLine="480"/>
              <w:jc w:val="left"/>
            </w:pPr>
            <w:r>
              <w:rPr>
                <w:rFonts w:ascii="宋体" w:hAnsi="宋体" w:cs="宋体" w:eastAsia="宋体"/>
                <w:sz w:val="24"/>
              </w:rPr>
              <w:t>8．服务方应保证服务团队的人员稳定，应保证核心服务人员在服务期限内未经同意时，不得随意更换。</w:t>
            </w:r>
          </w:p>
          <w:p>
            <w:pPr>
              <w:pStyle w:val="null3"/>
              <w:ind w:firstLine="480"/>
              <w:jc w:val="left"/>
            </w:pPr>
            <w:r>
              <w:rPr>
                <w:rFonts w:ascii="宋体" w:hAnsi="宋体" w:cs="宋体" w:eastAsia="宋体"/>
                <w:sz w:val="24"/>
              </w:rPr>
              <w:t>9．服务方更换服务团队负责人或成员给被服务方造成损失的，被服务方保留追究责任和获取赔偿的权力。</w:t>
            </w:r>
          </w:p>
          <w:p>
            <w:pPr>
              <w:pStyle w:val="null3"/>
              <w:ind w:firstLine="480"/>
              <w:jc w:val="left"/>
            </w:pPr>
            <w:r>
              <w:rPr>
                <w:rFonts w:ascii="宋体" w:hAnsi="宋体" w:cs="宋体" w:eastAsia="宋体"/>
                <w:sz w:val="24"/>
              </w:rPr>
              <w:t>10．服务人员应遵守被服务方的各项规定并做好保密工作。</w:t>
            </w:r>
          </w:p>
          <w:p>
            <w:pPr>
              <w:pStyle w:val="null3"/>
              <w:jc w:val="left"/>
            </w:pPr>
            <w:r>
              <w:rPr>
                <w:rFonts w:ascii="宋体" w:hAnsi="宋体" w:cs="宋体" w:eastAsia="宋体"/>
                <w:sz w:val="24"/>
                <w:b/>
              </w:rPr>
              <w:t>八、</w:t>
            </w:r>
            <w:r>
              <w:rPr>
                <w:rFonts w:ascii="宋体" w:hAnsi="宋体" w:cs="宋体" w:eastAsia="宋体"/>
                <w:sz w:val="24"/>
                <w:b/>
              </w:rPr>
              <w:t>服务团队管理要求</w:t>
            </w:r>
          </w:p>
          <w:p>
            <w:pPr>
              <w:pStyle w:val="null3"/>
              <w:ind w:firstLine="480"/>
              <w:jc w:val="left"/>
            </w:pPr>
            <w:r>
              <w:rPr>
                <w:rFonts w:ascii="宋体" w:hAnsi="宋体" w:cs="宋体" w:eastAsia="宋体"/>
                <w:sz w:val="24"/>
              </w:rPr>
              <w:t>1．本项目服务团队人员应遵守被服务方各项规章制度，如有违反制度规定的情况出现时，依规处罚。</w:t>
            </w:r>
          </w:p>
          <w:p>
            <w:pPr>
              <w:pStyle w:val="null3"/>
              <w:ind w:firstLine="480"/>
              <w:jc w:val="left"/>
            </w:pPr>
            <w:r>
              <w:rPr>
                <w:rFonts w:ascii="宋体" w:hAnsi="宋体" w:cs="宋体" w:eastAsia="宋体"/>
                <w:sz w:val="24"/>
              </w:rPr>
              <w:t>2．本项目服务团队人员均应签署我单位保密协议，在服务期间严格遵守保密要求。</w:t>
            </w:r>
          </w:p>
          <w:p>
            <w:pPr>
              <w:pStyle w:val="null3"/>
              <w:ind w:firstLine="480"/>
              <w:jc w:val="left"/>
            </w:pPr>
            <w:r>
              <w:rPr>
                <w:rFonts w:ascii="宋体" w:hAnsi="宋体" w:cs="宋体" w:eastAsia="宋体"/>
                <w:sz w:val="24"/>
              </w:rPr>
              <w:t>3．本项目服务团队人员须遵守我单位项目管理要求，网络安全准则、系统运维管理等制度。</w:t>
            </w:r>
          </w:p>
          <w:p>
            <w:pPr>
              <w:pStyle w:val="null3"/>
              <w:jc w:val="both"/>
            </w:pPr>
            <w:r>
              <w:rPr>
                <w:rFonts w:ascii="宋体" w:hAnsi="宋体" w:cs="宋体" w:eastAsia="宋体"/>
                <w:sz w:val="24"/>
              </w:rPr>
              <w:t>本项目服务团队人员应具有较强沟通能力，具备网络安全保障应急处置能力，熟悉信息系统运行制度及工作流程，掌握在运产品运行知识，具备重大故障应急恢复能力。</w:t>
            </w:r>
          </w:p>
        </w:tc>
      </w:tr>
    </w:tbl>
    <w:p>
      <w:pPr>
        <w:pStyle w:val="null3"/>
        <w:outlineLvl w:val="2"/>
      </w:pPr>
      <w:r>
        <w:rPr>
          <w:sz w:val="28"/>
          <w:b/>
        </w:rPr>
        <w:t>3.2.3人员配置要求</w:t>
      </w:r>
    </w:p>
    <w:p>
      <w:pPr>
        <w:pStyle w:val="null3"/>
      </w:pPr>
      <w:r>
        <w:rPr/>
        <w:t>采购包1：</w:t>
      </w:r>
    </w:p>
    <w:p>
      <w:pPr>
        <w:pStyle w:val="null3"/>
      </w:pPr>
      <w:r>
        <w:rPr/>
        <w:t>服务团队需具备与本项目相匹配的专业能力。</w:t>
      </w:r>
    </w:p>
    <w:p>
      <w:pPr>
        <w:pStyle w:val="null3"/>
        <w:outlineLvl w:val="2"/>
      </w:pPr>
      <w:r>
        <w:rPr>
          <w:sz w:val="28"/>
          <w:b/>
        </w:rPr>
        <w:t>3.2.4设施设备要求</w:t>
      </w:r>
    </w:p>
    <w:p>
      <w:pPr>
        <w:pStyle w:val="null3"/>
      </w:pPr>
      <w:r>
        <w:rPr/>
        <w:t>采购包1：</w:t>
      </w:r>
    </w:p>
    <w:p>
      <w:pPr>
        <w:pStyle w:val="null3"/>
      </w:pPr>
      <w:r>
        <w:rPr/>
        <w:t>满足采购人要求。</w:t>
      </w:r>
    </w:p>
    <w:p>
      <w:pPr>
        <w:pStyle w:val="null3"/>
        <w:outlineLvl w:val="2"/>
      </w:pPr>
      <w:r>
        <w:rPr>
          <w:sz w:val="28"/>
          <w:b/>
        </w:rPr>
        <w:t>3.2.5其他要求</w:t>
      </w:r>
    </w:p>
    <w:p>
      <w:pPr>
        <w:pStyle w:val="null3"/>
      </w:pPr>
      <w:r>
        <w:rPr/>
        <w:t>采购包1：</w:t>
      </w:r>
    </w:p>
    <w:p>
      <w:pPr>
        <w:pStyle w:val="null3"/>
      </w:pPr>
      <w:r>
        <w:rPr/>
        <w:t>1.根据采购文件要求及合同约定执行；事业单位参与投标时，可不提供财务状况报告、社会保障资金和税收缴纳证明；依法免税或不需要缴纳社会保障资金的投标人，应提供相应证明文件，证明其依法免税或不需要缴纳社会保障资金；自然人（仅限中国公民）参与投标时，只须提供身份证复印件；2.本项目服务范围：信息化运行维护—网络安全运行维护项目；服务要求：符合磋商文件有关技术、商务要求；2.3服务标准：符合国家和省、市有关行业标准及采购人的有关规定。（响应文件格式-标的清单）</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自合同签订之日起一年</w:t>
      </w:r>
    </w:p>
    <w:p>
      <w:pPr>
        <w:pStyle w:val="null3"/>
        <w:outlineLvl w:val="3"/>
      </w:pPr>
      <w:r>
        <w:rPr>
          <w:sz w:val="24"/>
          <w:b/>
        </w:rPr>
        <w:t>3.3.2服务地点</w:t>
      </w:r>
    </w:p>
    <w:p>
      <w:pPr>
        <w:pStyle w:val="null3"/>
      </w:pPr>
      <w:r>
        <w:rPr/>
        <w:t>采购包1：</w:t>
      </w:r>
    </w:p>
    <w:p>
      <w:pPr>
        <w:pStyle w:val="null3"/>
      </w:pPr>
      <w:r>
        <w:rPr/>
        <w:t>西安市雁塔区含光南路218号</w:t>
      </w:r>
    </w:p>
    <w:p>
      <w:pPr>
        <w:pStyle w:val="null3"/>
        <w:outlineLvl w:val="3"/>
      </w:pPr>
      <w:r>
        <w:rPr>
          <w:sz w:val="24"/>
          <w:b/>
        </w:rPr>
        <w:t>3.3.3考核（验收）标准和方法</w:t>
      </w:r>
    </w:p>
    <w:p>
      <w:pPr>
        <w:pStyle w:val="null3"/>
      </w:pPr>
      <w:r>
        <w:rPr/>
        <w:t>采购包1：</w:t>
      </w:r>
    </w:p>
    <w:p>
      <w:pPr>
        <w:pStyle w:val="null3"/>
      </w:pPr>
      <w:r>
        <w:rPr/>
        <w:t>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3.1磋商文件、磋商响应文件、澄清表（函）； 3.2本合同及附件文本；</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采购包1：付款条件说明：合同签订后 ，甲方收到乙方开具的发票后，达到付款条件起15日内，支付合同总金额的50.00%。</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 xml:space="preserve">2024年12月前乙方须向甲方提供银行开具的履约保函，履约保函金额为合同总价款的5%，待2024年12月份 </w:t>
      </w:r>
      <w:r>
        <w:rPr/>
        <w:t xml:space="preserve"> ，达到付款条件起 </w:t>
      </w:r>
      <w:r>
        <w:rPr/>
        <w:t>15</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双方因履行本协议而产生的争议，应友好协商解决，协商不成的，任何一方可通过以下选定途径解决争议。 ☑向需方有管辖权的人民法院提起诉讼 □向西安仲裁委员会提请仲裁 □由供应商做出选择。</w:t>
      </w:r>
    </w:p>
    <w:p>
      <w:pPr>
        <w:pStyle w:val="null3"/>
        <w:outlineLvl w:val="2"/>
      </w:pPr>
      <w:r>
        <w:rPr>
          <w:sz w:val="28"/>
          <w:b/>
        </w:rPr>
        <w:t>3.4其他要求</w:t>
      </w:r>
    </w:p>
    <w:p>
      <w:pPr>
        <w:pStyle w:val="null3"/>
      </w:pPr>
      <w:r>
        <w:rPr/>
        <w:t>3.4.1付款方式： （1）合同签订后 ，甲方收到乙方开具的发票后，达到付款条件起15日内，支付合同总金额的50.00%。 （2）待2024年12月份 ，达到付款条件起15日内，支付合同总金额的50.00%。 （3）2024年12月前乙方须向甲方提供银行开具的履约保函，履约保函金额为合同总价款的5%，有效期至服务期满后30天，合同服务期满并经甲方组织验收、完成项目绩效评价后10日内，甲方向乙方返还履约保函。</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其他附件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其他附件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t>其他附件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其他附件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供应商提供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其他附件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提供具有履行本合同所必需的设备和专业技术能力的书面声明及承诺</w:t>
            </w:r>
          </w:p>
        </w:tc>
        <w:tc>
          <w:tcPr>
            <w:tcW w:type="dxa" w:w="1661"/>
          </w:tcPr>
          <w:p>
            <w:pPr>
              <w:pStyle w:val="null3"/>
            </w:pPr>
            <w:r>
              <w:rPr/>
              <w:t>其他附件</w:t>
            </w:r>
          </w:p>
        </w:tc>
      </w:tr>
      <w:tr>
        <w:tc>
          <w:tcPr>
            <w:tcW w:type="dxa" w:w="831"/>
          </w:tcPr>
          <w:p>
            <w:pPr>
              <w:pStyle w:val="null3"/>
            </w:pPr>
            <w:r>
              <w:rPr/>
              <w:t>6</w:t>
            </w:r>
          </w:p>
        </w:tc>
        <w:tc>
          <w:tcPr>
            <w:tcW w:type="dxa" w:w="2492"/>
          </w:tcPr>
          <w:p>
            <w:pPr>
              <w:pStyle w:val="null3"/>
            </w:pPr>
            <w:r>
              <w:rPr/>
              <w:t>无重大违法记录</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其他附件</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t>其他附件</w:t>
            </w:r>
          </w:p>
        </w:tc>
      </w:tr>
      <w:tr>
        <w:tc>
          <w:tcPr>
            <w:tcW w:type="dxa" w:w="831"/>
          </w:tcPr>
          <w:p>
            <w:pPr>
              <w:pStyle w:val="null3"/>
            </w:pPr>
            <w:r>
              <w:rPr/>
              <w:t>8</w:t>
            </w:r>
          </w:p>
        </w:tc>
        <w:tc>
          <w:tcPr>
            <w:tcW w:type="dxa" w:w="2492"/>
          </w:tcPr>
          <w:p>
            <w:pPr>
              <w:pStyle w:val="null3"/>
            </w:pPr>
            <w:r>
              <w:rPr/>
              <w:t>授权委托书</w:t>
            </w:r>
          </w:p>
        </w:tc>
        <w:tc>
          <w:tcPr>
            <w:tcW w:type="dxa" w:w="3322"/>
          </w:tcPr>
          <w:p>
            <w:pPr>
              <w:pStyle w:val="null3"/>
            </w:pPr>
            <w:r>
              <w:rPr/>
              <w:t>非法定代表人参加投标，须提供法定代表人授权委托书及被授权人身份证原件；法定代表人参加投标时,只须提供法定代表人身份证原件；</w:t>
            </w:r>
          </w:p>
        </w:tc>
        <w:tc>
          <w:tcPr>
            <w:tcW w:type="dxa" w:w="1661"/>
          </w:tcPr>
          <w:p>
            <w:pPr>
              <w:pStyle w:val="null3"/>
            </w:pPr>
            <w:r>
              <w:rPr/>
              <w:t>其他附件</w:t>
            </w:r>
          </w:p>
        </w:tc>
      </w:tr>
      <w:tr>
        <w:tc>
          <w:tcPr>
            <w:tcW w:type="dxa" w:w="831"/>
          </w:tcPr>
          <w:p>
            <w:pPr>
              <w:pStyle w:val="null3"/>
            </w:pPr>
            <w:r>
              <w:rPr/>
              <w:t>9</w:t>
            </w:r>
          </w:p>
        </w:tc>
        <w:tc>
          <w:tcPr>
            <w:tcW w:type="dxa" w:w="2492"/>
          </w:tcPr>
          <w:p>
            <w:pPr>
              <w:pStyle w:val="null3"/>
            </w:pPr>
            <w:r>
              <w:rPr/>
              <w:t>专门面向中小企业</w:t>
            </w:r>
          </w:p>
        </w:tc>
        <w:tc>
          <w:tcPr>
            <w:tcW w:type="dxa" w:w="3322"/>
          </w:tcPr>
          <w:p>
            <w:pPr>
              <w:pStyle w:val="null3"/>
            </w:pPr>
            <w:r>
              <w:rPr/>
              <w:t>本项目专门面向中小企业采购，供应商须为中小微企业或监狱企业或残疾人福利性单位。</w:t>
            </w:r>
          </w:p>
        </w:tc>
        <w:tc>
          <w:tcPr>
            <w:tcW w:type="dxa" w:w="1661"/>
          </w:tcPr>
          <w:p>
            <w:pPr>
              <w:pStyle w:val="null3"/>
            </w:pPr>
            <w:r>
              <w:rPr/>
              <w:t>中小企业声明函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磋商响应文件完整性</w:t>
            </w:r>
          </w:p>
        </w:tc>
        <w:tc>
          <w:tcPr>
            <w:tcW w:type="dxa" w:w="3322"/>
          </w:tcPr>
          <w:p>
            <w:pPr>
              <w:pStyle w:val="null3"/>
            </w:pPr>
            <w:r>
              <w:rPr/>
              <w:t>磋商响应文件构成无重大缺项（详细评审除外），按照磋商文件要求的格式编写磋商响应文件。</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磋商响应文件报价</w:t>
            </w:r>
          </w:p>
        </w:tc>
        <w:tc>
          <w:tcPr>
            <w:tcW w:type="dxa" w:w="3322"/>
          </w:tcPr>
          <w:p>
            <w:pPr>
              <w:pStyle w:val="null3"/>
            </w:pPr>
            <w:r>
              <w:rPr/>
              <w:t>报价唯一，且没有高于采购预算的。</w:t>
            </w:r>
          </w:p>
        </w:tc>
        <w:tc>
          <w:tcPr>
            <w:tcW w:type="dxa" w:w="1661"/>
          </w:tcPr>
          <w:p>
            <w:pPr>
              <w:pStyle w:val="null3"/>
            </w:pPr>
            <w:r>
              <w:rPr/>
              <w:t>响应文件封面 标的清单 报价表</w:t>
            </w:r>
          </w:p>
        </w:tc>
      </w:tr>
      <w:tr>
        <w:tc>
          <w:tcPr>
            <w:tcW w:type="dxa" w:w="831"/>
          </w:tcPr>
          <w:p>
            <w:pPr>
              <w:pStyle w:val="null3"/>
            </w:pPr>
            <w:r>
              <w:rPr/>
              <w:t>4</w:t>
            </w:r>
          </w:p>
        </w:tc>
        <w:tc>
          <w:tcPr>
            <w:tcW w:type="dxa" w:w="2492"/>
          </w:tcPr>
          <w:p>
            <w:pPr>
              <w:pStyle w:val="null3"/>
            </w:pPr>
            <w:r>
              <w:rPr/>
              <w:t>磋商响应文件有效性</w:t>
            </w:r>
          </w:p>
        </w:tc>
        <w:tc>
          <w:tcPr>
            <w:tcW w:type="dxa" w:w="3322"/>
          </w:tcPr>
          <w:p>
            <w:pPr>
              <w:pStyle w:val="null3"/>
            </w:pPr>
            <w:r>
              <w:rPr/>
              <w:t>磋商响应文件的签署、盖章符合磋商文件要求，供应商递交的磋商响应文件与本项目名称一致。</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磋商有效期、授权有效期</w:t>
            </w:r>
          </w:p>
        </w:tc>
        <w:tc>
          <w:tcPr>
            <w:tcW w:type="dxa" w:w="3322"/>
          </w:tcPr>
          <w:p>
            <w:pPr>
              <w:pStyle w:val="null3"/>
            </w:pPr>
            <w:r>
              <w:rPr/>
              <w:t>文件递交截止之日起90日历日。</w:t>
            </w:r>
          </w:p>
        </w:tc>
        <w:tc>
          <w:tcPr>
            <w:tcW w:type="dxa" w:w="1661"/>
          </w:tcPr>
          <w:p>
            <w:pPr>
              <w:pStyle w:val="null3"/>
            </w:pPr>
            <w:r>
              <w:rPr/>
              <w:t>响应文件封面</w:t>
            </w:r>
          </w:p>
        </w:tc>
      </w:tr>
      <w:tr>
        <w:tc>
          <w:tcPr>
            <w:tcW w:type="dxa" w:w="831"/>
          </w:tcPr>
          <w:p>
            <w:pPr>
              <w:pStyle w:val="null3"/>
            </w:pPr>
            <w:r>
              <w:rPr/>
              <w:t>6</w:t>
            </w:r>
          </w:p>
        </w:tc>
        <w:tc>
          <w:tcPr>
            <w:tcW w:type="dxa" w:w="2492"/>
          </w:tcPr>
          <w:p>
            <w:pPr>
              <w:pStyle w:val="null3"/>
            </w:pPr>
            <w:r>
              <w:rPr/>
              <w:t>磋商响应文件响应性</w:t>
            </w:r>
          </w:p>
        </w:tc>
        <w:tc>
          <w:tcPr>
            <w:tcW w:type="dxa" w:w="3322"/>
          </w:tcPr>
          <w:p>
            <w:pPr>
              <w:pStyle w:val="null3"/>
            </w:pPr>
            <w:r>
              <w:rPr/>
              <w:t>服务期响应磋商文件要求。</w:t>
            </w:r>
          </w:p>
        </w:tc>
        <w:tc>
          <w:tcPr>
            <w:tcW w:type="dxa" w:w="1661"/>
          </w:tcPr>
          <w:p>
            <w:pPr>
              <w:pStyle w:val="null3"/>
            </w:pPr>
            <w:r>
              <w:rPr/>
              <w:t>响应文件封面 响应函</w:t>
            </w:r>
          </w:p>
        </w:tc>
      </w:tr>
      <w:tr>
        <w:tc>
          <w:tcPr>
            <w:tcW w:type="dxa" w:w="831"/>
          </w:tcPr>
          <w:p>
            <w:pPr>
              <w:pStyle w:val="null3"/>
            </w:pPr>
            <w:r>
              <w:rPr/>
              <w:t>7</w:t>
            </w:r>
          </w:p>
        </w:tc>
        <w:tc>
          <w:tcPr>
            <w:tcW w:type="dxa" w:w="2492"/>
          </w:tcPr>
          <w:p>
            <w:pPr>
              <w:pStyle w:val="null3"/>
            </w:pPr>
            <w:r>
              <w:rPr/>
              <w:t>其他</w:t>
            </w:r>
          </w:p>
        </w:tc>
        <w:tc>
          <w:tcPr>
            <w:tcW w:type="dxa" w:w="3322"/>
          </w:tcPr>
          <w:p>
            <w:pPr>
              <w:pStyle w:val="null3"/>
            </w:pPr>
            <w:r>
              <w:rPr/>
              <w:t>无磋商文件中规定的无效情形</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供应商针对本项目的理解和分析，明确采购人需求，项目重点把握准确，按其响应程度赋分。 对项目需求理解全面详尽，能把握项目重点，得5分； 对项目需求理解不全面，但基本满足采购人要求，得3分； 对项目需求理解不全面，项目重难点把握不清楚，得1分； 未提供项目理解方案，得0分。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网络安全系统运行、宣传方案：</w:t>
            </w:r>
          </w:p>
        </w:tc>
        <w:tc>
          <w:tcPr>
            <w:tcW w:type="dxa" w:w="2492"/>
          </w:tcPr>
          <w:p>
            <w:pPr>
              <w:pStyle w:val="null3"/>
            </w:pPr>
            <w:r>
              <w:rPr/>
              <w:t>供应商对项目网络运行、安全宣传的工作目标、规模、内容理解透彻，宣传方案架构完整、层次清楚、针对性强，完全满足项目要求，得10分； 供应商提供的网络运行、安全宣传方案内容较全面，针对性较强，基本满足项目要求，得7分； 供应商对项目理解不透彻，提供的网络运行、安全宣传方案可实施性差，得4分； 未提供网络运行、宣传方案，得0分。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网络安全培训方案</w:t>
            </w:r>
          </w:p>
        </w:tc>
        <w:tc>
          <w:tcPr>
            <w:tcW w:type="dxa" w:w="2492"/>
          </w:tcPr>
          <w:p>
            <w:pPr>
              <w:pStyle w:val="null3"/>
            </w:pPr>
            <w:r>
              <w:rPr/>
              <w:t>供应商对项目网络安全培训内容理解透彻，针对本项目提供详细、全面的培训方案，方案内容齐全、简单易懂，服务目标明确，培训次数达标，架构完整、层次清楚，完全满足项目整体要求，得10分； 供应商对项目安全培训目标明确，提供完整方案，方案内容能满足采购人要求，培训次数基本能按照采购人要求完成，安全培训针对性较强，基本满足项目整体要求得7分； 供应商对项目安全培训目标基本理解，提供安全培训方案，针对性一般，安全培训方案不便于理解，很难满足项目要求，得4分；未提供培训方案，得0分。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安全检查、应急方案</w:t>
            </w:r>
          </w:p>
        </w:tc>
        <w:tc>
          <w:tcPr>
            <w:tcW w:type="dxa" w:w="2492"/>
          </w:tcPr>
          <w:p>
            <w:pPr>
              <w:pStyle w:val="null3"/>
            </w:pPr>
            <w:r>
              <w:rPr/>
              <w:t>供应商针对于项目安全培训、网络设备、安全宣传等方面提供相对应的应急方案，提供方案全面，针对于可能发生的相关安全问题（业务系统数据丢失、损坏、安全隐患等）提供完整的安全检查方案。 供应商根据项目具体情况，面对可能发生的系列安全问题提供相对应的安全检查方案和应急方案，方案具体，针对性强，针对不同情况有对应的解决措施，得10分。 供应商提供的安全检查、应急方案，针对性较强，面对不同状况解决方案基本完整，得7分； 供应商针对项目情况提供有安全检查和应急方案，但方案不完整，有明显漏洞，得4分； 未提供安全检查和应急方案，得0分。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保密制度</w:t>
            </w:r>
          </w:p>
        </w:tc>
        <w:tc>
          <w:tcPr>
            <w:tcW w:type="dxa" w:w="2492"/>
          </w:tcPr>
          <w:p>
            <w:pPr>
              <w:pStyle w:val="null3"/>
            </w:pPr>
            <w:r>
              <w:rPr/>
              <w:t>供应商应严格遵守采购人有关保密规定，具有相关的安全保障措施以及保密制度，承诺不得泄漏采购单位一切敏感信息和不对外公布信息，提供相对应的保密制度方案。 保密制度明确清晰，符合采购人规定，保密措施强，安全保障以及保密制度完整详细，得5分； 提供安全保障及保密制度，安全保障及保密制度有一定缺陷，得3分； 提供安全保障及保密制度，制度不完善，内容不详细，有明显漏洞，得1分； 未提供保密制度，得0分。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质量进度保障方案</w:t>
            </w:r>
          </w:p>
        </w:tc>
        <w:tc>
          <w:tcPr>
            <w:tcW w:type="dxa" w:w="2492"/>
          </w:tcPr>
          <w:p>
            <w:pPr>
              <w:pStyle w:val="null3"/>
            </w:pPr>
            <w:r>
              <w:rPr/>
              <w:t>供应商应提供针对本项目质量进度保证措施方案，能够根据项目所需提供明确的项目质量进度方案，方案内容可实施性强，时间进度分配合理，得6分； 供应商根据本项目提供的质量进度保障方案完整，方案可实施性较强，得4分； 供应商根据本项目提供的质量进度保障方案不完整，方案可实施性差，得2分； 未提供相对应的质量进度保障方案，得0分。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合理化建议</w:t>
            </w:r>
          </w:p>
        </w:tc>
        <w:tc>
          <w:tcPr>
            <w:tcW w:type="dxa" w:w="2492"/>
          </w:tcPr>
          <w:p>
            <w:pPr>
              <w:pStyle w:val="null3"/>
            </w:pPr>
            <w:r>
              <w:rPr/>
              <w:t>根据投标人提供的合理化建议，包含：①宣传方案②培训方案③安全检查和应急方案④保密制度⑤质量保障进度，合理化建议内容全面详细、阐述条理清晰详尽、符合本项目采购需求得5分；以上分项每缺少一项内容扣1分；有某一项不完整或不符合实际要求或不满足实施要求或套用其他项目内容的每项扣1分；扣完为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企业实力</w:t>
            </w:r>
          </w:p>
        </w:tc>
        <w:tc>
          <w:tcPr>
            <w:tcW w:type="dxa" w:w="2492"/>
          </w:tcPr>
          <w:p>
            <w:pPr>
              <w:pStyle w:val="null3"/>
            </w:pPr>
            <w:r>
              <w:rPr/>
              <w:t>投标人具有ISO9001质量管理体系认证证书、IISO20000信息技术服务管理体系认证证书，全部符合得2分，有1个得1分，未提供得0分。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其他附件</w:t>
            </w:r>
          </w:p>
        </w:tc>
      </w:tr>
      <w:tr>
        <w:tc>
          <w:tcPr>
            <w:tcW w:type="dxa" w:w="831"/>
            <w:vMerge/>
          </w:tcPr>
          <w:p/>
        </w:tc>
        <w:tc>
          <w:tcPr>
            <w:tcW w:type="dxa" w:w="1661"/>
          </w:tcPr>
          <w:p>
            <w:pPr>
              <w:pStyle w:val="null3"/>
            </w:pPr>
            <w:r>
              <w:rPr/>
              <w:t>人员配备1</w:t>
            </w:r>
          </w:p>
        </w:tc>
        <w:tc>
          <w:tcPr>
            <w:tcW w:type="dxa" w:w="2492"/>
          </w:tcPr>
          <w:p>
            <w:pPr>
              <w:pStyle w:val="null3"/>
            </w:pPr>
            <w:r>
              <w:rPr/>
              <w:t>人员组织架构完整，有详细的人员分配名单，岗位设置合理、明确，投入人员专业性、针对性强，完全满足项目所需，得6分； 人员组织架构较为完整，提供相对应人员名单，岗位设置较为合理，投入人员具有一定专业性和针对性。基本满足项目需求对人员要求，得4分； 人员组织架构基本完整，提供人员名单，岗位设置不明确，得2分； 未提供相对应人员组织架构或分配名单，得0分。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其他附件</w:t>
            </w:r>
          </w:p>
        </w:tc>
      </w:tr>
      <w:tr>
        <w:tc>
          <w:tcPr>
            <w:tcW w:type="dxa" w:w="831"/>
            <w:vMerge/>
          </w:tcPr>
          <w:p/>
        </w:tc>
        <w:tc>
          <w:tcPr>
            <w:tcW w:type="dxa" w:w="1661"/>
          </w:tcPr>
          <w:p>
            <w:pPr>
              <w:pStyle w:val="null3"/>
            </w:pPr>
            <w:r>
              <w:rPr/>
              <w:t>人员配备2</w:t>
            </w:r>
          </w:p>
        </w:tc>
        <w:tc>
          <w:tcPr>
            <w:tcW w:type="dxa" w:w="2492"/>
          </w:tcPr>
          <w:p>
            <w:pPr>
              <w:pStyle w:val="null3"/>
            </w:pPr>
            <w:r>
              <w:rPr/>
              <w:t>项目经理：同时具有项目管理专业人士资格认证（PMP）证书、注册信息安全专业人员（CISP）证书，得3分；其余情况不得分。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其他附件</w:t>
            </w:r>
          </w:p>
        </w:tc>
      </w:tr>
      <w:tr>
        <w:tc>
          <w:tcPr>
            <w:tcW w:type="dxa" w:w="831"/>
            <w:vMerge/>
          </w:tcPr>
          <w:p/>
        </w:tc>
        <w:tc>
          <w:tcPr>
            <w:tcW w:type="dxa" w:w="1661"/>
          </w:tcPr>
          <w:p>
            <w:pPr>
              <w:pStyle w:val="null3"/>
            </w:pPr>
            <w:r>
              <w:rPr/>
              <w:t>人员配备3</w:t>
            </w:r>
          </w:p>
        </w:tc>
        <w:tc>
          <w:tcPr>
            <w:tcW w:type="dxa" w:w="2492"/>
          </w:tcPr>
          <w:p>
            <w:pPr>
              <w:pStyle w:val="null3"/>
            </w:pPr>
            <w:r>
              <w:rPr/>
              <w:t>提供拟投入人员（不含项目经理）具备注册渗透测试工程师（CISP-PTE）证书或信息安全保障人员认证（CISAW）证书或网络与信息安全应急人员认证（CCSC）证书，每提供其中一项证书得2分，最高得6分，（同一类型证书重复提供的，不重复计算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服务保障1</w:t>
            </w:r>
          </w:p>
        </w:tc>
        <w:tc>
          <w:tcPr>
            <w:tcW w:type="dxa" w:w="2492"/>
          </w:tcPr>
          <w:p>
            <w:pPr>
              <w:pStyle w:val="null3"/>
            </w:pPr>
            <w:r>
              <w:rPr/>
              <w:t>提供完善的售后服务方案，能够向用户提供全方位的技术支持，根据响应情况进行赋分。 方案合理全面、可行性强，得6分； 方案完整、可行性较强，得4分； 方案基本完整、但可实施性较差，得2分； 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服务保障2</w:t>
            </w:r>
          </w:p>
        </w:tc>
        <w:tc>
          <w:tcPr>
            <w:tcW w:type="dxa" w:w="2492"/>
          </w:tcPr>
          <w:p>
            <w:pPr>
              <w:pStyle w:val="null3"/>
            </w:pPr>
            <w:r>
              <w:rPr/>
              <w:t xml:space="preserve"> 供应商根据磋商文件要求的服务内容提供完整可行的服务承诺及保障措施，根据响应情况进行赋分。 服务承诺及保障措施针对性强，得6分； 服务承诺及保障措施针对性较强，得4分； 服务承诺及保障措施针对性不强，得2分； 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类似业绩</w:t>
            </w:r>
          </w:p>
        </w:tc>
        <w:tc>
          <w:tcPr>
            <w:tcW w:type="dxa" w:w="2492"/>
          </w:tcPr>
          <w:p>
            <w:pPr>
              <w:pStyle w:val="null3"/>
            </w:pPr>
            <w:r>
              <w:rPr/>
              <w:t>供应商提供2021年1月至今类似项目业绩，每提供一个业绩证明得2分，满分10分。（业绩以合同协议书及验收报告复印件加盖公章为准）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其他附件</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1.经资格审查、符合性审查合格的磋商响应文件，其磋商报价为有效磋商报价，并依据此价格（评审价格）进行价格评审。 2.满足磋商文件实质性要求且最终报价最低的供应商的价格为磋商基准价，其价格分为满分10分。 3.磋商报价得分=（磋商基准价/最终磋商报价）×10的公式计算得分。 4.磋商报价不完整的，不进入评标标准价的计算，本项得0分。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详见附件：其他附件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