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版本号：240606001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无纺布手提袋采购项目（二次）</w:t>
      </w:r>
    </w:p>
    <w:p>
      <w:pPr>
        <w:pStyle w:val="null3"/>
        <w:jc w:val="center"/>
        <w:outlineLvl w:val="2"/>
      </w:pPr>
      <w:r>
        <w:rPr>
          <w:sz w:val="28"/>
          <w:b/>
        </w:rPr>
        <w:t>采购项目编号：</w:t>
      </w:r>
      <w:r>
        <w:rPr>
          <w:sz w:val="28"/>
          <w:b/>
        </w:rPr>
        <w:t>【KRDL】K2-2403044-02</w:t>
      </w:r>
      <w:r>
        <w:br/>
      </w:r>
      <w:r>
        <w:br/>
      </w:r>
      <w:r>
        <w:br/>
      </w:r>
    </w:p>
    <w:p>
      <w:pPr>
        <w:pStyle w:val="null3"/>
        <w:jc w:val="center"/>
        <w:outlineLvl w:val="2"/>
      </w:pPr>
      <w:r>
        <w:rPr>
          <w:sz w:val="28"/>
          <w:b/>
        </w:rPr>
        <w:t>西安市中心血站</w:t>
      </w:r>
    </w:p>
    <w:p>
      <w:pPr>
        <w:pStyle w:val="null3"/>
        <w:jc w:val="center"/>
        <w:outlineLvl w:val="2"/>
      </w:pPr>
      <w:r>
        <w:rPr>
          <w:sz w:val="28"/>
          <w:b/>
        </w:rPr>
        <w:t>开瑞项目管理有限公司</w:t>
      </w:r>
      <w:r>
        <w:rPr>
          <w:sz w:val="28"/>
          <w:b/>
        </w:rPr>
        <w:t>共同编制</w:t>
      </w:r>
    </w:p>
    <w:p>
      <w:pPr>
        <w:pStyle w:val="null3"/>
        <w:jc w:val="center"/>
        <w:outlineLvl w:val="2"/>
      </w:pPr>
      <w:r>
        <w:rPr>
          <w:sz w:val="28"/>
          <w:b/>
        </w:rPr>
        <w:t>2024年06月06日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开瑞项目管理有限公司</w:t>
      </w:r>
      <w:r>
        <w:rPr/>
        <w:t>（以下简称“代理机构”）受</w:t>
      </w:r>
      <w:r>
        <w:rPr/>
        <w:t>西安市中心血站</w:t>
      </w:r>
      <w:r>
        <w:rPr/>
        <w:t>委托，拟对</w:t>
      </w:r>
      <w:r>
        <w:rPr/>
        <w:t>无纺布手提袋采购项目（二次）</w:t>
      </w:r>
      <w:r>
        <w:rPr/>
        <w:t>进行国内公开招标，兹邀请符合本次招标要求的供应商参加投标。</w:t>
      </w:r>
    </w:p>
    <w:p>
      <w:pPr>
        <w:pStyle w:val="null3"/>
        <w:outlineLvl w:val="2"/>
      </w:pPr>
      <w:r>
        <w:rPr>
          <w:sz w:val="28"/>
          <w:b/>
        </w:rPr>
        <w:t>一、采购项目编号：</w:t>
      </w:r>
      <w:r>
        <w:rPr>
          <w:sz w:val="28"/>
          <w:b/>
        </w:rPr>
        <w:t>【KRDL】K2-2403044-02</w:t>
      </w:r>
    </w:p>
    <w:p>
      <w:pPr>
        <w:pStyle w:val="null3"/>
        <w:outlineLvl w:val="2"/>
      </w:pPr>
      <w:r>
        <w:rPr>
          <w:sz w:val="28"/>
          <w:b/>
        </w:rPr>
        <w:t>二、采购项目名称：</w:t>
      </w:r>
      <w:r>
        <w:rPr>
          <w:sz w:val="28"/>
          <w:b/>
        </w:rPr>
        <w:t>无纺布手提袋采购项目（二次）</w:t>
      </w:r>
    </w:p>
    <w:p>
      <w:pPr>
        <w:pStyle w:val="null3"/>
        <w:outlineLvl w:val="2"/>
      </w:pPr>
      <w:r>
        <w:rPr>
          <w:sz w:val="28"/>
          <w:b/>
        </w:rPr>
        <w:t>三、招标项目简介</w:t>
      </w:r>
    </w:p>
    <w:p>
      <w:pPr>
        <w:pStyle w:val="null3"/>
        <w:ind w:firstLine="480"/>
      </w:pPr>
      <w:r>
        <w:rPr/>
        <w:t>西安市中心血站无纺布手提袋采购项目，拟为西安市中心血站采购一批无纺布手提袋。</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采购包1（无纺布手提袋采购项目）：属于专门面向中小企业采购。</w:t>
      </w:r>
    </w:p>
    <w:p>
      <w:pPr>
        <w:pStyle w:val="null3"/>
        <w:ind w:firstLine="480"/>
      </w:pPr>
      <w:r>
        <w:rPr/>
        <w:t>（三）本项目的特定资格要求：</w:t>
      </w:r>
    </w:p>
    <w:p>
      <w:pPr>
        <w:pStyle w:val="null3"/>
      </w:pPr>
      <w:r>
        <w:rPr/>
        <w:t>采购包1：</w:t>
      </w:r>
    </w:p>
    <w:p>
      <w:pPr>
        <w:pStyle w:val="null3"/>
      </w:pPr>
      <w:r>
        <w:rPr/>
        <w:t>1、主体资格：投标人应是响应招标、参加投标竞争的法人或者其他组织，且具有合法有效的营业执照；</w:t>
      </w:r>
    </w:p>
    <w:p>
      <w:pPr>
        <w:pStyle w:val="null3"/>
      </w:pPr>
      <w:r>
        <w:rPr/>
        <w:t>2、税收缴纳证明：投标人提供本单位2023年04月至今已缴纳的至少一个月纳税证明或完税证明，依法免税的单位应提供相关证明材料；</w:t>
      </w:r>
    </w:p>
    <w:p>
      <w:pPr>
        <w:pStyle w:val="null3"/>
      </w:pPr>
      <w:r>
        <w:rPr/>
        <w:t>3、财务状况证明：投标人提供经会计师事务所审计2022年或2023年的财务审计报告；或在开标日期前六个月内其基本开户银行出具的资信证明；</w:t>
      </w:r>
    </w:p>
    <w:p>
      <w:pPr>
        <w:pStyle w:val="null3"/>
      </w:pPr>
      <w:r>
        <w:rPr/>
        <w:t>4、社会保障资金缴纳证明：投标人提供本单位2023年04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t>5、信誉要求：截止至投标文件递交截止时间之前，投标人未在“信用中国”网站（www.creditchina.gov.cn）中被列入“信用服务”查询栏目中严重失信主体名单以及重点领域严重失信主体名单；投标人未在“国家企业信用信息公示系统”中被列入严重违法失信名单（黑名单），未被列入“中国政府采购网(www.ccgp.gov.cn)”政府采购严重违法失信行为记录名单；</w:t>
      </w:r>
    </w:p>
    <w:p>
      <w:pPr>
        <w:pStyle w:val="null3"/>
      </w:pPr>
      <w:r>
        <w:rPr/>
        <w:t>6、授权代表：投标人应授权合法的人员参加本项目招标活动全过程，其中法定代表人直接参加招标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t>7、是否面向中小企业采购：本采购包专门面向中、小企业采购，供应商应为中型企业、小型企业或微型企业。</w:t>
      </w:r>
    </w:p>
    <w:p>
      <w:pPr>
        <w:pStyle w:val="null3"/>
      </w:pPr>
      <w:r>
        <w:rPr/>
        <w:t>8、是否接受联合体投标：本项目不接受联合体投标。</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西安市中心血站</w:t>
      </w:r>
    </w:p>
    <w:p>
      <w:pPr>
        <w:pStyle w:val="null3"/>
      </w:pPr>
      <w:r>
        <w:rPr/>
        <w:t xml:space="preserve"> 地址： </w:t>
      </w:r>
      <w:r>
        <w:rPr/>
        <w:t>西安市雁塔区朱雀大街407号</w:t>
      </w:r>
    </w:p>
    <w:p>
      <w:pPr>
        <w:pStyle w:val="null3"/>
      </w:pPr>
      <w:r>
        <w:rPr/>
        <w:t xml:space="preserve"> 邮编： </w:t>
      </w:r>
      <w:r>
        <w:rPr/>
        <w:t>710000</w:t>
      </w:r>
    </w:p>
    <w:p>
      <w:pPr>
        <w:pStyle w:val="null3"/>
      </w:pPr>
      <w:r>
        <w:rPr/>
        <w:t xml:space="preserve"> 联系人： </w:t>
      </w:r>
      <w:r>
        <w:rPr/>
        <w:t>靳老师</w:t>
      </w:r>
    </w:p>
    <w:p>
      <w:pPr>
        <w:pStyle w:val="null3"/>
      </w:pPr>
      <w:r>
        <w:rPr/>
        <w:t xml:space="preserve"> 联系电话： </w:t>
      </w:r>
      <w:r>
        <w:rPr/>
        <w:t>029-85212746</w:t>
      </w:r>
    </w:p>
    <w:p>
      <w:pPr>
        <w:pStyle w:val="null3"/>
        <w:outlineLvl w:val="2"/>
      </w:pPr>
      <w:r>
        <w:rPr>
          <w:sz w:val="28"/>
          <w:b/>
        </w:rPr>
        <w:t>代理机构：</w:t>
      </w:r>
      <w:r>
        <w:rPr>
          <w:sz w:val="28"/>
          <w:b/>
        </w:rPr>
        <w:t>开瑞项目管理有限公司</w:t>
      </w:r>
    </w:p>
    <w:p>
      <w:pPr>
        <w:pStyle w:val="null3"/>
      </w:pPr>
      <w:r>
        <w:rPr/>
        <w:t xml:space="preserve"> 地址： </w:t>
      </w:r>
      <w:r>
        <w:rPr/>
        <w:t>陕西省西安市莲湖区高新二路1号招商银行大厦19层</w:t>
      </w:r>
    </w:p>
    <w:p>
      <w:pPr>
        <w:pStyle w:val="null3"/>
      </w:pPr>
      <w:r>
        <w:rPr/>
        <w:t xml:space="preserve"> 邮编： </w:t>
      </w:r>
      <w:r>
        <w:rPr/>
        <w:t>710000</w:t>
      </w:r>
    </w:p>
    <w:p>
      <w:pPr>
        <w:pStyle w:val="null3"/>
      </w:pPr>
      <w:r>
        <w:rPr/>
        <w:t xml:space="preserve"> 联系人： </w:t>
      </w:r>
      <w:r>
        <w:rPr/>
        <w:t>王森、刘昆</w:t>
      </w:r>
    </w:p>
    <w:p>
      <w:pPr>
        <w:pStyle w:val="null3"/>
      </w:pPr>
      <w:r>
        <w:rPr/>
        <w:t xml:space="preserve"> 联系电话： </w:t>
      </w:r>
      <w:r>
        <w:rPr/>
        <w:t>029-89581311、17602924160</w:t>
      </w:r>
    </w:p>
    <w:p>
      <w:pPr>
        <w:pStyle w:val="null3"/>
        <w:outlineLvl w:val="2"/>
      </w:pPr>
      <w:r>
        <w:rPr>
          <w:sz w:val="28"/>
          <w:b/>
        </w:rPr>
        <w:t>采购监督机构：</w:t>
      </w:r>
      <w:r>
        <w:rPr>
          <w:sz w:val="28"/>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采购包1：370,000.00元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代理服务费收费标准：按国家计委颁发的《招标代理服务收费管理暂行办法》（计价格[2002]1980号）和国家发展改革委员会办公厅颁发的《关于招标代理服务收费有关问题的通知》（发改办价格[2003] 857号）的有关规定向采购代理机构一次付清代理服务费。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西安市中心血站</w:t>
      </w:r>
      <w:r>
        <w:rPr/>
        <w:t>和</w:t>
      </w:r>
      <w:r>
        <w:rPr/>
        <w:t>开瑞项目管理有限公司</w:t>
      </w:r>
      <w:r>
        <w:rPr/>
        <w:t>享有。对招标文件中供应商参加本次政府采购活动应当具备的条件，招标项目技术、服务、商务及其他要求，评标细则及标准由</w:t>
      </w:r>
      <w:r>
        <w:rPr/>
        <w:t>西安市中心血站</w:t>
      </w:r>
      <w:r>
        <w:rPr/>
        <w:t>负责解释。除上述招标文件内容，其他内容由</w:t>
      </w:r>
      <w:r>
        <w:rPr/>
        <w:t>开瑞项目管理有限公司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西安市中心血站</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开瑞项目管理有限公司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依照采购方要求。</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开瑞项目管理有限公司</w:t>
      </w:r>
      <w:r>
        <w:rPr/>
        <w:t xml:space="preserve"> 负责答复；供应商对除采购需求外的采购文件的询问、质疑由</w:t>
      </w:r>
      <w:r>
        <w:rPr/>
        <w:t>开瑞项目管理有限公司</w:t>
      </w:r>
      <w:r>
        <w:rPr/>
        <w:t xml:space="preserve"> 负责答复；供应商对采购过程、采购结果的询问、质疑由 </w:t>
      </w:r>
      <w:r>
        <w:rPr/>
        <w:t>开瑞项目管理有限公司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联系人：王森</w:t>
      </w:r>
    </w:p>
    <w:p>
      <w:pPr>
        <w:pStyle w:val="null3"/>
      </w:pPr>
      <w:r>
        <w:rPr/>
        <w:t>联系电话：17602924160、029-89581311</w:t>
      </w:r>
    </w:p>
    <w:p>
      <w:pPr>
        <w:pStyle w:val="null3"/>
      </w:pPr>
      <w:r>
        <w:rPr/>
        <w:t>地址：陕西省西安市莲湖区高新二路1号招商银行大厦19层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西安市中心血站无纺布手提袋采购项目，拟为西安市中心血站采购一批无纺布手提袋。</w:t>
      </w:r>
    </w:p>
    <w:p>
      <w:pPr>
        <w:pStyle w:val="null3"/>
        <w:outlineLvl w:val="2"/>
      </w:pPr>
      <w:r>
        <w:rPr>
          <w:sz w:val="28"/>
          <w:b/>
        </w:rPr>
        <w:t>3.2采购内容</w:t>
      </w:r>
    </w:p>
    <w:p>
      <w:pPr>
        <w:pStyle w:val="null3"/>
      </w:pPr>
      <w:r>
        <w:rPr/>
        <w:t>采购包1：</w:t>
      </w:r>
    </w:p>
    <w:p>
      <w:pPr>
        <w:pStyle w:val="null3"/>
      </w:pPr>
      <w:r>
        <w:rPr/>
        <w:t>采购包预算金额（元）: 370,000.00</w:t>
      </w:r>
    </w:p>
    <w:p>
      <w:pPr>
        <w:pStyle w:val="null3"/>
      </w:pPr>
      <w:r>
        <w:rPr/>
        <w:t>采购包最高限价（元）: 370,000.00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无纺布手提袋采购项目</w:t>
            </w:r>
          </w:p>
        </w:tc>
        <w:tc>
          <w:tcPr>
            <w:tcW w:type="dxa" w:w="831"/>
          </w:tcPr>
          <w:p>
            <w:pPr>
              <w:pStyle w:val="null3"/>
              <w:jc w:val="right"/>
            </w:pPr>
            <w:r>
              <w:rPr/>
              <w:t>1.00</w:t>
            </w:r>
          </w:p>
        </w:tc>
        <w:tc>
          <w:tcPr>
            <w:tcW w:type="dxa" w:w="831"/>
          </w:tcPr>
          <w:p>
            <w:pPr>
              <w:pStyle w:val="null3"/>
              <w:jc w:val="right"/>
            </w:pPr>
            <w:r>
              <w:rPr/>
              <w:t>370,000.00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标的名称：无纺布手提袋采购项目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jc w:val="left"/>
            </w:pPr>
            <w:r>
              <w:rPr>
                <w:rFonts w:ascii="宋体" w:hAnsi="宋体" w:cs="宋体" w:eastAsia="宋体"/>
                <w:sz w:val="24"/>
                <w:color w:val="00B0F0"/>
              </w:rPr>
              <w:t>（一）采购数量：</w:t>
            </w:r>
            <w:r>
              <w:rPr>
                <w:rFonts w:ascii="宋体" w:hAnsi="宋体" w:cs="宋体" w:eastAsia="宋体"/>
                <w:sz w:val="24"/>
                <w:color w:val="00B0F0"/>
              </w:rPr>
              <w:t>25万个</w:t>
            </w:r>
          </w:p>
          <w:p>
            <w:pPr>
              <w:pStyle w:val="null3"/>
              <w:ind w:firstLine="480"/>
              <w:jc w:val="left"/>
            </w:pPr>
            <w:r>
              <w:rPr>
                <w:rFonts w:ascii="宋体" w:hAnsi="宋体" w:cs="宋体" w:eastAsia="宋体"/>
                <w:sz w:val="24"/>
                <w:color w:val="00B0F0"/>
              </w:rPr>
              <w:t>（二）技术参数</w:t>
            </w:r>
            <w:r>
              <w:rPr>
                <w:rFonts w:ascii="宋体" w:hAnsi="宋体" w:cs="宋体" w:eastAsia="宋体"/>
                <w:sz w:val="24"/>
                <w:color w:val="00B0F0"/>
              </w:rPr>
              <w:t>:</w:t>
            </w:r>
          </w:p>
          <w:p>
            <w:pPr>
              <w:pStyle w:val="null3"/>
              <w:ind w:firstLine="480"/>
              <w:jc w:val="left"/>
            </w:pPr>
            <w:r>
              <w:rPr>
                <w:rFonts w:ascii="宋体" w:hAnsi="宋体" w:cs="宋体" w:eastAsia="宋体"/>
                <w:sz w:val="24"/>
                <w:color w:val="00B0F0"/>
              </w:rPr>
              <w:t>1.手提袋材质：无纺布，覆膜彩印后约达到≧110g，无纺布料和印刷材料均满足环保要求。颜色:</w:t>
            </w:r>
            <w:r>
              <w:rPr>
                <w:rFonts w:ascii="宋体" w:hAnsi="宋体" w:cs="宋体" w:eastAsia="宋体"/>
                <w:sz w:val="24"/>
                <w:color w:val="00B0F0"/>
              </w:rPr>
              <w:t>米色或白色无纺布新料</w:t>
            </w:r>
            <w:r>
              <w:rPr>
                <w:rFonts w:ascii="宋体" w:hAnsi="宋体" w:cs="宋体" w:eastAsia="宋体"/>
                <w:sz w:val="24"/>
                <w:color w:val="00B0F0"/>
              </w:rPr>
              <w:t>。</w:t>
            </w:r>
            <w:r>
              <w:rPr>
                <w:rFonts w:ascii="宋体" w:hAnsi="宋体" w:cs="宋体" w:eastAsia="宋体"/>
                <w:sz w:val="24"/>
                <w:color w:val="00B0F0"/>
              </w:rPr>
              <w:t>款式</w:t>
            </w:r>
            <w:r>
              <w:rPr>
                <w:rFonts w:ascii="宋体" w:hAnsi="宋体" w:cs="宋体" w:eastAsia="宋体"/>
                <w:sz w:val="24"/>
                <w:color w:val="00B0F0"/>
              </w:rPr>
              <w:t>:有底有侧。</w:t>
            </w:r>
          </w:p>
          <w:p>
            <w:pPr>
              <w:pStyle w:val="null3"/>
              <w:ind w:firstLine="480"/>
              <w:jc w:val="left"/>
            </w:pPr>
            <w:r>
              <w:rPr>
                <w:rFonts w:ascii="宋体" w:hAnsi="宋体" w:cs="宋体" w:eastAsia="宋体"/>
                <w:sz w:val="24"/>
                <w:color w:val="00B0F0"/>
              </w:rPr>
              <w:t>2.尺寸规格:35*20*28cm(长*宽*高)。</w:t>
            </w:r>
          </w:p>
          <w:p>
            <w:pPr>
              <w:pStyle w:val="null3"/>
              <w:ind w:firstLine="480"/>
              <w:jc w:val="left"/>
            </w:pPr>
            <w:r>
              <w:rPr>
                <w:rFonts w:ascii="宋体" w:hAnsi="宋体" w:cs="宋体" w:eastAsia="宋体"/>
                <w:sz w:val="24"/>
                <w:color w:val="00B0F0"/>
              </w:rPr>
              <w:t>3.图案要求:</w:t>
            </w:r>
            <w:r>
              <w:rPr>
                <w:rFonts w:ascii="宋体" w:hAnsi="宋体" w:cs="宋体" w:eastAsia="宋体"/>
                <w:sz w:val="24"/>
                <w:color w:val="00B0F0"/>
              </w:rPr>
              <w:t>供应商须按照采购人提供的无纺布袋上呈现的必有内容（后附：血站官微二维码、血站</w:t>
            </w:r>
            <w:r>
              <w:rPr>
                <w:rFonts w:ascii="宋体" w:hAnsi="宋体" w:cs="宋体" w:eastAsia="宋体"/>
                <w:sz w:val="24"/>
                <w:color w:val="00B0F0"/>
              </w:rPr>
              <w:t>LOGO）进行设计</w:t>
            </w:r>
            <w:r>
              <w:rPr>
                <w:rFonts w:ascii="宋体" w:hAnsi="宋体" w:cs="宋体" w:eastAsia="宋体"/>
                <w:sz w:val="24"/>
                <w:color w:val="00B0F0"/>
              </w:rPr>
              <w:t>。</w:t>
            </w:r>
            <w:r>
              <w:rPr>
                <w:rFonts w:ascii="宋体" w:hAnsi="宋体" w:cs="宋体" w:eastAsia="宋体"/>
                <w:sz w:val="24"/>
                <w:color w:val="00B0F0"/>
              </w:rPr>
              <w:t>中标供应商设计方案经采购人确认后方可使用（版权归采购人所有），不得用于其他用途。</w:t>
            </w:r>
          </w:p>
          <w:p>
            <w:pPr>
              <w:pStyle w:val="null3"/>
              <w:ind w:firstLine="480"/>
              <w:jc w:val="left"/>
            </w:pPr>
            <w:r>
              <w:rPr>
                <w:rFonts w:ascii="宋体" w:hAnsi="宋体" w:cs="宋体" w:eastAsia="宋体"/>
                <w:sz w:val="24"/>
                <w:color w:val="00B0F0"/>
              </w:rPr>
              <w:t>4.</w:t>
            </w:r>
            <w:r>
              <w:rPr>
                <w:rFonts w:ascii="宋体" w:hAnsi="宋体" w:cs="宋体" w:eastAsia="宋体"/>
                <w:sz w:val="24"/>
                <w:color w:val="00B0F0"/>
              </w:rPr>
              <w:t>四面红色印刷，二维码放置在袋子正面右下角</w:t>
            </w:r>
            <w:r>
              <w:rPr>
                <w:rFonts w:ascii="宋体" w:hAnsi="宋体" w:cs="宋体" w:eastAsia="宋体"/>
                <w:sz w:val="24"/>
                <w:color w:val="00B0F0"/>
              </w:rPr>
              <w:t>（黑色）</w:t>
            </w:r>
            <w:r>
              <w:rPr>
                <w:rFonts w:ascii="宋体" w:hAnsi="宋体" w:cs="宋体" w:eastAsia="宋体"/>
                <w:sz w:val="24"/>
                <w:color w:val="00B0F0"/>
              </w:rPr>
              <w:t>，要求印刷清晰，便于识别，袋子整体无涂抹痕迹，袋子不掉色</w:t>
            </w:r>
            <w:r>
              <w:rPr>
                <w:rFonts w:ascii="宋体" w:hAnsi="宋体" w:cs="宋体" w:eastAsia="宋体"/>
                <w:sz w:val="24"/>
                <w:color w:val="00B0F0"/>
              </w:rPr>
              <w:t>。</w:t>
            </w:r>
          </w:p>
          <w:p>
            <w:pPr>
              <w:pStyle w:val="null3"/>
              <w:ind w:firstLine="480"/>
              <w:jc w:val="left"/>
            </w:pPr>
            <w:r>
              <w:rPr>
                <w:rFonts w:ascii="宋体" w:hAnsi="宋体" w:cs="宋体" w:eastAsia="宋体"/>
                <w:sz w:val="24"/>
                <w:color w:val="00B0F0"/>
              </w:rPr>
              <w:t>5.袋子两侧内容：供应商须按照采购人提供的无纺布袋上呈现的必有内容（献血咨询电话、献血点信息）进行设计印制，中标供应商须经采购人确认后方可使用。</w:t>
            </w:r>
          </w:p>
          <w:p>
            <w:pPr>
              <w:pStyle w:val="null3"/>
              <w:ind w:firstLine="480"/>
              <w:jc w:val="left"/>
            </w:pPr>
            <w:r>
              <w:rPr>
                <w:rFonts w:ascii="宋体" w:hAnsi="宋体" w:cs="宋体" w:eastAsia="宋体"/>
                <w:sz w:val="24"/>
                <w:color w:val="00B0F0"/>
              </w:rPr>
              <w:t>6.印制内容:</w:t>
            </w:r>
          </w:p>
          <w:p>
            <w:pPr>
              <w:pStyle w:val="null3"/>
              <w:ind w:firstLine="480"/>
              <w:jc w:val="left"/>
            </w:pPr>
            <w:r>
              <w:rPr>
                <w:rFonts w:ascii="宋体" w:hAnsi="宋体" w:cs="宋体" w:eastAsia="宋体"/>
                <w:sz w:val="24"/>
                <w:color w:val="00B0F0"/>
              </w:rPr>
              <w:t>（</w:t>
            </w:r>
            <w:r>
              <w:rPr>
                <w:rFonts w:ascii="宋体" w:hAnsi="宋体" w:cs="宋体" w:eastAsia="宋体"/>
                <w:sz w:val="24"/>
                <w:color w:val="00B0F0"/>
              </w:rPr>
              <w:t>1）名称:陕西省血液中心</w:t>
            </w:r>
          </w:p>
          <w:p>
            <w:pPr>
              <w:pStyle w:val="null3"/>
              <w:ind w:firstLine="1680"/>
              <w:jc w:val="left"/>
            </w:pPr>
            <w:r>
              <w:rPr>
                <w:rFonts w:ascii="宋体" w:hAnsi="宋体" w:cs="宋体" w:eastAsia="宋体"/>
                <w:sz w:val="24"/>
                <w:color w:val="00B0F0"/>
              </w:rPr>
              <w:t>西安市中心血站</w:t>
            </w:r>
          </w:p>
          <w:p>
            <w:pPr>
              <w:pStyle w:val="null3"/>
              <w:ind w:firstLine="480"/>
              <w:jc w:val="left"/>
            </w:pPr>
            <w:r>
              <w:rPr>
                <w:rFonts w:ascii="宋体" w:hAnsi="宋体" w:cs="宋体" w:eastAsia="宋体"/>
                <w:sz w:val="24"/>
                <w:color w:val="00B0F0"/>
              </w:rPr>
              <w:t>（</w:t>
            </w:r>
            <w:r>
              <w:rPr>
                <w:rFonts w:ascii="宋体" w:hAnsi="宋体" w:cs="宋体" w:eastAsia="宋体"/>
                <w:sz w:val="24"/>
                <w:color w:val="00B0F0"/>
              </w:rPr>
              <w:t>2）献血地点：西华门十字东南角，凤城二路未央路十字西南角，交大一附院，小寨地铁A口北100米，丈八北路地铁站C口，大雁塔北广场西南角，西安市妇幼保健院，土门华润万家门前，唐都医院骨科楼前，大明宫万达广场2号门，蓝田县白鹿广场，五路口地铁站E口，行政中心地铁站D3口，凤城五路地铁站D口，临潼区华清池地铁站B口，阳光天地永辉超市门前，丰禾路万达广场门前，李家村万达广场门前，西安市中心血站朱雀大街407号1楼献血大厅。</w:t>
            </w:r>
          </w:p>
          <w:p>
            <w:pPr>
              <w:pStyle w:val="null3"/>
              <w:ind w:firstLine="480"/>
              <w:jc w:val="left"/>
            </w:pPr>
            <w:r>
              <w:rPr>
                <w:rFonts w:ascii="宋体" w:hAnsi="宋体" w:cs="宋体" w:eastAsia="宋体"/>
                <w:sz w:val="24"/>
                <w:color w:val="00B0F0"/>
              </w:rPr>
              <w:t>（</w:t>
            </w:r>
            <w:r>
              <w:rPr>
                <w:rFonts w:ascii="宋体" w:hAnsi="宋体" w:cs="宋体" w:eastAsia="宋体"/>
                <w:sz w:val="24"/>
                <w:color w:val="00B0F0"/>
              </w:rPr>
              <w:t>3）献血咨询监督电话：029-85243524（工作日 8:30-12:00 14:00-17:30）</w:t>
            </w:r>
          </w:p>
          <w:p>
            <w:pPr>
              <w:pStyle w:val="null3"/>
              <w:ind w:firstLine="480"/>
              <w:jc w:val="left"/>
            </w:pPr>
            <w:r>
              <w:rPr>
                <w:rFonts w:ascii="宋体" w:hAnsi="宋体" w:cs="宋体" w:eastAsia="宋体"/>
                <w:sz w:val="24"/>
                <w:color w:val="00B0F0"/>
              </w:rPr>
              <w:t>7.工艺：热压；加固打叉，袋子承重≥10 kg。</w:t>
            </w:r>
          </w:p>
          <w:p>
            <w:pPr>
              <w:pStyle w:val="null3"/>
              <w:ind w:firstLine="480"/>
              <w:jc w:val="left"/>
            </w:pPr>
            <w:r>
              <w:rPr>
                <w:rFonts w:ascii="宋体" w:hAnsi="宋体" w:cs="宋体" w:eastAsia="宋体"/>
                <w:sz w:val="24"/>
                <w:color w:val="00B0F0"/>
              </w:rPr>
              <w:t>8.包装要求：纸箱材质：防潮、耐压五层双瓦楞纸。纸质规格：（五层瓦楞纸克数：170/140/130/130/130克,厚度约5—7mm）。纸箱用于放置无纺布手提袋使用，纸箱制作尺寸须满足无纺布手提袋尺寸规格的放置。外包装干净、整洁，无破损，不可使用回收废旧箱子。包装规格：100个无纺布袋/箱。</w:t>
            </w:r>
          </w:p>
          <w:p>
            <w:pPr>
              <w:pStyle w:val="null3"/>
              <w:ind w:firstLine="480"/>
              <w:jc w:val="left"/>
            </w:pPr>
            <w:r>
              <w:rPr>
                <w:rFonts w:ascii="宋体" w:hAnsi="宋体" w:cs="宋体" w:eastAsia="宋体"/>
                <w:sz w:val="24"/>
                <w:color w:val="00B0F0"/>
              </w:rPr>
              <w:t>9.服务要求:</w:t>
            </w:r>
          </w:p>
          <w:p>
            <w:pPr>
              <w:pStyle w:val="null3"/>
              <w:ind w:firstLine="480"/>
              <w:jc w:val="left"/>
            </w:pPr>
            <w:r>
              <w:rPr>
                <w:rFonts w:ascii="宋体" w:hAnsi="宋体" w:cs="宋体" w:eastAsia="宋体"/>
                <w:sz w:val="24"/>
                <w:color w:val="00B0F0"/>
              </w:rPr>
              <w:t>（</w:t>
            </w:r>
            <w:r>
              <w:rPr>
                <w:rFonts w:ascii="宋体" w:hAnsi="宋体" w:cs="宋体" w:eastAsia="宋体"/>
                <w:sz w:val="24"/>
                <w:color w:val="00B0F0"/>
              </w:rPr>
              <w:t>1）因采购人业务特点要求，采购的货物需分批次送货。具体数量及送货时间由采购人根据业务的情况提前通知。</w:t>
            </w:r>
          </w:p>
          <w:p>
            <w:pPr>
              <w:pStyle w:val="null3"/>
              <w:ind w:firstLine="480"/>
              <w:jc w:val="left"/>
            </w:pPr>
            <w:r>
              <w:rPr>
                <w:rFonts w:ascii="宋体" w:hAnsi="宋体" w:cs="宋体" w:eastAsia="宋体"/>
                <w:sz w:val="24"/>
                <w:color w:val="00B0F0"/>
              </w:rPr>
              <w:t>（</w:t>
            </w:r>
            <w:r>
              <w:rPr>
                <w:rFonts w:ascii="宋体" w:hAnsi="宋体" w:cs="宋体" w:eastAsia="宋体"/>
                <w:sz w:val="24"/>
                <w:color w:val="00B0F0"/>
              </w:rPr>
              <w:t>2）采购人所采购的货物时效性较强，有可能出现紧急送货的情况，供应商必须具备按时送达的生产及配送能力。</w:t>
            </w:r>
          </w:p>
          <w:p>
            <w:pPr>
              <w:pStyle w:val="null3"/>
              <w:ind w:firstLine="480"/>
              <w:jc w:val="left"/>
            </w:pPr>
            <w:r>
              <w:rPr>
                <w:rFonts w:ascii="宋体" w:hAnsi="宋体" w:cs="宋体" w:eastAsia="宋体"/>
                <w:sz w:val="24"/>
                <w:color w:val="00B0F0"/>
              </w:rPr>
              <w:t>（</w:t>
            </w:r>
            <w:r>
              <w:rPr>
                <w:rFonts w:ascii="宋体" w:hAnsi="宋体" w:cs="宋体" w:eastAsia="宋体"/>
                <w:sz w:val="24"/>
                <w:color w:val="00B0F0"/>
              </w:rPr>
              <w:t>3）若因质量原因造成手提袋无法使用，中标供应商须免费更换。</w:t>
            </w:r>
          </w:p>
          <w:p>
            <w:pPr>
              <w:pStyle w:val="null3"/>
              <w:ind w:firstLine="480"/>
              <w:jc w:val="left"/>
            </w:pPr>
            <w:r>
              <w:rPr>
                <w:rFonts w:ascii="宋体" w:hAnsi="宋体" w:cs="宋体" w:eastAsia="宋体"/>
                <w:sz w:val="24"/>
                <w:color w:val="00B0F0"/>
              </w:rPr>
              <w:t>（</w:t>
            </w:r>
            <w:r>
              <w:rPr>
                <w:rFonts w:ascii="宋体" w:hAnsi="宋体" w:cs="宋体" w:eastAsia="宋体"/>
                <w:sz w:val="24"/>
                <w:color w:val="00B0F0"/>
              </w:rPr>
              <w:t>4）中标供应商须有存储无纺布手提袋的库房，备货数量每月约2万个左右。</w:t>
            </w:r>
          </w:p>
          <w:p>
            <w:pPr>
              <w:pStyle w:val="null3"/>
              <w:ind w:firstLine="480"/>
              <w:jc w:val="left"/>
            </w:pPr>
            <w:r>
              <w:rPr>
                <w:rFonts w:ascii="宋体" w:hAnsi="宋体" w:cs="宋体" w:eastAsia="宋体"/>
                <w:sz w:val="24"/>
                <w:color w:val="00B0F0"/>
              </w:rPr>
              <w:t>附：血站二维码</w:t>
            </w:r>
          </w:p>
          <w:p>
            <w:pPr>
              <w:pStyle w:val="null3"/>
              <w:ind w:firstLine="480"/>
              <w:jc w:val="left"/>
            </w:pPr>
            <w:r>
              <w:drawing>
                <wp:inline distT="0" distR="0" distB="0" distL="0">
                  <wp:extent cx="1621155" cy="1502714"/>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1502714"/>
                          </a:xfrm>
                          <a:prstGeom prst="rect">
                            <a:avLst/>
                          </a:prstGeom>
                        </pic:spPr>
                      </pic:pic>
                    </a:graphicData>
                  </a:graphic>
                </wp:inline>
              </w:drawing>
            </w:r>
          </w:p>
          <w:p>
            <w:pPr>
              <w:pStyle w:val="null3"/>
              <w:ind w:firstLine="480"/>
              <w:jc w:val="left"/>
            </w:pPr>
            <w:r>
              <w:rPr>
                <w:rFonts w:ascii="宋体" w:hAnsi="宋体" w:cs="宋体" w:eastAsia="宋体"/>
                <w:sz w:val="24"/>
                <w:color w:val="00B0F0"/>
              </w:rPr>
              <w:t>附：</w:t>
            </w:r>
            <w:r>
              <w:rPr>
                <w:rFonts w:ascii="宋体" w:hAnsi="宋体" w:cs="宋体" w:eastAsia="宋体"/>
                <w:sz w:val="24"/>
                <w:color w:val="00B0F0"/>
              </w:rPr>
              <w:t>血站</w:t>
            </w:r>
            <w:r>
              <w:rPr>
                <w:rFonts w:ascii="宋体" w:hAnsi="宋体" w:cs="宋体" w:eastAsia="宋体"/>
                <w:sz w:val="24"/>
                <w:color w:val="00B0F0"/>
              </w:rPr>
              <w:t>LOGO</w:t>
            </w:r>
          </w:p>
          <w:p>
            <w:pPr>
              <w:pStyle w:val="null3"/>
              <w:ind w:firstLine="480"/>
              <w:jc w:val="left"/>
            </w:pPr>
            <w:r>
              <w:drawing>
                <wp:inline distT="0" distR="0" distB="0" distL="0">
                  <wp:extent cx="1621155" cy="1485393"/>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1621155" cy="1485393"/>
                          </a:xfrm>
                          <a:prstGeom prst="rect">
                            <a:avLst/>
                          </a:prstGeom>
                        </pic:spPr>
                      </pic:pic>
                    </a:graphicData>
                  </a:graphic>
                </wp:inline>
              </w:drawing>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具体交货时间以西安市中心血站实际要求为准。</w:t>
      </w:r>
    </w:p>
    <w:p>
      <w:pPr>
        <w:pStyle w:val="null3"/>
        <w:outlineLvl w:val="3"/>
      </w:pPr>
      <w:r>
        <w:rPr>
          <w:sz w:val="24"/>
          <w:b/>
        </w:rPr>
        <w:t>3.4.2交货地点</w:t>
      </w:r>
    </w:p>
    <w:p>
      <w:pPr>
        <w:pStyle w:val="null3"/>
      </w:pPr>
      <w:r>
        <w:rPr/>
        <w:t>采购包1：</w:t>
      </w:r>
    </w:p>
    <w:p>
      <w:pPr>
        <w:pStyle w:val="null3"/>
      </w:pPr>
      <w:r>
        <w:rPr/>
        <w:t>西安市中心血站指定地点。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乙方接到甲方每批次供货通知后，具体交货时间以中心血站要求为准，验收合格后</w:t>
      </w:r>
      <w:r>
        <w:rPr/>
        <w:t xml:space="preserve"> ，达到付款条件起 </w:t>
      </w:r>
      <w:r>
        <w:rPr/>
        <w:t>5</w:t>
      </w:r>
      <w:r>
        <w:rPr/>
        <w:t xml:space="preserve"> 日内，支付合同总金额的 </w:t>
      </w:r>
      <w:r>
        <w:rPr/>
        <w:t>40.00</w:t>
      </w:r>
      <w:r>
        <w:rPr/>
        <w:t>%。</w:t>
      </w:r>
    </w:p>
    <w:p>
      <w:pPr>
        <w:pStyle w:val="null3"/>
      </w:pPr>
      <w:r>
        <w:rPr/>
        <w:t>采购包1：</w:t>
      </w:r>
      <w:r>
        <w:rPr/>
        <w:t xml:space="preserve"> 付款条件说明： </w:t>
      </w:r>
      <w:r>
        <w:rPr/>
        <w:t>待本批次剩余货物按投标文件中响应的交货期到达甲方指定地点，验收合格后</w:t>
      </w:r>
      <w:r>
        <w:rPr/>
        <w:t xml:space="preserve"> ，达到付款条件起 </w:t>
      </w:r>
      <w:r>
        <w:rPr/>
        <w:t>60</w:t>
      </w:r>
      <w:r>
        <w:rPr/>
        <w:t xml:space="preserve"> 日内，支付合同总金额的 </w:t>
      </w:r>
      <w:r>
        <w:rPr/>
        <w:t>60.00</w:t>
      </w:r>
      <w:r>
        <w:rPr/>
        <w:t>%。</w:t>
      </w:r>
    </w:p>
    <w:p>
      <w:pPr>
        <w:pStyle w:val="null3"/>
        <w:outlineLvl w:val="3"/>
      </w:pPr>
      <w:r>
        <w:rPr>
          <w:sz w:val="24"/>
          <w:b/>
        </w:rPr>
        <w:t>3.4.5验收标准和方法</w:t>
      </w:r>
    </w:p>
    <w:p>
      <w:pPr>
        <w:pStyle w:val="null3"/>
      </w:pPr>
      <w:r>
        <w:rPr/>
        <w:t>采购包1：</w:t>
      </w:r>
    </w:p>
    <w:p>
      <w:pPr>
        <w:pStyle w:val="null3"/>
      </w:pPr>
      <w:r>
        <w:rPr/>
        <w:t>投标人按招标人要求将货物送至指定地点后，招标人组织验收，质量按招标文件的采购参数内容验收，检测方法、抽样数量等依据国家、省、市现行法规、规范及标准的标准执行。</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依照采购方要求。</w:t>
      </w:r>
    </w:p>
    <w:p>
      <w:pPr>
        <w:pStyle w:val="null3"/>
        <w:outlineLvl w:val="3"/>
      </w:pPr>
      <w:r>
        <w:rPr>
          <w:sz w:val="24"/>
          <w:b/>
        </w:rPr>
        <w:t>3.4.8违约责任与解决争议的方法</w:t>
      </w:r>
    </w:p>
    <w:p>
      <w:pPr>
        <w:pStyle w:val="null3"/>
      </w:pPr>
      <w:r>
        <w:rPr/>
        <w:t>采购包1：</w:t>
      </w:r>
    </w:p>
    <w:p>
      <w:pPr>
        <w:pStyle w:val="null3"/>
      </w:pPr>
      <w:r>
        <w:rPr/>
        <w:t>依照采购方要求。</w:t>
      </w:r>
    </w:p>
    <w:p>
      <w:pPr>
        <w:pStyle w:val="null3"/>
        <w:jc w:val="left"/>
        <w:outlineLvl w:val="2"/>
      </w:pPr>
      <w:r>
        <w:rPr>
          <w:sz w:val="28"/>
          <w:b/>
        </w:rPr>
        <w:t>3.5其他要求</w:t>
      </w:r>
    </w:p>
    <w:p>
      <w:pPr>
        <w:pStyle w:val="null3"/>
      </w:pPr>
      <w:r>
        <w:rPr/>
        <w:t>付款方式：乙方接到甲方每批次供货通知后，具体交货时间以中心血站要求为准，验收合格后甲方5个工作日内向乙方支付该批次总货款40%作为预付款，乙方需提供合规发票。待本批次剩余货物按投标文件中响应的交货期到达甲方指定地点，验收合格后，甲方60天内支付该批次货物剩余货款。</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供应商应提交的相关资格证明文件（1）</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供应商应提交的相关资格证明文件（1）</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w:t>
            </w:r>
          </w:p>
        </w:tc>
        <w:tc>
          <w:tcPr>
            <w:tcW w:type="dxa" w:w="3322"/>
          </w:tcPr>
          <w:p>
            <w:pPr>
              <w:pStyle w:val="null3"/>
            </w:pPr>
            <w:r>
              <w:rPr/>
              <w:t>投标人应是响应招标、参加投标竞争的法人或者其他组织，且具有合法有效的营业执照；</w:t>
            </w:r>
          </w:p>
        </w:tc>
        <w:tc>
          <w:tcPr>
            <w:tcW w:type="dxa" w:w="1661"/>
          </w:tcPr>
          <w:p>
            <w:pPr>
              <w:pStyle w:val="null3"/>
            </w:pPr>
            <w:r>
              <w:rPr/>
              <w:t>投标函 供应商应提交的相关资格证明文件（1） 投标文件封面</w:t>
            </w:r>
          </w:p>
        </w:tc>
      </w:tr>
      <w:tr>
        <w:tc>
          <w:tcPr>
            <w:tcW w:type="dxa" w:w="831"/>
          </w:tcPr>
          <w:p>
            <w:pPr>
              <w:pStyle w:val="null3"/>
            </w:pPr>
            <w:r>
              <w:rPr/>
              <w:t>2</w:t>
            </w:r>
          </w:p>
        </w:tc>
        <w:tc>
          <w:tcPr>
            <w:tcW w:type="dxa" w:w="2492"/>
          </w:tcPr>
          <w:p>
            <w:pPr>
              <w:pStyle w:val="null3"/>
            </w:pPr>
            <w:r>
              <w:rPr/>
              <w:t>税收缴纳证明</w:t>
            </w:r>
          </w:p>
        </w:tc>
        <w:tc>
          <w:tcPr>
            <w:tcW w:type="dxa" w:w="3322"/>
          </w:tcPr>
          <w:p>
            <w:pPr>
              <w:pStyle w:val="null3"/>
            </w:pPr>
            <w:r>
              <w:rPr/>
              <w:t>投标人提供本单位2023年04月至今已缴纳的至少一个月纳税证明或完税证明，依法免税的单位应提供相关证明材料；</w:t>
            </w:r>
          </w:p>
        </w:tc>
        <w:tc>
          <w:tcPr>
            <w:tcW w:type="dxa" w:w="1661"/>
          </w:tcPr>
          <w:p>
            <w:pPr>
              <w:pStyle w:val="null3"/>
            </w:pPr>
            <w:r>
              <w:rPr/>
              <w:t>投标函 供应商应提交的相关资格证明文件（1） 投标文件封面</w:t>
            </w:r>
          </w:p>
        </w:tc>
      </w:tr>
      <w:tr>
        <w:tc>
          <w:tcPr>
            <w:tcW w:type="dxa" w:w="831"/>
          </w:tcPr>
          <w:p>
            <w:pPr>
              <w:pStyle w:val="null3"/>
            </w:pPr>
            <w:r>
              <w:rPr/>
              <w:t>3</w:t>
            </w:r>
          </w:p>
        </w:tc>
        <w:tc>
          <w:tcPr>
            <w:tcW w:type="dxa" w:w="2492"/>
          </w:tcPr>
          <w:p>
            <w:pPr>
              <w:pStyle w:val="null3"/>
            </w:pPr>
            <w:r>
              <w:rPr/>
              <w:t>财务状况证明</w:t>
            </w:r>
          </w:p>
        </w:tc>
        <w:tc>
          <w:tcPr>
            <w:tcW w:type="dxa" w:w="3322"/>
          </w:tcPr>
          <w:p>
            <w:pPr>
              <w:pStyle w:val="null3"/>
            </w:pPr>
            <w:r>
              <w:rPr/>
              <w:t>投标人提供经会计师事务所审计2022年或2023年的财务审计报告；或在开标日期前六个月内其基本开户银行出具的资信证明；</w:t>
            </w:r>
          </w:p>
        </w:tc>
        <w:tc>
          <w:tcPr>
            <w:tcW w:type="dxa" w:w="1661"/>
          </w:tcPr>
          <w:p>
            <w:pPr>
              <w:pStyle w:val="null3"/>
            </w:pPr>
            <w:r>
              <w:rPr/>
              <w:t>投标函 供应商应提交的相关资格证明文件（1） 投标文件封面</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投标人提供本单位2023年04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t>投标函 供应商应提交的相关资格证明文件（1） 投标文件封面</w:t>
            </w:r>
          </w:p>
        </w:tc>
      </w:tr>
      <w:tr>
        <w:tc>
          <w:tcPr>
            <w:tcW w:type="dxa" w:w="831"/>
          </w:tcPr>
          <w:p>
            <w:pPr>
              <w:pStyle w:val="null3"/>
            </w:pPr>
            <w:r>
              <w:rPr/>
              <w:t>5</w:t>
            </w:r>
          </w:p>
        </w:tc>
        <w:tc>
          <w:tcPr>
            <w:tcW w:type="dxa" w:w="2492"/>
          </w:tcPr>
          <w:p>
            <w:pPr>
              <w:pStyle w:val="null3"/>
            </w:pPr>
            <w:r>
              <w:rPr/>
              <w:t>信誉要求</w:t>
            </w:r>
          </w:p>
        </w:tc>
        <w:tc>
          <w:tcPr>
            <w:tcW w:type="dxa" w:w="3322"/>
          </w:tcPr>
          <w:p>
            <w:pPr>
              <w:pStyle w:val="null3"/>
            </w:pPr>
            <w:r>
              <w:rPr/>
              <w:t>截止至投标文件递交截止时间之前，投标人未在“信用中国”网站（www.creditchina.gov.cn）中被列入“信用服务”查询栏目中严重失信主体名单以及重点领域严重失信主体名单；投标人未在“国家企业信用信息公示系统”中被列入严重违法失信名单（黑名单），未被列入“中国政府采购网(www.ccgp.gov.cn)”政府采购严重违法失信行为记录名单；</w:t>
            </w:r>
          </w:p>
        </w:tc>
        <w:tc>
          <w:tcPr>
            <w:tcW w:type="dxa" w:w="1661"/>
          </w:tcPr>
          <w:p>
            <w:pPr>
              <w:pStyle w:val="null3"/>
            </w:pPr>
            <w:r>
              <w:rPr/>
              <w:t>投标函 供应商应提交的相关资格证明文件（1） 投标文件封面</w:t>
            </w:r>
          </w:p>
        </w:tc>
      </w:tr>
      <w:tr>
        <w:tc>
          <w:tcPr>
            <w:tcW w:type="dxa" w:w="831"/>
          </w:tcPr>
          <w:p>
            <w:pPr>
              <w:pStyle w:val="null3"/>
            </w:pPr>
            <w:r>
              <w:rPr/>
              <w:t>6</w:t>
            </w:r>
          </w:p>
        </w:tc>
        <w:tc>
          <w:tcPr>
            <w:tcW w:type="dxa" w:w="2492"/>
          </w:tcPr>
          <w:p>
            <w:pPr>
              <w:pStyle w:val="null3"/>
            </w:pPr>
            <w:r>
              <w:rPr/>
              <w:t>授权代表</w:t>
            </w:r>
          </w:p>
        </w:tc>
        <w:tc>
          <w:tcPr>
            <w:tcW w:type="dxa" w:w="3322"/>
          </w:tcPr>
          <w:p>
            <w:pPr>
              <w:pStyle w:val="null3"/>
            </w:pPr>
            <w:r>
              <w:rPr/>
              <w:t>投标人应授权合法的人员参加本项目招标活动全过程，其中法定代表人直接参加招标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t>投标函 供应商应提交的相关资格证明文件（1） 投标文件封面</w:t>
            </w:r>
          </w:p>
        </w:tc>
      </w:tr>
      <w:tr>
        <w:tc>
          <w:tcPr>
            <w:tcW w:type="dxa" w:w="831"/>
          </w:tcPr>
          <w:p>
            <w:pPr>
              <w:pStyle w:val="null3"/>
            </w:pPr>
            <w:r>
              <w:rPr/>
              <w:t>7</w:t>
            </w:r>
          </w:p>
        </w:tc>
        <w:tc>
          <w:tcPr>
            <w:tcW w:type="dxa" w:w="2492"/>
          </w:tcPr>
          <w:p>
            <w:pPr>
              <w:pStyle w:val="null3"/>
            </w:pPr>
            <w:r>
              <w:rPr/>
              <w:t>是否面向中小企业采购</w:t>
            </w:r>
          </w:p>
        </w:tc>
        <w:tc>
          <w:tcPr>
            <w:tcW w:type="dxa" w:w="3322"/>
          </w:tcPr>
          <w:p>
            <w:pPr>
              <w:pStyle w:val="null3"/>
            </w:pPr>
            <w:r>
              <w:rPr/>
              <w:t>本采购包专门面向中、小企业采购，供应商应为中型企业、小型企业或微型企业。</w:t>
            </w:r>
          </w:p>
        </w:tc>
        <w:tc>
          <w:tcPr>
            <w:tcW w:type="dxa" w:w="1661"/>
          </w:tcPr>
          <w:p>
            <w:pPr>
              <w:pStyle w:val="null3"/>
            </w:pPr>
            <w:r>
              <w:rPr/>
              <w:t>投标函 中小企业声明函 残疾人福利性单位声明函 供应商应提交的相关资格证明文件（1） 投标文件封面 监狱企业的证明文件</w:t>
            </w:r>
          </w:p>
        </w:tc>
      </w:tr>
      <w:tr>
        <w:tc>
          <w:tcPr>
            <w:tcW w:type="dxa" w:w="831"/>
          </w:tcPr>
          <w:p>
            <w:pPr>
              <w:pStyle w:val="null3"/>
            </w:pPr>
            <w:r>
              <w:rPr/>
              <w:t>8</w:t>
            </w:r>
          </w:p>
        </w:tc>
        <w:tc>
          <w:tcPr>
            <w:tcW w:type="dxa" w:w="2492"/>
          </w:tcPr>
          <w:p>
            <w:pPr>
              <w:pStyle w:val="null3"/>
            </w:pPr>
            <w:r>
              <w:rPr/>
              <w:t>是否接受联合体投标</w:t>
            </w:r>
          </w:p>
        </w:tc>
        <w:tc>
          <w:tcPr>
            <w:tcW w:type="dxa" w:w="3322"/>
          </w:tcPr>
          <w:p>
            <w:pPr>
              <w:pStyle w:val="null3"/>
            </w:pPr>
            <w:r>
              <w:rPr/>
              <w:t>本项目不接受联合体投标。</w:t>
            </w:r>
          </w:p>
        </w:tc>
        <w:tc>
          <w:tcPr>
            <w:tcW w:type="dxa" w:w="1661"/>
          </w:tcPr>
          <w:p>
            <w:pPr>
              <w:pStyle w:val="null3"/>
            </w:pPr>
            <w:r>
              <w:rPr/>
              <w:t>投标函 供应商应提交的相关资格证明文件（1） 投标文件封面</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供应商应提交的相关资格证明文件（1）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投标文件是否按招标文件要求签署、盖章</w:t>
            </w:r>
          </w:p>
        </w:tc>
        <w:tc>
          <w:tcPr>
            <w:tcW w:type="dxa" w:w="3322"/>
          </w:tcPr>
          <w:p>
            <w:pPr>
              <w:pStyle w:val="null3"/>
            </w:pPr>
            <w:r>
              <w:rPr/>
              <w:t>投标文件按招标文件要求签署、盖章；</w:t>
            </w:r>
          </w:p>
        </w:tc>
        <w:tc>
          <w:tcPr>
            <w:tcW w:type="dxa" w:w="1661"/>
          </w:tcPr>
          <w:p>
            <w:pPr>
              <w:pStyle w:val="null3"/>
            </w:pPr>
            <w:r>
              <w:rPr/>
              <w:t>开标一览表 投标函 中小企业声明函 商务应答表 供应商应提交的相关资格证明文件（1） 标的清单 投标文件封面 技术方案要求响应偏离表</w:t>
            </w:r>
          </w:p>
        </w:tc>
      </w:tr>
      <w:tr>
        <w:tc>
          <w:tcPr>
            <w:tcW w:type="dxa" w:w="831"/>
          </w:tcPr>
          <w:p>
            <w:pPr>
              <w:pStyle w:val="null3"/>
            </w:pPr>
            <w:r>
              <w:rPr/>
              <w:t>3</w:t>
            </w:r>
          </w:p>
        </w:tc>
        <w:tc>
          <w:tcPr>
            <w:tcW w:type="dxa" w:w="2492"/>
          </w:tcPr>
          <w:p>
            <w:pPr>
              <w:pStyle w:val="null3"/>
            </w:pPr>
            <w:r>
              <w:rPr/>
              <w:t>是否具备招标文件中规定的资格要求的</w:t>
            </w:r>
          </w:p>
        </w:tc>
        <w:tc>
          <w:tcPr>
            <w:tcW w:type="dxa" w:w="3322"/>
          </w:tcPr>
          <w:p>
            <w:pPr>
              <w:pStyle w:val="null3"/>
            </w:pPr>
            <w:r>
              <w:rPr/>
              <w:t>具备招标文件中规定的资格要求的；</w:t>
            </w:r>
          </w:p>
        </w:tc>
        <w:tc>
          <w:tcPr>
            <w:tcW w:type="dxa" w:w="1661"/>
          </w:tcPr>
          <w:p>
            <w:pPr>
              <w:pStyle w:val="null3"/>
            </w:pPr>
            <w:r>
              <w:rPr/>
              <w:t>投标函 供应商应提交的相关资格证明文件（1） 投标文件封面</w:t>
            </w:r>
          </w:p>
        </w:tc>
      </w:tr>
      <w:tr>
        <w:tc>
          <w:tcPr>
            <w:tcW w:type="dxa" w:w="831"/>
          </w:tcPr>
          <w:p>
            <w:pPr>
              <w:pStyle w:val="null3"/>
            </w:pPr>
            <w:r>
              <w:rPr/>
              <w:t>4</w:t>
            </w:r>
          </w:p>
        </w:tc>
        <w:tc>
          <w:tcPr>
            <w:tcW w:type="dxa" w:w="2492"/>
          </w:tcPr>
          <w:p>
            <w:pPr>
              <w:pStyle w:val="null3"/>
            </w:pPr>
            <w:r>
              <w:rPr/>
              <w:t>报价是否超过招标文件中规定的预算金额或者最高限价</w:t>
            </w:r>
          </w:p>
        </w:tc>
        <w:tc>
          <w:tcPr>
            <w:tcW w:type="dxa" w:w="3322"/>
          </w:tcPr>
          <w:p>
            <w:pPr>
              <w:pStyle w:val="null3"/>
            </w:pPr>
            <w:r>
              <w:rPr/>
              <w:t>报价未超过招标文件中规定的预算金额或者最高限价；</w:t>
            </w:r>
          </w:p>
        </w:tc>
        <w:tc>
          <w:tcPr>
            <w:tcW w:type="dxa" w:w="1661"/>
          </w:tcPr>
          <w:p>
            <w:pPr>
              <w:pStyle w:val="null3"/>
            </w:pPr>
            <w:r>
              <w:rPr/>
              <w:t>开标一览表 投标函 标的清单 投标文件封面</w:t>
            </w:r>
          </w:p>
        </w:tc>
      </w:tr>
      <w:tr>
        <w:tc>
          <w:tcPr>
            <w:tcW w:type="dxa" w:w="831"/>
          </w:tcPr>
          <w:p>
            <w:pPr>
              <w:pStyle w:val="null3"/>
            </w:pPr>
            <w:r>
              <w:rPr/>
              <w:t>5</w:t>
            </w:r>
          </w:p>
        </w:tc>
        <w:tc>
          <w:tcPr>
            <w:tcW w:type="dxa" w:w="2492"/>
          </w:tcPr>
          <w:p>
            <w:pPr>
              <w:pStyle w:val="null3"/>
            </w:pPr>
            <w:r>
              <w:rPr/>
              <w:t>是否存在法律、法规和招标文件规定的其他无效情形</w:t>
            </w:r>
          </w:p>
        </w:tc>
        <w:tc>
          <w:tcPr>
            <w:tcW w:type="dxa" w:w="3322"/>
          </w:tcPr>
          <w:p>
            <w:pPr>
              <w:pStyle w:val="null3"/>
            </w:pPr>
            <w:r>
              <w:rPr/>
              <w:t>不存在法律、法规和招标文件规定的其他无效情形。</w:t>
            </w:r>
          </w:p>
        </w:tc>
        <w:tc>
          <w:tcPr>
            <w:tcW w:type="dxa" w:w="1661"/>
          </w:tcPr>
          <w:p>
            <w:pPr>
              <w:pStyle w:val="null3"/>
            </w:pPr>
            <w:r>
              <w:rPr/>
              <w:t>开标一览表 投标函 中小企业声明函 商务应答表 供应商应提交的相关资格证明文件（1） 标的清单</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技术指标响应情况</w:t>
            </w:r>
          </w:p>
        </w:tc>
        <w:tc>
          <w:tcPr>
            <w:tcW w:type="dxa" w:w="2492"/>
          </w:tcPr>
          <w:p>
            <w:pPr>
              <w:pStyle w:val="null3"/>
            </w:pPr>
            <w:r>
              <w:rPr/>
              <w:t>根据产品技术和性能响应情况打分： 1.完全满足采购技术要求的，得20分； 2.负偏离每一项扣2分，扣完为止。 注：投标人需尽可能多的提供相关的技术、功能证明材料（包括但不限于材质材料、检测机构出具的检测报告、工艺技术说明、产品彩页等）予以佐证；投标人自行承担因材料提供不全导致技术参数评审的风险。并在技术参数偏离表备注栏中注明支持材料页码，由于页码标注不清而导致的后果由投标方承担。</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技术方案要求响应偏离表</w:t>
            </w:r>
          </w:p>
        </w:tc>
      </w:tr>
      <w:tr>
        <w:tc>
          <w:tcPr>
            <w:tcW w:type="dxa" w:w="831"/>
            <w:vMerge/>
          </w:tcPr>
          <w:p/>
        </w:tc>
        <w:tc>
          <w:tcPr>
            <w:tcW w:type="dxa" w:w="1661"/>
          </w:tcPr>
          <w:p>
            <w:pPr>
              <w:pStyle w:val="null3"/>
            </w:pPr>
            <w:r>
              <w:rPr/>
              <w:t>服务方案</w:t>
            </w:r>
          </w:p>
        </w:tc>
        <w:tc>
          <w:tcPr>
            <w:tcW w:type="dxa" w:w="2492"/>
          </w:tcPr>
          <w:p>
            <w:pPr>
              <w:pStyle w:val="null3"/>
            </w:pPr>
            <w:r>
              <w:rPr/>
              <w:t>根据投标人所提供的关于本项目总体实施服务方案进行评审： 服务方案思路明确，内容全面，可操作性强的得3.1-5分； 服务方案内容总体齐全，有一定的可操作性的得1.1-3分； 服务方案内容相对完整，能满足采购需求的得0.1-1分；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实施方案（1）</w:t>
            </w:r>
          </w:p>
        </w:tc>
      </w:tr>
      <w:tr>
        <w:tc>
          <w:tcPr>
            <w:tcW w:type="dxa" w:w="831"/>
            <w:vMerge/>
          </w:tcPr>
          <w:p/>
        </w:tc>
        <w:tc>
          <w:tcPr>
            <w:tcW w:type="dxa" w:w="1661"/>
          </w:tcPr>
          <w:p>
            <w:pPr>
              <w:pStyle w:val="null3"/>
            </w:pPr>
            <w:r>
              <w:rPr/>
              <w:t>仓库情况</w:t>
            </w:r>
          </w:p>
        </w:tc>
        <w:tc>
          <w:tcPr>
            <w:tcW w:type="dxa" w:w="2492"/>
          </w:tcPr>
          <w:p>
            <w:pPr>
              <w:pStyle w:val="null3"/>
            </w:pPr>
            <w:r>
              <w:rPr/>
              <w:t>根据投标人提供生产厂家仓库或代理商仓库情况（提供房屋租赁合同或房产证或购买合同）以及备货数量进行评审： 仓库条件符合国家标准，地址选择合理，周围无污染，卫生整洁，符合国家要求，内部布局科学合理，无阴凉潮湿及周边无污染源，有利于无纺布手提袋的存放，提供仓库彩色图片、平面图等，证明资料内容齐全，备货数量充足，完全满足招标文件要求的得3.1-5分； 证明资料完善、卫生环境相对整洁，备货数量较充足的得1.1-3分； 证明资料无法合理的满足实际情况的得0.1-1分；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实施方案（1）</w:t>
            </w:r>
          </w:p>
        </w:tc>
      </w:tr>
      <w:tr>
        <w:tc>
          <w:tcPr>
            <w:tcW w:type="dxa" w:w="831"/>
            <w:vMerge/>
          </w:tcPr>
          <w:p/>
        </w:tc>
        <w:tc>
          <w:tcPr>
            <w:tcW w:type="dxa" w:w="1661"/>
          </w:tcPr>
          <w:p>
            <w:pPr>
              <w:pStyle w:val="null3"/>
            </w:pPr>
            <w:r>
              <w:rPr/>
              <w:t>样品1</w:t>
            </w:r>
          </w:p>
        </w:tc>
        <w:tc>
          <w:tcPr>
            <w:tcW w:type="dxa" w:w="2492"/>
          </w:tcPr>
          <w:p>
            <w:pPr>
              <w:pStyle w:val="null3"/>
            </w:pPr>
            <w:r>
              <w:rPr/>
              <w:t>投标人提供投标成品一个（投标人在投标文件中的检测报告应与样品保持一致，提供承诺书，格式自拟） 备注：投标人须在开标截止时间前将样品递交至招标代理机构，同时不得体现投标人任何标识或厂家名称，投标人未提供承诺书、样品或提供样品不全的得0分。 评标委员会根据投标人提供样品的面料质地、颜色、图案花色、制作工艺、手感、使用效果等情况进行评审： 1.评标委员会针对投标人提供样品的材质用料进行综合评审赋0-5分； 投标人提供的材质用料为市场主流，完全满足招标人实际需求的得3.1-5分； 投标人提供的材质用料相对合理，能满足招标人实际需求的得1.1-3分； 投标人提供的材质用料质量差、规格、款式老旧，不符合市场趋势，无法达到招标人实际需求的得0.1-1分；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实施方案（1）</w:t>
            </w:r>
          </w:p>
        </w:tc>
      </w:tr>
      <w:tr>
        <w:tc>
          <w:tcPr>
            <w:tcW w:type="dxa" w:w="831"/>
            <w:vMerge/>
          </w:tcPr>
          <w:p/>
        </w:tc>
        <w:tc>
          <w:tcPr>
            <w:tcW w:type="dxa" w:w="1661"/>
          </w:tcPr>
          <w:p>
            <w:pPr>
              <w:pStyle w:val="null3"/>
            </w:pPr>
            <w:r>
              <w:rPr/>
              <w:t>样品2</w:t>
            </w:r>
          </w:p>
        </w:tc>
        <w:tc>
          <w:tcPr>
            <w:tcW w:type="dxa" w:w="2492"/>
          </w:tcPr>
          <w:p>
            <w:pPr>
              <w:pStyle w:val="null3"/>
            </w:pPr>
            <w:r>
              <w:rPr/>
              <w:t>评标委员会针对投标人提供样品的颜色及图案花色进行综合评审赋0-5分； 投标人提供的样品颜色及图案花色搭配合理，满足招标人实际需求的得3.1-5分； 投标人提供的样品颜色及图案花色过于艳丽，能满足招标人实际需求的得1.1-3分； 投标人提供的样品颜色搭配不符合市场趋势，无法达到招标人实际需求的得0.1-1分；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实施方案（1）</w:t>
            </w:r>
          </w:p>
        </w:tc>
      </w:tr>
      <w:tr>
        <w:tc>
          <w:tcPr>
            <w:tcW w:type="dxa" w:w="831"/>
            <w:vMerge/>
          </w:tcPr>
          <w:p/>
        </w:tc>
        <w:tc>
          <w:tcPr>
            <w:tcW w:type="dxa" w:w="1661"/>
          </w:tcPr>
          <w:p>
            <w:pPr>
              <w:pStyle w:val="null3"/>
            </w:pPr>
            <w:r>
              <w:rPr/>
              <w:t>样品3</w:t>
            </w:r>
          </w:p>
        </w:tc>
        <w:tc>
          <w:tcPr>
            <w:tcW w:type="dxa" w:w="2492"/>
          </w:tcPr>
          <w:p>
            <w:pPr>
              <w:pStyle w:val="null3"/>
            </w:pPr>
            <w:r>
              <w:rPr/>
              <w:t>评标委员会针对投标人提供样品的做工细致程度进行综合评审赋0-5分； 投标人提供的样品做工细致，完全符合招标人实际需求的得3.1-5分； 投标人提供的样品做工相对细致，无明显破损的得1.1-3分； 投标人提供的样品做工粗糙，无法达到招标人实际需求的得0.1-1分；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实施方案（1）</w:t>
            </w:r>
          </w:p>
        </w:tc>
      </w:tr>
      <w:tr>
        <w:tc>
          <w:tcPr>
            <w:tcW w:type="dxa" w:w="831"/>
            <w:vMerge/>
          </w:tcPr>
          <w:p/>
        </w:tc>
        <w:tc>
          <w:tcPr>
            <w:tcW w:type="dxa" w:w="1661"/>
          </w:tcPr>
          <w:p>
            <w:pPr>
              <w:pStyle w:val="null3"/>
            </w:pPr>
            <w:r>
              <w:rPr/>
              <w:t>样品4</w:t>
            </w:r>
          </w:p>
        </w:tc>
        <w:tc>
          <w:tcPr>
            <w:tcW w:type="dxa" w:w="2492"/>
          </w:tcPr>
          <w:p>
            <w:pPr>
              <w:pStyle w:val="null3"/>
            </w:pPr>
            <w:r>
              <w:rPr/>
              <w:t>评标委员会针对投标人提供样品的外观结实耐用性进行综合评审赋0-5分； 投标人提供的样品外形美观，结实耐用的得3.1-5分； 投标人提供的样品外形相对结实耐用，拉扯后无明显变形的得1.1-3分； 投标人提供的样品不够结实，拉扯后明显外形变化的的得0.1-1分；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实施方案（1）</w:t>
            </w:r>
          </w:p>
        </w:tc>
      </w:tr>
      <w:tr>
        <w:tc>
          <w:tcPr>
            <w:tcW w:type="dxa" w:w="831"/>
            <w:vMerge/>
          </w:tcPr>
          <w:p/>
        </w:tc>
        <w:tc>
          <w:tcPr>
            <w:tcW w:type="dxa" w:w="1661"/>
          </w:tcPr>
          <w:p>
            <w:pPr>
              <w:pStyle w:val="null3"/>
            </w:pPr>
            <w:r>
              <w:rPr/>
              <w:t>售后服务承诺</w:t>
            </w:r>
          </w:p>
        </w:tc>
        <w:tc>
          <w:tcPr>
            <w:tcW w:type="dxa" w:w="2492"/>
          </w:tcPr>
          <w:p>
            <w:pPr>
              <w:pStyle w:val="null3"/>
            </w:pPr>
            <w:r>
              <w:rPr/>
              <w:t>根据投标人的售后服务承诺(包含响应时间、退换货方等）进行评审： 服务承诺及保证措施完善且充实合理的得3.1-5分； 承诺及保证措施相对完善、细致，有一定的可行性的得1.1-3分； 承诺内容及保证措施内容欠缺，难以满足采购人实际需求的得0.1-1分，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实施方案（1）</w:t>
            </w:r>
          </w:p>
        </w:tc>
      </w:tr>
      <w:tr>
        <w:tc>
          <w:tcPr>
            <w:tcW w:type="dxa" w:w="831"/>
            <w:vMerge/>
          </w:tcPr>
          <w:p/>
        </w:tc>
        <w:tc>
          <w:tcPr>
            <w:tcW w:type="dxa" w:w="1661"/>
          </w:tcPr>
          <w:p>
            <w:pPr>
              <w:pStyle w:val="null3"/>
            </w:pPr>
            <w:r>
              <w:rPr/>
              <w:t>车辆配备</w:t>
            </w:r>
          </w:p>
        </w:tc>
        <w:tc>
          <w:tcPr>
            <w:tcW w:type="dxa" w:w="2492"/>
          </w:tcPr>
          <w:p>
            <w:pPr>
              <w:pStyle w:val="null3"/>
            </w:pPr>
            <w:r>
              <w:rPr/>
              <w:t>根据投标人提供的配送车辆（提供车辆情况，清单内容包括但不限于车辆名称、车辆年限、车辆概况）进行评审： 车辆配备齐全、清单完善，完全满足采购需求的得3.1-5分； 车辆配备达到使用需求，清单相对完整的得1.1-3分； 车辆配备缺少，车辆使用年限长，车况不稳定的得0.1-1分；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实施方案（1）</w:t>
            </w:r>
          </w:p>
        </w:tc>
      </w:tr>
      <w:tr>
        <w:tc>
          <w:tcPr>
            <w:tcW w:type="dxa" w:w="831"/>
            <w:vMerge/>
          </w:tcPr>
          <w:p/>
        </w:tc>
        <w:tc>
          <w:tcPr>
            <w:tcW w:type="dxa" w:w="1661"/>
          </w:tcPr>
          <w:p>
            <w:pPr>
              <w:pStyle w:val="null3"/>
            </w:pPr>
            <w:r>
              <w:rPr/>
              <w:t>应急方案</w:t>
            </w:r>
          </w:p>
        </w:tc>
        <w:tc>
          <w:tcPr>
            <w:tcW w:type="dxa" w:w="2492"/>
          </w:tcPr>
          <w:p>
            <w:pPr>
              <w:pStyle w:val="null3"/>
            </w:pPr>
            <w:r>
              <w:rPr/>
              <w:t>根据投标人针对本项目制定的遇到货源短缺或恶劣天气时及其他特殊情况下保证货物按时按质按量送达招标人的方案进行评审： 应急方案科学完善，切合实际、考虑充分的得3.1-5分； 应急方案能满足要求，能够考虑到特殊情况的得1.1-3分； 应急方案过于简略，突发实际情况无法按质按量送达，不利于项目实施的得0.1-1分；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实施方案（1）</w:t>
            </w:r>
          </w:p>
        </w:tc>
      </w:tr>
      <w:tr>
        <w:tc>
          <w:tcPr>
            <w:tcW w:type="dxa" w:w="831"/>
            <w:vMerge/>
          </w:tcPr>
          <w:p/>
        </w:tc>
        <w:tc>
          <w:tcPr>
            <w:tcW w:type="dxa" w:w="1661"/>
          </w:tcPr>
          <w:p>
            <w:pPr>
              <w:pStyle w:val="null3"/>
            </w:pPr>
            <w:r>
              <w:rPr/>
              <w:t>类似业绩</w:t>
            </w:r>
          </w:p>
        </w:tc>
        <w:tc>
          <w:tcPr>
            <w:tcW w:type="dxa" w:w="2492"/>
          </w:tcPr>
          <w:p>
            <w:pPr>
              <w:pStyle w:val="null3"/>
            </w:pPr>
            <w:r>
              <w:rPr/>
              <w:t>投标人应在投标文件中提供该投标人自2021年5月1日起至今的类似采购项目的业绩证明材料，每提供一份业绩合同得1分，满分为5分，不得重复累计。 注：以合同签订时间为准，投标人应在投标文件中提供业绩合同复印件或扫描件且加盖单位公章。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实施方案（1）</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投标报价采用低价优先法计算，即满足招标文件要求且投标报价最低的报价为评审基准价，其价格分为满分。其他投标人的价格分统一按照下列公式计算： 投标报价得分=（评审基准价/投标报价）×30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详见附件：供应商应提交的相关资格证明文件（1）</w:t>
      </w:r>
    </w:p>
    <w:p>
      <w:pPr>
        <w:pStyle w:val="null3"/>
        <w:ind w:firstLine="960"/>
      </w:pPr>
      <w:r>
        <w:rPr/>
        <w:t>详见附件：技术方案要求响应偏离表</w:t>
      </w:r>
    </w:p>
    <w:p>
      <w:pPr>
        <w:pStyle w:val="null3"/>
        <w:ind w:firstLine="960"/>
      </w:pPr>
      <w:r>
        <w:rPr/>
        <w:t>详见附件：实施方案（1）</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详见附件：拟签订的合同.docx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