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sz w:val="44"/>
          <w:szCs w:val="44"/>
          <w:highlight w:val="none"/>
        </w:rPr>
        <w:t>拟签订的合同文本</w:t>
      </w:r>
    </w:p>
    <w:p>
      <w:pPr>
        <w:keepNext w:val="0"/>
        <w:keepLines w:val="0"/>
        <w:pageBreakBefore w:val="0"/>
        <w:widowControl w:val="0"/>
        <w:numPr>
          <w:ilvl w:val="0"/>
          <w:numId w:val="0"/>
        </w:numPr>
        <w:kinsoku/>
        <w:wordWrap/>
        <w:overflowPunct/>
        <w:topLinePunct w:val="0"/>
        <w:autoSpaceDE/>
        <w:autoSpaceDN/>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注：本合同为示范文本，具体条款内容由采购人和中标人协商确定，但不得改变招标文件、投标文件、中标通知书里的实质性内容。）</w:t>
      </w:r>
    </w:p>
    <w:p>
      <w:pPr>
        <w:pStyle w:val="12"/>
        <w:spacing w:line="360" w:lineRule="auto"/>
        <w:ind w:firstLine="480" w:firstLineChars="200"/>
        <w:rPr>
          <w:rFonts w:hint="eastAsia" w:ascii="仿宋" w:hAnsi="仿宋" w:eastAsia="仿宋" w:cs="仿宋"/>
          <w:color w:val="auto"/>
          <w:highlight w:val="none"/>
        </w:rPr>
      </w:pPr>
    </w:p>
    <w:p>
      <w:pPr>
        <w:pStyle w:val="12"/>
        <w:spacing w:line="360" w:lineRule="auto"/>
        <w:ind w:firstLine="480" w:firstLineChars="200"/>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签订地点：</w:t>
      </w:r>
      <w:r>
        <w:rPr>
          <w:rFonts w:hint="eastAsia" w:ascii="仿宋" w:hAnsi="仿宋" w:eastAsia="仿宋" w:cs="仿宋"/>
          <w:color w:val="auto"/>
          <w:highlight w:val="none"/>
          <w:u w:val="single"/>
          <w:lang w:val="en-US" w:eastAsia="zh-CN"/>
        </w:rPr>
        <w:t xml:space="preserve">                </w:t>
      </w:r>
    </w:p>
    <w:p>
      <w:pPr>
        <w:pStyle w:val="12"/>
        <w:spacing w:line="360" w:lineRule="auto"/>
        <w:ind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签订时间：</w:t>
      </w:r>
      <w:r>
        <w:rPr>
          <w:rFonts w:hint="eastAsia" w:ascii="仿宋" w:hAnsi="仿宋" w:eastAsia="仿宋" w:cs="仿宋"/>
          <w:color w:val="auto"/>
          <w:highlight w:val="none"/>
          <w:u w:val="single"/>
          <w:lang w:val="en-US" w:eastAsia="zh-CN"/>
        </w:rPr>
        <w:t xml:space="preserve">                 </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采购人（甲方）：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pPr>
        <w:pStyle w:val="12"/>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供应商（乙方）：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（中标人）</w:t>
      </w:r>
    </w:p>
    <w:p>
      <w:pPr>
        <w:pStyle w:val="12"/>
        <w:spacing w:line="360" w:lineRule="auto"/>
        <w:ind w:left="420" w:leftChars="200"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根据《中华人民共和国政府采购法》及实施条例、《中华人民共和国民法典》和甲方</w:t>
      </w:r>
      <w:r>
        <w:rPr>
          <w:rFonts w:hint="eastAsia" w:ascii="仿宋" w:hAnsi="仿宋" w:eastAsia="仿宋" w:cs="仿宋"/>
          <w:color w:val="auto"/>
          <w:highlight w:val="none"/>
          <w:u w:val="single"/>
          <w:lang w:val="en-US" w:eastAsia="zh-CN"/>
        </w:rPr>
        <w:t>西安市第一中学教育教学日常管理终端设备采购项目</w:t>
      </w:r>
      <w:r>
        <w:rPr>
          <w:rFonts w:hint="eastAsia" w:ascii="仿宋" w:hAnsi="仿宋" w:eastAsia="仿宋" w:cs="仿宋"/>
          <w:color w:val="auto"/>
          <w:kern w:val="0"/>
          <w:sz w:val="24"/>
          <w:szCs w:val="24"/>
          <w:lang w:val="en-US" w:eastAsia="zh-CN" w:bidi="ar-SA"/>
        </w:rPr>
        <w:t>（</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lang w:eastAsia="zh-CN"/>
        </w:rPr>
        <w:t>TZZB-Z-2024149C</w:t>
      </w:r>
      <w:r>
        <w:rPr>
          <w:rFonts w:hint="eastAsia" w:ascii="仿宋" w:hAnsi="仿宋" w:eastAsia="仿宋" w:cs="仿宋"/>
          <w:color w:val="auto"/>
          <w:highlight w:val="none"/>
        </w:rPr>
        <w:t>）的招标文件、投标文件等有关规定，为确保甲方采购项目的顺利实施，甲、乙双方在平等自愿原则下签订本合同，并共同遵守如下条款：</w:t>
      </w:r>
    </w:p>
    <w:p>
      <w:pPr>
        <w:pStyle w:val="12"/>
        <w:spacing w:line="360" w:lineRule="auto"/>
        <w:outlineLvl w:val="1"/>
        <w:rPr>
          <w:rFonts w:hint="eastAsia" w:ascii="仿宋" w:hAnsi="仿宋" w:eastAsia="仿宋" w:cs="仿宋"/>
          <w:b/>
          <w:color w:val="auto"/>
          <w:highlight w:val="none"/>
        </w:rPr>
      </w:pPr>
      <w:bookmarkStart w:id="0" w:name="_Toc18934"/>
      <w:bookmarkStart w:id="1" w:name="_Toc3373"/>
      <w:bookmarkStart w:id="2" w:name="_Toc8686"/>
      <w:r>
        <w:rPr>
          <w:rFonts w:hint="eastAsia" w:ascii="仿宋" w:hAnsi="仿宋" w:eastAsia="仿宋" w:cs="仿宋"/>
          <w:b/>
          <w:color w:val="auto"/>
          <w:highlight w:val="none"/>
        </w:rPr>
        <w:t>第一条 合同标的及数量</w:t>
      </w:r>
      <w:bookmarkEnd w:id="0"/>
      <w:bookmarkEnd w:id="1"/>
      <w:bookmarkEnd w:id="2"/>
    </w:p>
    <w:p>
      <w:pPr>
        <w:pStyle w:val="12"/>
        <w:spacing w:line="360" w:lineRule="auto"/>
        <w:ind w:firstLine="480" w:firstLineChars="200"/>
        <w:outlineLvl w:val="9"/>
        <w:rPr>
          <w:rFonts w:hint="eastAsia" w:ascii="仿宋" w:hAnsi="仿宋" w:eastAsia="仿宋" w:cs="仿宋"/>
          <w:b/>
          <w:color w:val="auto"/>
          <w:highlight w:val="none"/>
        </w:rPr>
      </w:pPr>
      <w:r>
        <w:rPr>
          <w:rFonts w:hint="eastAsia" w:ascii="仿宋" w:hAnsi="仿宋" w:eastAsia="仿宋" w:cs="仿宋"/>
          <w:color w:val="auto"/>
          <w:highlight w:val="none"/>
        </w:rPr>
        <w:t>乙方向甲方提供下列货物（产品）</w:t>
      </w:r>
      <w:r>
        <w:rPr>
          <w:rFonts w:hint="eastAsia" w:ascii="仿宋" w:hAnsi="仿宋" w:eastAsia="仿宋" w:cs="仿宋"/>
          <w:color w:val="auto"/>
          <w:highlight w:val="none"/>
          <w:lang w:val="en-US" w:eastAsia="zh-CN"/>
        </w:rPr>
        <w:t>及相关服务</w:t>
      </w:r>
      <w:r>
        <w:rPr>
          <w:rFonts w:hint="eastAsia" w:ascii="仿宋" w:hAnsi="仿宋" w:eastAsia="仿宋" w:cs="仿宋"/>
          <w:color w:val="auto"/>
          <w:highlight w:val="none"/>
        </w:rPr>
        <w:t>：</w:t>
      </w:r>
    </w:p>
    <w:p>
      <w:pPr>
        <w:pStyle w:val="6"/>
        <w:spacing w:line="360" w:lineRule="auto"/>
        <w:ind w:firstLine="0"/>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货物（产品）及相关服务一览表</w:t>
      </w:r>
    </w:p>
    <w:tbl>
      <w:tblPr>
        <w:tblStyle w:val="10"/>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162"/>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pPr>
              <w:outlineLvl w:val="9"/>
              <w:rPr>
                <w:rFonts w:hint="eastAsia" w:ascii="仿宋" w:hAnsi="仿宋" w:eastAsia="仿宋" w:cs="仿宋"/>
                <w:color w:val="auto"/>
                <w:sz w:val="24"/>
                <w:szCs w:val="24"/>
                <w:highlight w:val="none"/>
              </w:rPr>
            </w:pPr>
            <w:bookmarkStart w:id="3" w:name="_Toc1631"/>
            <w:bookmarkStart w:id="4" w:name="_Toc7471"/>
            <w:bookmarkStart w:id="5" w:name="_Toc31400"/>
            <w:bookmarkStart w:id="6" w:name="_Toc21343"/>
            <w:bookmarkStart w:id="7" w:name="_Toc26294"/>
            <w:r>
              <w:rPr>
                <w:rFonts w:hint="eastAsia" w:ascii="仿宋" w:hAnsi="仿宋" w:eastAsia="仿宋" w:cs="仿宋"/>
                <w:color w:val="auto"/>
                <w:sz w:val="24"/>
                <w:szCs w:val="24"/>
                <w:highlight w:val="none"/>
              </w:rPr>
              <w:t>序号</w:t>
            </w:r>
            <w:bookmarkEnd w:id="3"/>
            <w:bookmarkEnd w:id="4"/>
            <w:bookmarkEnd w:id="5"/>
            <w:bookmarkEnd w:id="6"/>
            <w:bookmarkEnd w:id="7"/>
          </w:p>
        </w:tc>
        <w:tc>
          <w:tcPr>
            <w:tcW w:w="1461" w:type="dxa"/>
            <w:vAlign w:val="center"/>
          </w:tcPr>
          <w:p>
            <w:pPr>
              <w:jc w:val="center"/>
              <w:outlineLvl w:val="9"/>
              <w:rPr>
                <w:rFonts w:hint="eastAsia" w:ascii="仿宋" w:hAnsi="仿宋" w:eastAsia="仿宋" w:cs="仿宋"/>
                <w:color w:val="auto"/>
                <w:sz w:val="24"/>
                <w:szCs w:val="24"/>
                <w:highlight w:val="none"/>
              </w:rPr>
            </w:pPr>
            <w:bookmarkStart w:id="8" w:name="_Toc23183"/>
            <w:bookmarkStart w:id="9" w:name="_Toc22389"/>
            <w:bookmarkStart w:id="10" w:name="_Toc6445"/>
            <w:bookmarkStart w:id="11" w:name="_Toc678"/>
            <w:bookmarkStart w:id="12" w:name="_Toc3968"/>
            <w:r>
              <w:rPr>
                <w:rFonts w:hint="eastAsia" w:ascii="仿宋" w:hAnsi="仿宋" w:eastAsia="仿宋" w:cs="仿宋"/>
                <w:color w:val="auto"/>
                <w:sz w:val="24"/>
                <w:szCs w:val="24"/>
                <w:highlight w:val="none"/>
              </w:rPr>
              <w:t>名称</w:t>
            </w:r>
            <w:bookmarkEnd w:id="8"/>
            <w:bookmarkEnd w:id="9"/>
            <w:bookmarkEnd w:id="10"/>
            <w:bookmarkEnd w:id="11"/>
            <w:bookmarkEnd w:id="12"/>
          </w:p>
        </w:tc>
        <w:tc>
          <w:tcPr>
            <w:tcW w:w="1623" w:type="dxa"/>
            <w:vAlign w:val="center"/>
          </w:tcPr>
          <w:p>
            <w:pPr>
              <w:outlineLvl w:val="9"/>
              <w:rPr>
                <w:rFonts w:hint="eastAsia" w:ascii="仿宋" w:hAnsi="仿宋" w:eastAsia="仿宋" w:cs="仿宋"/>
                <w:color w:val="auto"/>
                <w:sz w:val="24"/>
                <w:szCs w:val="24"/>
                <w:highlight w:val="none"/>
              </w:rPr>
            </w:pPr>
            <w:bookmarkStart w:id="13" w:name="_Toc5820"/>
            <w:bookmarkStart w:id="14" w:name="_Toc31540"/>
            <w:bookmarkStart w:id="15" w:name="_Toc6213"/>
            <w:bookmarkStart w:id="16" w:name="_Toc16370"/>
            <w:bookmarkStart w:id="17" w:name="_Toc13493"/>
            <w:r>
              <w:rPr>
                <w:rFonts w:hint="eastAsia" w:ascii="仿宋" w:hAnsi="仿宋" w:eastAsia="仿宋" w:cs="仿宋"/>
                <w:color w:val="auto"/>
                <w:sz w:val="24"/>
                <w:szCs w:val="24"/>
                <w:highlight w:val="none"/>
              </w:rPr>
              <w:t>品牌/型号</w:t>
            </w:r>
            <w:bookmarkEnd w:id="13"/>
            <w:bookmarkEnd w:id="14"/>
            <w:bookmarkEnd w:id="15"/>
            <w:bookmarkEnd w:id="16"/>
            <w:bookmarkEnd w:id="17"/>
          </w:p>
        </w:tc>
        <w:tc>
          <w:tcPr>
            <w:tcW w:w="832" w:type="dxa"/>
            <w:vAlign w:val="center"/>
          </w:tcPr>
          <w:p>
            <w:pPr>
              <w:outlineLvl w:val="9"/>
              <w:rPr>
                <w:rFonts w:hint="eastAsia" w:ascii="仿宋" w:hAnsi="仿宋" w:eastAsia="仿宋" w:cs="仿宋"/>
                <w:color w:val="auto"/>
                <w:sz w:val="24"/>
                <w:szCs w:val="24"/>
                <w:highlight w:val="none"/>
              </w:rPr>
            </w:pPr>
            <w:bookmarkStart w:id="18" w:name="_Toc5177"/>
            <w:bookmarkStart w:id="19" w:name="_Toc3362"/>
            <w:bookmarkStart w:id="20" w:name="_Toc21205"/>
            <w:bookmarkStart w:id="21" w:name="_Toc3931"/>
            <w:bookmarkStart w:id="22" w:name="_Toc15931"/>
            <w:r>
              <w:rPr>
                <w:rFonts w:hint="eastAsia" w:ascii="仿宋" w:hAnsi="仿宋" w:eastAsia="仿宋" w:cs="仿宋"/>
                <w:color w:val="auto"/>
                <w:sz w:val="24"/>
                <w:szCs w:val="24"/>
                <w:highlight w:val="none"/>
              </w:rPr>
              <w:t>规格</w:t>
            </w:r>
            <w:bookmarkEnd w:id="18"/>
            <w:bookmarkEnd w:id="19"/>
            <w:bookmarkEnd w:id="20"/>
            <w:bookmarkEnd w:id="21"/>
            <w:bookmarkEnd w:id="22"/>
          </w:p>
        </w:tc>
        <w:tc>
          <w:tcPr>
            <w:tcW w:w="822" w:type="dxa"/>
            <w:vAlign w:val="center"/>
          </w:tcPr>
          <w:p>
            <w:pPr>
              <w:outlineLvl w:val="9"/>
              <w:rPr>
                <w:rFonts w:hint="eastAsia" w:ascii="仿宋" w:hAnsi="仿宋" w:eastAsia="仿宋" w:cs="仿宋"/>
                <w:color w:val="auto"/>
                <w:sz w:val="24"/>
                <w:szCs w:val="24"/>
                <w:highlight w:val="none"/>
              </w:rPr>
            </w:pPr>
            <w:bookmarkStart w:id="23" w:name="_Toc8364"/>
            <w:bookmarkStart w:id="24" w:name="_Toc16004"/>
            <w:bookmarkStart w:id="25" w:name="_Toc30791"/>
            <w:bookmarkStart w:id="26" w:name="_Toc13801"/>
            <w:bookmarkStart w:id="27" w:name="_Toc18669"/>
            <w:r>
              <w:rPr>
                <w:rFonts w:hint="eastAsia" w:ascii="仿宋" w:hAnsi="仿宋" w:eastAsia="仿宋" w:cs="仿宋"/>
                <w:color w:val="auto"/>
                <w:sz w:val="24"/>
                <w:szCs w:val="24"/>
                <w:highlight w:val="none"/>
              </w:rPr>
              <w:t>计量单位</w:t>
            </w:r>
            <w:bookmarkEnd w:id="23"/>
            <w:bookmarkEnd w:id="24"/>
            <w:bookmarkEnd w:id="25"/>
            <w:bookmarkEnd w:id="26"/>
            <w:bookmarkEnd w:id="27"/>
          </w:p>
        </w:tc>
        <w:tc>
          <w:tcPr>
            <w:tcW w:w="514" w:type="dxa"/>
            <w:vAlign w:val="center"/>
          </w:tcPr>
          <w:p>
            <w:pPr>
              <w:outlineLvl w:val="9"/>
              <w:rPr>
                <w:rFonts w:hint="eastAsia" w:ascii="仿宋" w:hAnsi="仿宋" w:eastAsia="仿宋" w:cs="仿宋"/>
                <w:color w:val="auto"/>
                <w:sz w:val="24"/>
                <w:szCs w:val="24"/>
                <w:highlight w:val="none"/>
              </w:rPr>
            </w:pPr>
            <w:bookmarkStart w:id="28" w:name="_Toc9231"/>
            <w:bookmarkStart w:id="29" w:name="_Toc609"/>
            <w:bookmarkStart w:id="30" w:name="_Toc19134"/>
            <w:bookmarkStart w:id="31" w:name="_Toc29871"/>
            <w:bookmarkStart w:id="32" w:name="_Toc24569"/>
            <w:r>
              <w:rPr>
                <w:rFonts w:hint="eastAsia" w:ascii="仿宋" w:hAnsi="仿宋" w:eastAsia="仿宋" w:cs="仿宋"/>
                <w:color w:val="auto"/>
                <w:sz w:val="24"/>
                <w:szCs w:val="24"/>
                <w:highlight w:val="none"/>
              </w:rPr>
              <w:t>数量</w:t>
            </w:r>
            <w:bookmarkEnd w:id="28"/>
            <w:bookmarkEnd w:id="29"/>
            <w:bookmarkEnd w:id="30"/>
            <w:bookmarkEnd w:id="31"/>
            <w:bookmarkEnd w:id="32"/>
          </w:p>
        </w:tc>
        <w:tc>
          <w:tcPr>
            <w:tcW w:w="1162" w:type="dxa"/>
            <w:vAlign w:val="center"/>
          </w:tcPr>
          <w:p>
            <w:pPr>
              <w:outlineLvl w:val="9"/>
              <w:rPr>
                <w:rFonts w:hint="eastAsia" w:ascii="仿宋" w:hAnsi="仿宋" w:eastAsia="仿宋" w:cs="仿宋"/>
                <w:color w:val="auto"/>
                <w:sz w:val="24"/>
                <w:szCs w:val="24"/>
                <w:highlight w:val="none"/>
              </w:rPr>
            </w:pPr>
            <w:bookmarkStart w:id="33" w:name="_Toc23932"/>
            <w:bookmarkStart w:id="34" w:name="_Toc29589"/>
            <w:bookmarkStart w:id="35" w:name="_Toc22269"/>
            <w:bookmarkStart w:id="36" w:name="_Toc1373"/>
            <w:bookmarkStart w:id="37" w:name="_Toc5020"/>
            <w:r>
              <w:rPr>
                <w:rFonts w:hint="eastAsia" w:ascii="仿宋" w:hAnsi="仿宋" w:eastAsia="仿宋" w:cs="仿宋"/>
                <w:color w:val="auto"/>
                <w:sz w:val="24"/>
                <w:szCs w:val="24"/>
                <w:highlight w:val="none"/>
              </w:rPr>
              <w:t>单价（元）</w:t>
            </w:r>
            <w:bookmarkEnd w:id="33"/>
            <w:bookmarkEnd w:id="34"/>
            <w:bookmarkEnd w:id="35"/>
            <w:bookmarkEnd w:id="36"/>
            <w:bookmarkEnd w:id="37"/>
          </w:p>
        </w:tc>
        <w:tc>
          <w:tcPr>
            <w:tcW w:w="1601" w:type="dxa"/>
            <w:vAlign w:val="center"/>
          </w:tcPr>
          <w:p>
            <w:pPr>
              <w:ind w:left="236" w:hanging="235" w:hangingChars="98"/>
              <w:outlineLvl w:val="9"/>
              <w:rPr>
                <w:rFonts w:hint="eastAsia" w:ascii="仿宋" w:hAnsi="仿宋" w:eastAsia="仿宋" w:cs="仿宋"/>
                <w:color w:val="auto"/>
                <w:sz w:val="24"/>
                <w:szCs w:val="24"/>
                <w:highlight w:val="none"/>
              </w:rPr>
            </w:pPr>
            <w:bookmarkStart w:id="38" w:name="_Toc32579"/>
            <w:bookmarkStart w:id="39" w:name="_Toc14510"/>
            <w:bookmarkStart w:id="40" w:name="_Toc17545"/>
            <w:bookmarkStart w:id="41" w:name="_Toc26062"/>
            <w:bookmarkStart w:id="42" w:name="_Toc23619"/>
            <w:r>
              <w:rPr>
                <w:rFonts w:hint="eastAsia" w:ascii="仿宋" w:hAnsi="仿宋" w:eastAsia="仿宋" w:cs="仿宋"/>
                <w:color w:val="auto"/>
                <w:sz w:val="24"/>
                <w:szCs w:val="24"/>
                <w:highlight w:val="none"/>
              </w:rPr>
              <w:t>金额 (元)</w:t>
            </w:r>
            <w:bookmarkEnd w:id="38"/>
            <w:bookmarkEnd w:id="39"/>
            <w:bookmarkEnd w:id="40"/>
            <w:bookmarkEnd w:id="41"/>
            <w:bookmarkEnd w:id="4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162" w:type="dxa"/>
          </w:tcPr>
          <w:p>
            <w:pPr>
              <w:outlineLvl w:val="9"/>
              <w:rPr>
                <w:rFonts w:hint="eastAsia" w:ascii="仿宋" w:hAnsi="仿宋" w:eastAsia="仿宋" w:cs="仿宋"/>
                <w:color w:val="auto"/>
                <w:sz w:val="24"/>
                <w:szCs w:val="24"/>
                <w:highlight w:val="none"/>
              </w:rPr>
            </w:pPr>
          </w:p>
        </w:tc>
        <w:tc>
          <w:tcPr>
            <w:tcW w:w="1601"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162" w:type="dxa"/>
          </w:tcPr>
          <w:p>
            <w:pPr>
              <w:outlineLvl w:val="9"/>
              <w:rPr>
                <w:rFonts w:hint="eastAsia" w:ascii="仿宋" w:hAnsi="仿宋" w:eastAsia="仿宋" w:cs="仿宋"/>
                <w:color w:val="auto"/>
                <w:sz w:val="24"/>
                <w:szCs w:val="24"/>
                <w:highlight w:val="none"/>
              </w:rPr>
            </w:pPr>
          </w:p>
        </w:tc>
        <w:tc>
          <w:tcPr>
            <w:tcW w:w="1601"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162" w:type="dxa"/>
          </w:tcPr>
          <w:p>
            <w:pPr>
              <w:outlineLvl w:val="9"/>
              <w:rPr>
                <w:rFonts w:hint="eastAsia" w:ascii="仿宋" w:hAnsi="仿宋" w:eastAsia="仿宋" w:cs="仿宋"/>
                <w:color w:val="auto"/>
                <w:sz w:val="24"/>
                <w:szCs w:val="24"/>
                <w:highlight w:val="none"/>
              </w:rPr>
            </w:pPr>
          </w:p>
        </w:tc>
        <w:tc>
          <w:tcPr>
            <w:tcW w:w="1601"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pPr>
              <w:outlineLvl w:val="9"/>
              <w:rPr>
                <w:rFonts w:hint="eastAsia" w:ascii="仿宋" w:hAnsi="仿宋" w:eastAsia="仿宋" w:cs="仿宋"/>
                <w:color w:val="auto"/>
                <w:sz w:val="24"/>
                <w:szCs w:val="24"/>
                <w:highlight w:val="none"/>
              </w:rPr>
            </w:pPr>
            <w:bookmarkStart w:id="43" w:name="_Toc25107"/>
            <w:bookmarkStart w:id="44" w:name="_Toc15703"/>
            <w:bookmarkStart w:id="45" w:name="_Toc16401"/>
            <w:bookmarkStart w:id="46" w:name="_Toc18746"/>
            <w:bookmarkStart w:id="47" w:name="_Toc10934"/>
            <w:r>
              <w:rPr>
                <w:rFonts w:hint="eastAsia" w:ascii="仿宋" w:hAnsi="仿宋" w:eastAsia="仿宋" w:cs="仿宋"/>
                <w:color w:val="auto"/>
                <w:sz w:val="24"/>
                <w:szCs w:val="24"/>
                <w:highlight w:val="none"/>
              </w:rPr>
              <w:t>合计</w:t>
            </w:r>
            <w:bookmarkEnd w:id="43"/>
            <w:bookmarkEnd w:id="44"/>
            <w:bookmarkEnd w:id="45"/>
            <w:bookmarkEnd w:id="46"/>
            <w:bookmarkEnd w:id="47"/>
          </w:p>
        </w:tc>
        <w:tc>
          <w:tcPr>
            <w:tcW w:w="4931" w:type="dxa"/>
            <w:gridSpan w:val="5"/>
          </w:tcPr>
          <w:p>
            <w:pPr>
              <w:outlineLvl w:val="9"/>
              <w:rPr>
                <w:rFonts w:hint="eastAsia" w:ascii="仿宋" w:hAnsi="仿宋" w:eastAsia="仿宋" w:cs="仿宋"/>
                <w:color w:val="auto"/>
                <w:sz w:val="24"/>
                <w:szCs w:val="24"/>
                <w:highlight w:val="none"/>
              </w:rPr>
            </w:pPr>
            <w:bookmarkStart w:id="48" w:name="_Toc31431"/>
            <w:bookmarkStart w:id="49" w:name="_Toc18304"/>
            <w:bookmarkStart w:id="50" w:name="_Toc3316"/>
            <w:bookmarkStart w:id="51" w:name="_Toc9771"/>
            <w:bookmarkStart w:id="52" w:name="_Toc10002"/>
            <w:r>
              <w:rPr>
                <w:rFonts w:hint="eastAsia" w:ascii="仿宋" w:hAnsi="仿宋" w:eastAsia="仿宋" w:cs="仿宋"/>
                <w:color w:val="auto"/>
                <w:sz w:val="24"/>
                <w:szCs w:val="24"/>
                <w:highlight w:val="none"/>
              </w:rPr>
              <w:t>¥</w:t>
            </w:r>
            <w:bookmarkEnd w:id="48"/>
            <w:bookmarkEnd w:id="49"/>
            <w:bookmarkEnd w:id="50"/>
            <w:bookmarkEnd w:id="51"/>
            <w:bookmarkEnd w:id="52"/>
          </w:p>
        </w:tc>
      </w:tr>
    </w:tbl>
    <w:p>
      <w:pPr>
        <w:pStyle w:val="5"/>
        <w:spacing w:line="360" w:lineRule="auto"/>
        <w:jc w:val="both"/>
        <w:rPr>
          <w:rFonts w:hint="eastAsia" w:ascii="仿宋" w:hAnsi="仿宋" w:eastAsia="仿宋" w:cs="仿宋"/>
          <w:color w:val="auto"/>
          <w:sz w:val="24"/>
          <w:szCs w:val="24"/>
          <w:highlight w:val="none"/>
        </w:rPr>
      </w:pPr>
      <w:bookmarkStart w:id="53" w:name="_Toc6586"/>
      <w:bookmarkStart w:id="54" w:name="_Toc14881"/>
      <w:bookmarkStart w:id="55" w:name="_Toc28512"/>
      <w:r>
        <w:rPr>
          <w:rFonts w:hint="eastAsia" w:ascii="仿宋" w:hAnsi="仿宋" w:eastAsia="仿宋" w:cs="仿宋"/>
          <w:color w:val="auto"/>
          <w:sz w:val="24"/>
          <w:szCs w:val="24"/>
          <w:highlight w:val="none"/>
        </w:rPr>
        <w:t>第二条 合同价款</w:t>
      </w:r>
      <w:bookmarkEnd w:id="53"/>
      <w:bookmarkEnd w:id="54"/>
      <w:bookmarkEnd w:id="55"/>
    </w:p>
    <w:p>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pPr>
        <w:spacing w:line="360" w:lineRule="auto"/>
        <w:ind w:firstLine="480" w:firstLineChars="200"/>
        <w:jc w:val="left"/>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2.本合同总价是产品、</w:t>
      </w:r>
      <w:r>
        <w:rPr>
          <w:rFonts w:hint="eastAsia" w:ascii="仿宋" w:hAnsi="仿宋" w:eastAsia="仿宋" w:cs="仿宋"/>
          <w:b w:val="0"/>
          <w:color w:val="auto"/>
          <w:sz w:val="24"/>
          <w:szCs w:val="24"/>
          <w:highlight w:val="none"/>
          <w:lang w:val="en-US" w:eastAsia="zh-CN"/>
        </w:rPr>
        <w:t>辅材</w:t>
      </w:r>
      <w:r>
        <w:rPr>
          <w:rFonts w:hint="eastAsia" w:ascii="仿宋" w:hAnsi="仿宋" w:eastAsia="仿宋" w:cs="仿宋"/>
          <w:b w:val="0"/>
          <w:color w:val="auto"/>
          <w:sz w:val="24"/>
          <w:szCs w:val="24"/>
          <w:highlight w:val="none"/>
        </w:rPr>
        <w:t>、制造、包装、运输、安装、调试、检测、验收合格交付使用之前及保修期内保修服务与备用物件等其他有关各项的含税费用。</w:t>
      </w:r>
    </w:p>
    <w:p>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w:t>
      </w:r>
      <w:r>
        <w:rPr>
          <w:rFonts w:hint="eastAsia" w:ascii="仿宋" w:hAnsi="仿宋" w:eastAsia="仿宋" w:cs="仿宋"/>
          <w:b w:val="0"/>
          <w:color w:val="auto"/>
          <w:sz w:val="24"/>
          <w:szCs w:val="24"/>
          <w:highlight w:val="none"/>
          <w:lang w:val="en-US" w:eastAsia="zh-CN"/>
        </w:rPr>
        <w:t>运维</w:t>
      </w:r>
      <w:r>
        <w:rPr>
          <w:rFonts w:hint="eastAsia" w:ascii="仿宋" w:hAnsi="仿宋" w:eastAsia="仿宋" w:cs="仿宋"/>
          <w:b w:val="0"/>
          <w:color w:val="auto"/>
          <w:sz w:val="24"/>
          <w:szCs w:val="24"/>
          <w:highlight w:val="none"/>
        </w:rPr>
        <w:t>服务和售后服务费用。</w:t>
      </w:r>
    </w:p>
    <w:p>
      <w:pPr>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Start w:id="56" w:name="_Toc31924"/>
    </w:p>
    <w:p>
      <w:pPr>
        <w:pStyle w:val="5"/>
        <w:spacing w:line="360" w:lineRule="auto"/>
        <w:ind w:firstLine="241" w:firstLineChars="100"/>
        <w:jc w:val="both"/>
        <w:rPr>
          <w:rFonts w:hint="default" w:eastAsia="仿宋"/>
          <w:lang w:val="en-US" w:eastAsia="zh-CN"/>
        </w:rPr>
      </w:pPr>
      <w:bookmarkStart w:id="57" w:name="_Toc14426"/>
      <w:bookmarkStart w:id="58" w:name="_Toc2721"/>
      <w:r>
        <w:rPr>
          <w:rFonts w:hint="eastAsia" w:ascii="仿宋" w:hAnsi="仿宋" w:eastAsia="仿宋" w:cs="仿宋"/>
          <w:color w:val="auto"/>
          <w:sz w:val="24"/>
          <w:szCs w:val="24"/>
          <w:highlight w:val="none"/>
        </w:rPr>
        <w:t xml:space="preserve">第三条 </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支付</w:t>
      </w:r>
      <w:bookmarkEnd w:id="56"/>
      <w:bookmarkEnd w:id="57"/>
      <w:bookmarkEnd w:id="58"/>
    </w:p>
    <w:p>
      <w:pPr>
        <w:pStyle w:val="12"/>
        <w:numPr>
          <w:ilvl w:val="0"/>
          <w:numId w:val="0"/>
        </w:numPr>
        <w:spacing w:line="360" w:lineRule="auto"/>
        <w:ind w:firstLine="480" w:firstLineChars="200"/>
        <w:outlineLvl w:val="1"/>
        <w:rPr>
          <w:rFonts w:hint="eastAsia" w:ascii="仿宋" w:hAnsi="仿宋" w:eastAsia="仿宋" w:cs="仿宋"/>
          <w:b/>
          <w:color w:val="auto"/>
          <w:highlight w:val="none"/>
          <w:lang w:val="en-US" w:eastAsia="zh-CN"/>
        </w:rPr>
      </w:pPr>
      <w:bookmarkStart w:id="59" w:name="_Toc24977"/>
      <w:bookmarkStart w:id="60" w:name="_Toc7450"/>
      <w:bookmarkStart w:id="61" w:name="_Toc7176"/>
      <w:r>
        <w:rPr>
          <w:rFonts w:hint="eastAsia" w:ascii="仿宋" w:hAnsi="仿宋" w:eastAsia="仿宋" w:cs="仿宋"/>
          <w:sz w:val="24"/>
          <w:lang w:val="en-US" w:eastAsia="zh-CN"/>
        </w:rPr>
        <w:t>合同签订后 ，达到付款条件起7日内，支付合同总金额的30%。设备到场后 ，达到付款条件起7日内，支付合同总金额的40%。安装调试验收合格后，达到付款条件起7日内支付合同总金额的 30%。</w:t>
      </w:r>
    </w:p>
    <w:p>
      <w:pPr>
        <w:pStyle w:val="12"/>
        <w:numPr>
          <w:ilvl w:val="0"/>
          <w:numId w:val="1"/>
        </w:numPr>
        <w:spacing w:line="360" w:lineRule="auto"/>
        <w:outlineLvl w:val="1"/>
        <w:rPr>
          <w:rFonts w:hint="eastAsia" w:ascii="仿宋" w:hAnsi="仿宋" w:eastAsia="仿宋" w:cs="仿宋"/>
          <w:b/>
          <w:color w:val="auto"/>
          <w:highlight w:val="none"/>
          <w:lang w:val="en-US" w:eastAsia="zh-CN"/>
        </w:rPr>
      </w:pPr>
      <w:r>
        <w:rPr>
          <w:rFonts w:hint="eastAsia" w:ascii="仿宋" w:hAnsi="仿宋" w:eastAsia="仿宋" w:cs="仿宋"/>
          <w:b/>
          <w:color w:val="auto"/>
          <w:highlight w:val="none"/>
        </w:rPr>
        <w:t>交</w:t>
      </w:r>
      <w:r>
        <w:rPr>
          <w:rFonts w:hint="eastAsia" w:ascii="仿宋" w:hAnsi="仿宋" w:eastAsia="仿宋" w:cs="仿宋"/>
          <w:b/>
          <w:color w:val="auto"/>
          <w:highlight w:val="none"/>
          <w:lang w:val="en-US" w:eastAsia="zh-CN"/>
        </w:rPr>
        <w:t>货期限</w:t>
      </w:r>
      <w:bookmarkEnd w:id="59"/>
      <w:bookmarkEnd w:id="60"/>
      <w:bookmarkEnd w:id="61"/>
      <w:bookmarkStart w:id="86" w:name="_GoBack"/>
      <w:bookmarkEnd w:id="86"/>
    </w:p>
    <w:p>
      <w:pPr>
        <w:pStyle w:val="12"/>
        <w:numPr>
          <w:ilvl w:val="0"/>
          <w:numId w:val="0"/>
        </w:numPr>
        <w:spacing w:line="360" w:lineRule="auto"/>
        <w:outlineLvl w:val="1"/>
        <w:rPr>
          <w:rFonts w:hint="default" w:ascii="仿宋" w:hAnsi="仿宋" w:eastAsia="仿宋" w:cs="仿宋"/>
          <w:b w:val="0"/>
          <w:bCs/>
          <w:color w:val="auto"/>
          <w:highlight w:val="none"/>
          <w:u w:val="none"/>
          <w:lang w:val="en-US" w:eastAsia="zh-CN"/>
        </w:rPr>
      </w:pPr>
      <w:r>
        <w:rPr>
          <w:rFonts w:hint="eastAsia" w:ascii="仿宋" w:hAnsi="仿宋" w:eastAsia="仿宋" w:cs="仿宋"/>
          <w:b w:val="0"/>
          <w:bCs/>
          <w:color w:val="auto"/>
          <w:highlight w:val="none"/>
          <w:lang w:val="en-US" w:eastAsia="zh-CN"/>
        </w:rPr>
        <w:t xml:space="preserve">   1.交货期：自合同签订之日起，60个日历日完成全部项目内容。2.交货要求：所有设施设备安装调试到位。环境测评可以正常开展教学活动。</w:t>
      </w:r>
    </w:p>
    <w:p>
      <w:pPr>
        <w:pStyle w:val="12"/>
        <w:numPr>
          <w:ilvl w:val="0"/>
          <w:numId w:val="2"/>
        </w:numPr>
        <w:spacing w:line="360" w:lineRule="auto"/>
        <w:outlineLvl w:val="1"/>
        <w:rPr>
          <w:rFonts w:hint="default" w:ascii="仿宋" w:hAnsi="仿宋" w:eastAsia="仿宋" w:cs="仿宋"/>
          <w:b/>
          <w:color w:val="auto"/>
          <w:highlight w:val="none"/>
          <w:lang w:val="en-US"/>
        </w:rPr>
      </w:pPr>
      <w:bookmarkStart w:id="62" w:name="_Toc8595"/>
      <w:r>
        <w:rPr>
          <w:rFonts w:hint="eastAsia" w:ascii="仿宋" w:hAnsi="仿宋" w:eastAsia="仿宋" w:cs="仿宋"/>
          <w:b/>
          <w:color w:val="auto"/>
          <w:highlight w:val="none"/>
          <w:lang w:val="en-US" w:eastAsia="zh-CN"/>
        </w:rPr>
        <w:t xml:space="preserve"> </w:t>
      </w:r>
      <w:bookmarkStart w:id="63" w:name="_Toc18347"/>
      <w:bookmarkStart w:id="64" w:name="_Toc2774"/>
      <w:r>
        <w:rPr>
          <w:rFonts w:hint="eastAsia" w:ascii="仿宋" w:hAnsi="仿宋" w:eastAsia="仿宋" w:cs="仿宋"/>
          <w:b/>
          <w:color w:val="auto"/>
          <w:highlight w:val="none"/>
        </w:rPr>
        <w:t>质</w:t>
      </w:r>
      <w:bookmarkEnd w:id="62"/>
      <w:r>
        <w:rPr>
          <w:rFonts w:hint="eastAsia" w:ascii="仿宋" w:hAnsi="仿宋" w:eastAsia="仿宋" w:cs="仿宋"/>
          <w:b/>
          <w:color w:val="auto"/>
          <w:highlight w:val="none"/>
          <w:lang w:val="en-US" w:eastAsia="zh-CN"/>
        </w:rPr>
        <w:t>保</w:t>
      </w:r>
      <w:bookmarkEnd w:id="63"/>
      <w:bookmarkEnd w:id="64"/>
      <w:r>
        <w:rPr>
          <w:rFonts w:hint="eastAsia" w:ascii="仿宋" w:hAnsi="仿宋" w:eastAsia="仿宋" w:cs="仿宋"/>
          <w:b/>
          <w:color w:val="auto"/>
          <w:highlight w:val="none"/>
          <w:lang w:val="en-US" w:eastAsia="zh-CN"/>
        </w:rPr>
        <w:t>保证</w:t>
      </w:r>
    </w:p>
    <w:p>
      <w:pPr>
        <w:pStyle w:val="8"/>
        <w:spacing w:line="360" w:lineRule="auto"/>
        <w:ind w:firstLine="480" w:firstLineChars="200"/>
        <w:rPr>
          <w:rFonts w:ascii="仿宋" w:hAnsi="仿宋" w:eastAsia="仿宋" w:cs="仿宋"/>
          <w:sz w:val="24"/>
        </w:rPr>
      </w:pPr>
      <w:bookmarkStart w:id="65" w:name="_Toc23635"/>
      <w:bookmarkStart w:id="66" w:name="_Toc26000"/>
      <w:bookmarkStart w:id="67" w:name="_Toc5147"/>
      <w:r>
        <w:rPr>
          <w:rFonts w:hint="eastAsia" w:ascii="仿宋" w:hAnsi="仿宋" w:eastAsia="仿宋" w:cs="仿宋"/>
          <w:sz w:val="24"/>
          <w:lang w:val="en-US" w:eastAsia="zh-CN"/>
        </w:rPr>
        <w:t>1.</w:t>
      </w:r>
      <w:r>
        <w:rPr>
          <w:rFonts w:hint="eastAsia" w:ascii="仿宋" w:hAnsi="仿宋" w:eastAsia="仿宋" w:cs="仿宋"/>
          <w:sz w:val="24"/>
        </w:rPr>
        <w:t>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pPr>
        <w:pStyle w:val="8"/>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乙方提供的设备及配套产品必须等同于或优于合同技术指标要求，并能按国家标准供应、检测、调试，确保产品技术指标满足使用要求。</w:t>
      </w:r>
    </w:p>
    <w:p>
      <w:pPr>
        <w:pStyle w:val="8"/>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pPr>
        <w:pStyle w:val="8"/>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pStyle w:val="8"/>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乙方在收到通知后虽答复，但没有弥补缺陷，甲方可采取必要的补救措施，但由此引发的风险和费用将由乙方承担。甲方根据合同规定对乙方行使的其他权力不受影响。</w:t>
      </w:r>
    </w:p>
    <w:p>
      <w:pPr>
        <w:pStyle w:val="8"/>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lang w:eastAsia="zh-CN"/>
        </w:rPr>
        <w:t>质保期：终验合格后1年，所投软件产品1年免费售后服务期，所投硬件产品1年免费售后服务期。</w:t>
      </w:r>
    </w:p>
    <w:p>
      <w:pPr>
        <w:pStyle w:val="12"/>
        <w:spacing w:line="360" w:lineRule="auto"/>
        <w:outlineLvl w:val="1"/>
        <w:rPr>
          <w:rFonts w:hint="eastAsia" w:ascii="仿宋" w:hAnsi="仿宋" w:eastAsia="仿宋" w:cs="仿宋"/>
          <w:b/>
          <w:color w:val="auto"/>
          <w:highlight w:val="none"/>
        </w:rPr>
      </w:pPr>
      <w:r>
        <w:rPr>
          <w:rFonts w:hint="eastAsia" w:ascii="仿宋" w:hAnsi="仿宋" w:eastAsia="仿宋" w:cs="仿宋"/>
          <w:b/>
          <w:color w:val="auto"/>
          <w:highlight w:val="none"/>
        </w:rPr>
        <w:t>第六条 权利保证</w:t>
      </w:r>
      <w:bookmarkEnd w:id="65"/>
      <w:bookmarkEnd w:id="66"/>
      <w:bookmarkEnd w:id="67"/>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1.乙方保证对其出售的货物享有合法的权利。</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2.乙方保证对其出售的货物上不存在任何未曾向甲方透露的担保物权，如抵押权、质押权、留置权。</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3.乙方保证对其出售的货物或其任何一部分没有侵犯第三方的专利权、版权、商标权或其他权利。</w:t>
      </w:r>
    </w:p>
    <w:p>
      <w:pPr>
        <w:pStyle w:val="12"/>
        <w:spacing w:line="360" w:lineRule="auto"/>
        <w:ind w:firstLine="480" w:firstLineChars="200"/>
        <w:rPr>
          <w:rFonts w:hint="eastAsia" w:ascii="仿宋" w:hAnsi="仿宋" w:eastAsia="仿宋" w:cs="仿宋"/>
          <w:b/>
          <w:color w:val="auto"/>
          <w:highlight w:val="none"/>
        </w:rPr>
      </w:pPr>
      <w:r>
        <w:rPr>
          <w:rFonts w:hint="eastAsia" w:ascii="仿宋" w:hAnsi="仿宋" w:eastAsia="仿宋" w:cs="仿宋"/>
          <w:color w:val="auto"/>
          <w:highlight w:val="none"/>
        </w:rPr>
        <w:t>4.如甲方在使用该货物构成上述侵权的，则由乙方承担全部责任。</w:t>
      </w:r>
    </w:p>
    <w:p>
      <w:pPr>
        <w:pStyle w:val="12"/>
        <w:spacing w:line="360" w:lineRule="auto"/>
        <w:outlineLvl w:val="1"/>
        <w:rPr>
          <w:rFonts w:hint="default" w:ascii="仿宋" w:hAnsi="仿宋" w:eastAsia="仿宋" w:cs="仿宋"/>
          <w:b/>
          <w:color w:val="auto"/>
          <w:highlight w:val="none"/>
          <w:lang w:val="en-US" w:eastAsia="zh-CN"/>
        </w:rPr>
      </w:pPr>
      <w:bookmarkStart w:id="68" w:name="_Toc18410"/>
      <w:bookmarkStart w:id="69" w:name="_Toc31476"/>
      <w:bookmarkStart w:id="70" w:name="_Toc31505"/>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七</w:t>
      </w:r>
      <w:r>
        <w:rPr>
          <w:rFonts w:hint="eastAsia" w:ascii="仿宋" w:hAnsi="仿宋" w:eastAsia="仿宋" w:cs="仿宋"/>
          <w:b/>
          <w:color w:val="auto"/>
          <w:highlight w:val="none"/>
        </w:rPr>
        <w:t>条 售后服务</w:t>
      </w:r>
      <w:bookmarkEnd w:id="68"/>
      <w:bookmarkEnd w:id="69"/>
      <w:bookmarkEnd w:id="70"/>
      <w:r>
        <w:rPr>
          <w:rFonts w:hint="eastAsia" w:ascii="仿宋" w:hAnsi="仿宋" w:eastAsia="仿宋" w:cs="仿宋"/>
          <w:b/>
          <w:color w:val="auto"/>
          <w:highlight w:val="none"/>
          <w:lang w:val="en-US" w:eastAsia="zh-CN"/>
        </w:rPr>
        <w:t>及培训</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1.</w:t>
      </w:r>
      <w:r>
        <w:rPr>
          <w:rFonts w:hint="eastAsia" w:ascii="仿宋" w:hAnsi="仿宋" w:eastAsia="仿宋" w:cs="仿宋"/>
          <w:color w:val="auto"/>
          <w:kern w:val="0"/>
          <w:highlight w:val="none"/>
        </w:rPr>
        <w:t>乙方应按照国家有关法律法规以及招标文件要求和投标文件的</w:t>
      </w:r>
      <w:r>
        <w:rPr>
          <w:rFonts w:hint="eastAsia" w:ascii="仿宋" w:hAnsi="仿宋" w:eastAsia="仿宋" w:cs="仿宋"/>
          <w:color w:val="auto"/>
          <w:kern w:val="0"/>
          <w:highlight w:val="none"/>
          <w:lang w:val="en-US" w:eastAsia="zh-CN"/>
        </w:rPr>
        <w:t>售后方案</w:t>
      </w:r>
      <w:r>
        <w:rPr>
          <w:rFonts w:hint="eastAsia" w:ascii="仿宋" w:hAnsi="仿宋" w:eastAsia="仿宋" w:cs="仿宋"/>
          <w:color w:val="auto"/>
          <w:kern w:val="0"/>
          <w:highlight w:val="none"/>
        </w:rPr>
        <w:t>提供服务。</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2.</w:t>
      </w:r>
      <w:r>
        <w:rPr>
          <w:rFonts w:hint="eastAsia" w:ascii="仿宋" w:hAnsi="仿宋" w:eastAsia="仿宋" w:cs="仿宋"/>
          <w:color w:val="auto"/>
          <w:kern w:val="0"/>
          <w:highlight w:val="none"/>
        </w:rPr>
        <w:t>乙方负责提供仪器设备相应的技术资料，包括产品合格证、产品保修单、安装使用及维护说明书以及运输装箱清单等,并对所有技术材料的真实性、准确性、先进性、完整性负责。</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3.</w:t>
      </w:r>
      <w:r>
        <w:rPr>
          <w:rFonts w:hint="eastAsia" w:ascii="仿宋" w:hAnsi="仿宋" w:eastAsia="仿宋" w:cs="仿宋"/>
          <w:color w:val="auto"/>
          <w:kern w:val="0"/>
          <w:highlight w:val="none"/>
        </w:rPr>
        <w:t>售后服务：质保期内乙方对甲方提出的服务响应不得超出</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小时。</w:t>
      </w:r>
    </w:p>
    <w:p>
      <w:pPr>
        <w:pStyle w:val="12"/>
        <w:spacing w:line="360" w:lineRule="auto"/>
        <w:outlineLvl w:val="1"/>
        <w:rPr>
          <w:rFonts w:hint="eastAsia" w:ascii="仿宋" w:hAnsi="仿宋" w:eastAsia="仿宋" w:cs="仿宋"/>
          <w:b/>
          <w:color w:val="auto"/>
          <w:highlight w:val="none"/>
        </w:rPr>
      </w:pPr>
      <w:bookmarkStart w:id="71" w:name="_Toc28698"/>
      <w:bookmarkStart w:id="72" w:name="_Toc3919"/>
      <w:bookmarkStart w:id="73" w:name="_Toc3711"/>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八</w:t>
      </w:r>
      <w:r>
        <w:rPr>
          <w:rFonts w:hint="eastAsia" w:ascii="仿宋" w:hAnsi="仿宋" w:eastAsia="仿宋" w:cs="仿宋"/>
          <w:b/>
          <w:color w:val="auto"/>
          <w:highlight w:val="none"/>
        </w:rPr>
        <w:t>条 违约责任</w:t>
      </w:r>
      <w:bookmarkEnd w:id="71"/>
      <w:bookmarkEnd w:id="72"/>
      <w:bookmarkEnd w:id="73"/>
    </w:p>
    <w:p>
      <w:pPr>
        <w:pStyle w:val="12"/>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1.甲方违约责任</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（1）甲方无正当理由拒收货物的，甲方应偿付合同总价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（2）甲方逾期支付货款的，除应及时付足货款外，应向乙方每天支付欠款总额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的滞纳金；但累计滞纳金总额不超过欠款总额的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pPr>
        <w:pStyle w:val="12"/>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2.乙方违约责任</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（1）如乙方不能交付货物，同时乙方应向甲方支付合同总价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（2）乙方逾期交付货物的，每逾期1天，乙方向甲方偿付逾期交付部分货款总额的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rPr>
        <w:t>的滞纳金。如乙方逾期交付达</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天，甲方有权解除合同，解除合同的通知自到达乙方时生效，乙方应向甲方支付合同总价的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%违约金，违约金不足以弥补甲方损失的，由乙方另行支付；</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（3）乙方所交付的货物品种、型号、规格不符合合同规定的，甲方有权拒收。甲方拒收的，乙方应向甲方支付货款总额</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%的违约金，并按甲方要求予以免费更换；</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（4）乙方货物经甲方送交具有法定资格条件的质量技术监督机构检测后，如检测结果认定货物质量不符合本合同规定标准的，则视为乙方没有按时交付而违约，乙方须在</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天内无条件更换合格的货物，如逾期不能更换合格的货物，甲方有权解除本合同，合同自书面解除通知到达乙方之日起解除，乙方应另向甲方支付货款总额的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%的违约金，违约金不足以弥补甲方损失的，由乙方另行支付；</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（6）乙方未按本合同的规定和</w:t>
      </w:r>
      <w:r>
        <w:rPr>
          <w:rFonts w:hint="eastAsia" w:ascii="仿宋" w:hAnsi="仿宋" w:eastAsia="仿宋" w:cs="仿宋"/>
          <w:color w:val="auto"/>
          <w:kern w:val="0"/>
          <w:highlight w:val="none"/>
          <w:lang w:val="en-US" w:eastAsia="zh-CN"/>
        </w:rPr>
        <w:t>售后服务方案</w:t>
      </w:r>
      <w:r>
        <w:rPr>
          <w:rFonts w:hint="eastAsia" w:ascii="仿宋" w:hAnsi="仿宋" w:eastAsia="仿宋" w:cs="仿宋"/>
          <w:color w:val="auto"/>
          <w:kern w:val="0"/>
          <w:highlight w:val="none"/>
        </w:rPr>
        <w:t>提供伴随服务/售后服务的，应按合同总价款的</w:t>
      </w:r>
      <w:r>
        <w:rPr>
          <w:rFonts w:hint="eastAsia" w:ascii="仿宋" w:hAnsi="仿宋" w:eastAsia="仿宋" w:cs="仿宋"/>
          <w:color w:val="auto"/>
          <w:kern w:val="0"/>
          <w:highlight w:val="none"/>
          <w:u w:val="single"/>
        </w:rPr>
        <w:t xml:space="preserve">  </w:t>
      </w:r>
      <w:r>
        <w:rPr>
          <w:rFonts w:hint="eastAsia" w:ascii="仿宋" w:hAnsi="仿宋" w:eastAsia="仿宋" w:cs="仿宋"/>
          <w:color w:val="auto"/>
          <w:kern w:val="0"/>
          <w:highlight w:val="none"/>
        </w:rPr>
        <w:t>%向甲方承担违约责任；</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（7）乙方在承担上述1-7款一项或多项违约责任后，仍应继续履行合同规定的义务（甲方解除合同的除外）。甲方未能及时追究乙方的任何一项违约责任并不表明甲方放弃追究乙方该项或其他违约责任；</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（8）乙方偿付的违约金不足以弥补甲方损失的，还应按甲方损失尚未弥补的部分，支付赔偿金给甲方。</w:t>
      </w:r>
    </w:p>
    <w:p>
      <w:pPr>
        <w:widowControl/>
        <w:spacing w:line="360" w:lineRule="auto"/>
        <w:jc w:val="left"/>
        <w:outlineLvl w:val="1"/>
        <w:rPr>
          <w:rFonts w:hint="eastAsia" w:ascii="仿宋" w:hAnsi="仿宋" w:eastAsia="仿宋" w:cs="仿宋"/>
          <w:color w:val="auto"/>
          <w:kern w:val="0"/>
          <w:sz w:val="24"/>
          <w:szCs w:val="24"/>
          <w:highlight w:val="none"/>
        </w:rPr>
      </w:pPr>
      <w:bookmarkStart w:id="74" w:name="_Toc13805"/>
      <w:bookmarkStart w:id="75" w:name="_Toc17126"/>
      <w:bookmarkStart w:id="76" w:name="_Toc27557"/>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bookmarkEnd w:id="74"/>
      <w:bookmarkEnd w:id="75"/>
      <w:bookmarkEnd w:id="76"/>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pPr>
        <w:widowControl/>
        <w:spacing w:line="360" w:lineRule="auto"/>
        <w:jc w:val="left"/>
        <w:outlineLvl w:val="1"/>
        <w:rPr>
          <w:rFonts w:hint="eastAsia" w:ascii="仿宋" w:hAnsi="仿宋" w:eastAsia="仿宋" w:cs="仿宋"/>
          <w:b/>
          <w:color w:val="auto"/>
          <w:kern w:val="0"/>
          <w:sz w:val="24"/>
          <w:szCs w:val="24"/>
          <w:highlight w:val="none"/>
        </w:rPr>
      </w:pPr>
      <w:bookmarkStart w:id="77" w:name="_Toc16869"/>
      <w:bookmarkStart w:id="78" w:name="_Toc13338"/>
      <w:bookmarkStart w:id="79" w:name="_Toc29986"/>
      <w:r>
        <w:rPr>
          <w:rFonts w:hint="eastAsia" w:ascii="仿宋" w:hAnsi="仿宋" w:eastAsia="仿宋" w:cs="仿宋"/>
          <w:b/>
          <w:color w:val="auto"/>
          <w:kern w:val="0"/>
          <w:sz w:val="24"/>
          <w:szCs w:val="24"/>
          <w:highlight w:val="none"/>
        </w:rPr>
        <w:t>第十条 争议的解决</w:t>
      </w:r>
      <w:bookmarkEnd w:id="77"/>
      <w:bookmarkEnd w:id="78"/>
      <w:bookmarkEnd w:id="79"/>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1.因货物的质量问题发生争议，由质量技术监督部门或其指定的质量鉴定机构进行质量鉴定。货物符合标准的，鉴定费由甲方承担；货物不符合质量标准的，鉴定费由乙方承担。</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种方式解决争议：</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（1）向甲方所在地有管辖权的人民法院提起诉讼；</w:t>
      </w:r>
    </w:p>
    <w:p>
      <w:pPr>
        <w:pStyle w:val="12"/>
        <w:spacing w:line="360" w:lineRule="auto"/>
        <w:ind w:firstLine="480" w:firstLineChars="200"/>
        <w:rPr>
          <w:rFonts w:hint="eastAsia" w:ascii="仿宋" w:hAnsi="仿宋" w:eastAsia="仿宋" w:cs="仿宋"/>
          <w:color w:val="auto"/>
          <w:kern w:val="0"/>
          <w:highlight w:val="none"/>
          <w:lang w:eastAsia="zh-CN"/>
        </w:rPr>
      </w:pPr>
      <w:r>
        <w:rPr>
          <w:rFonts w:hint="eastAsia" w:ascii="仿宋" w:hAnsi="仿宋" w:eastAsia="仿宋" w:cs="仿宋"/>
          <w:color w:val="auto"/>
          <w:kern w:val="0"/>
          <w:highlight w:val="none"/>
        </w:rPr>
        <w:t>（2）向</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仲裁委员会按其仲裁规则申请仲裁</w:t>
      </w:r>
      <w:r>
        <w:rPr>
          <w:rFonts w:hint="eastAsia" w:ascii="仿宋" w:hAnsi="仿宋" w:eastAsia="仿宋" w:cs="仿宋"/>
          <w:color w:val="auto"/>
          <w:kern w:val="0"/>
          <w:highlight w:val="none"/>
          <w:lang w:eastAsia="zh-CN"/>
        </w:rPr>
        <w:t>；</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3.在诉讼期间，本合同应继续履行。</w:t>
      </w:r>
    </w:p>
    <w:p>
      <w:pPr>
        <w:snapToGrid w:val="0"/>
        <w:spacing w:line="360" w:lineRule="auto"/>
        <w:textAlignment w:val="baseline"/>
        <w:outlineLvl w:val="1"/>
        <w:rPr>
          <w:rFonts w:hint="eastAsia" w:ascii="仿宋" w:hAnsi="仿宋" w:eastAsia="仿宋" w:cs="仿宋"/>
          <w:b/>
          <w:color w:val="auto"/>
          <w:sz w:val="24"/>
          <w:szCs w:val="24"/>
          <w:highlight w:val="none"/>
        </w:rPr>
      </w:pPr>
      <w:bookmarkStart w:id="80" w:name="_Toc6911"/>
      <w:bookmarkStart w:id="81" w:name="_Toc24039"/>
      <w:bookmarkStart w:id="82" w:name="_Toc26051"/>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bookmarkEnd w:id="80"/>
      <w:bookmarkEnd w:id="81"/>
      <w:bookmarkEnd w:id="82"/>
    </w:p>
    <w:p>
      <w:pPr>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2.中标通知书</w:t>
      </w:r>
      <w:r>
        <w:rPr>
          <w:rFonts w:hint="eastAsia" w:ascii="仿宋" w:hAnsi="仿宋" w:eastAsia="仿宋" w:cs="仿宋"/>
          <w:color w:val="auto"/>
          <w:sz w:val="24"/>
          <w:szCs w:val="24"/>
          <w:highlight w:val="none"/>
        </w:rPr>
        <w:tab/>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4.招标文件(含澄清或者修改文件)</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5.投标文件</w:t>
      </w:r>
    </w:p>
    <w:p>
      <w:pPr>
        <w:snapToGrid w:val="0"/>
        <w:spacing w:line="360" w:lineRule="auto"/>
        <w:outlineLvl w:val="1"/>
        <w:rPr>
          <w:rFonts w:hint="eastAsia" w:ascii="仿宋" w:hAnsi="仿宋" w:eastAsia="仿宋" w:cs="仿宋"/>
          <w:b/>
          <w:color w:val="auto"/>
          <w:kern w:val="0"/>
          <w:sz w:val="24"/>
          <w:szCs w:val="24"/>
          <w:highlight w:val="none"/>
        </w:rPr>
      </w:pPr>
      <w:bookmarkStart w:id="83" w:name="_Toc32342"/>
      <w:bookmarkStart w:id="84" w:name="_Toc13842"/>
      <w:bookmarkStart w:id="85" w:name="_Toc1382"/>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bookmarkEnd w:id="83"/>
      <w:bookmarkEnd w:id="84"/>
      <w:bookmarkEnd w:id="85"/>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如有未尽事宜，由双方依法订立补充合同，补充合同与本合同效力一致。</w:t>
      </w:r>
    </w:p>
    <w:p>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2.本合同自双方签字、盖章之日起生效。</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3.本合同一式___份，具有同等法律效力，甲乙双方各执____份。</w:t>
      </w:r>
    </w:p>
    <w:p>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4.合同附件：技术协议、招标文件、投标文件、中标通知书</w:t>
      </w: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    年  月  日           签约日期：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A179AFD-C047-43A0-A24F-91FAEB0232C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99E350C2-C2D1-460F-8496-C52CEB6847EB}"/>
  </w:font>
  <w:font w:name="仿宋">
    <w:panose1 w:val="02010609060101010101"/>
    <w:charset w:val="86"/>
    <w:family w:val="modern"/>
    <w:pitch w:val="default"/>
    <w:sig w:usb0="800002BF" w:usb1="38CF7CFA" w:usb2="00000016" w:usb3="00000000" w:csb0="00040001" w:csb1="00000000"/>
    <w:embedRegular r:id="rId3" w:fontKey="{B05EE372-0CAB-4B0F-A397-D41F4B2DC5E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FC741"/>
    <w:multiLevelType w:val="singleLevel"/>
    <w:tmpl w:val="028FC741"/>
    <w:lvl w:ilvl="0" w:tentative="0">
      <w:start w:val="4"/>
      <w:numFmt w:val="chineseCounting"/>
      <w:suff w:val="space"/>
      <w:lvlText w:val="第%1条"/>
      <w:lvlJc w:val="left"/>
      <w:rPr>
        <w:rFonts w:hint="eastAsia"/>
      </w:rPr>
    </w:lvl>
  </w:abstractNum>
  <w:abstractNum w:abstractNumId="1">
    <w:nsid w:val="23484E31"/>
    <w:multiLevelType w:val="singleLevel"/>
    <w:tmpl w:val="23484E31"/>
    <w:lvl w:ilvl="0" w:tentative="0">
      <w:start w:val="5"/>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kY2UxZDE1ZTBkMWJmMTViMDllNDRiNWExOTljZTYifQ=="/>
    <w:docVar w:name="KSO_WPS_MARK_KEY" w:val="1ea3c34e-b61f-467b-a7e2-519538d3554a"/>
  </w:docVars>
  <w:rsids>
    <w:rsidRoot w:val="38E42B80"/>
    <w:rsid w:val="020E02AA"/>
    <w:rsid w:val="03462259"/>
    <w:rsid w:val="07E51AAD"/>
    <w:rsid w:val="09B01196"/>
    <w:rsid w:val="0A60541B"/>
    <w:rsid w:val="0B1A04DC"/>
    <w:rsid w:val="0C0544CC"/>
    <w:rsid w:val="123F625E"/>
    <w:rsid w:val="17E72CD8"/>
    <w:rsid w:val="180B4E43"/>
    <w:rsid w:val="1D3C6D55"/>
    <w:rsid w:val="1EFA59E6"/>
    <w:rsid w:val="263C4B36"/>
    <w:rsid w:val="264913D7"/>
    <w:rsid w:val="26804A23"/>
    <w:rsid w:val="2A7C59B7"/>
    <w:rsid w:val="321150C9"/>
    <w:rsid w:val="33613CE8"/>
    <w:rsid w:val="33E4755F"/>
    <w:rsid w:val="354F3848"/>
    <w:rsid w:val="36D6068F"/>
    <w:rsid w:val="38E42B80"/>
    <w:rsid w:val="397078B6"/>
    <w:rsid w:val="3D0A09CF"/>
    <w:rsid w:val="46EA637A"/>
    <w:rsid w:val="4FB97F09"/>
    <w:rsid w:val="55264006"/>
    <w:rsid w:val="56881917"/>
    <w:rsid w:val="56B31FEC"/>
    <w:rsid w:val="59F42A57"/>
    <w:rsid w:val="5C0B6B99"/>
    <w:rsid w:val="5CE31541"/>
    <w:rsid w:val="643B2AF7"/>
    <w:rsid w:val="6BF95CAB"/>
    <w:rsid w:val="6C44161C"/>
    <w:rsid w:val="70427DDE"/>
    <w:rsid w:val="70695446"/>
    <w:rsid w:val="73920EBF"/>
    <w:rsid w:val="759A04FF"/>
    <w:rsid w:val="7A6723E9"/>
    <w:rsid w:val="7A6C1FF8"/>
    <w:rsid w:val="7ED86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4">
    <w:name w:val="heading 1"/>
    <w:basedOn w:val="1"/>
    <w:next w:val="1"/>
    <w:qFormat/>
    <w:uiPriority w:val="0"/>
    <w:pPr>
      <w:jc w:val="center"/>
      <w:outlineLvl w:val="0"/>
    </w:pPr>
    <w:rPr>
      <w:rFonts w:ascii="宋体" w:hAnsi="宋体"/>
      <w:b/>
      <w:sz w:val="36"/>
    </w:rPr>
  </w:style>
  <w:style w:type="paragraph" w:styleId="5">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rPr>
      <w:b/>
      <w:color w:val="000000"/>
      <w:kern w:val="0"/>
      <w:sz w:val="24"/>
      <w:szCs w:val="24"/>
    </w:rPr>
  </w:style>
  <w:style w:type="paragraph" w:styleId="3">
    <w:name w:val="envelope return"/>
    <w:basedOn w:val="1"/>
    <w:qFormat/>
    <w:uiPriority w:val="0"/>
    <w:pPr>
      <w:snapToGrid w:val="0"/>
    </w:pPr>
    <w:rPr>
      <w:rFonts w:ascii="Arial" w:hAnsi="Arial"/>
    </w:rPr>
  </w:style>
  <w:style w:type="paragraph" w:styleId="6">
    <w:name w:val="Normal Indent"/>
    <w:basedOn w:val="1"/>
    <w:next w:val="1"/>
    <w:qFormat/>
    <w:uiPriority w:val="0"/>
    <w:pPr>
      <w:adjustRightInd w:val="0"/>
      <w:spacing w:line="312" w:lineRule="atLeast"/>
      <w:ind w:firstLine="420"/>
      <w:textAlignment w:val="baseline"/>
    </w:pPr>
    <w:rPr>
      <w:rFonts w:ascii="宋体"/>
      <w:kern w:val="0"/>
    </w:rPr>
  </w:style>
  <w:style w:type="paragraph" w:styleId="7">
    <w:name w:val="Body Text"/>
    <w:basedOn w:val="1"/>
    <w:next w:val="1"/>
    <w:qFormat/>
    <w:uiPriority w:val="0"/>
    <w:pPr>
      <w:spacing w:after="120"/>
    </w:pPr>
    <w:rPr>
      <w:rFonts w:ascii="Times New Roman" w:hAnsi="Times New Roman"/>
    </w:rPr>
  </w:style>
  <w:style w:type="paragraph" w:styleId="8">
    <w:name w:val="footer"/>
    <w:basedOn w:val="1"/>
    <w:qFormat/>
    <w:uiPriority w:val="0"/>
    <w:pPr>
      <w:tabs>
        <w:tab w:val="center" w:pos="4140"/>
        <w:tab w:val="right" w:pos="8300"/>
      </w:tabs>
      <w:snapToGrid w:val="0"/>
      <w:jc w:val="left"/>
    </w:pPr>
    <w:rPr>
      <w:rFonts w:ascii="Times New Roman" w:hAnsi="Times New Roman" w:cs="Times New Roman"/>
      <w:sz w:val="18"/>
    </w:rPr>
  </w:style>
  <w:style w:type="paragraph" w:styleId="9">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12">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3">
    <w:name w:val="标题 41"/>
    <w:basedOn w:val="1"/>
    <w:qFormat/>
    <w:uiPriority w:val="1"/>
    <w:pPr>
      <w:ind w:left="1745"/>
      <w:jc w:val="left"/>
      <w:outlineLvl w:val="4"/>
    </w:pPr>
    <w:rPr>
      <w:rFonts w:ascii="宋体" w:hAnsi="宋体"/>
      <w:kern w:val="0"/>
      <w:sz w:val="26"/>
      <w:szCs w:val="26"/>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2900</Words>
  <Characters>2963</Characters>
  <Lines>0</Lines>
  <Paragraphs>0</Paragraphs>
  <TotalTime>41</TotalTime>
  <ScaleCrop>false</ScaleCrop>
  <LinksUpToDate>false</LinksUpToDate>
  <CharactersWithSpaces>3359</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Hailan</cp:lastModifiedBy>
  <dcterms:modified xsi:type="dcterms:W3CDTF">2024-06-05T03:31:05Z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1CCEC583AA234E7190960739386B8EF1_11</vt:lpwstr>
  </property>
</Properties>
</file>