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2024年度资产清查项目</w:t>
      </w:r>
    </w:p>
    <w:p>
      <w:pPr>
        <w:pStyle w:val="null3"/>
        <w:jc w:val="center"/>
        <w:outlineLvl w:val="2"/>
      </w:pPr>
      <w:r>
        <w:rPr>
          <w:sz w:val="28"/>
          <w:b/>
        </w:rPr>
        <w:t>采购项目编号：</w:t>
      </w:r>
      <w:r>
        <w:rPr>
          <w:sz w:val="28"/>
          <w:b/>
        </w:rPr>
        <w:t>SDZC2024-141</w:t>
      </w:r>
      <w:r>
        <w:br/>
      </w:r>
      <w:r>
        <w:br/>
      </w:r>
      <w:r>
        <w:br/>
      </w:r>
    </w:p>
    <w:p>
      <w:pPr>
        <w:pStyle w:val="null3"/>
        <w:jc w:val="center"/>
        <w:outlineLvl w:val="2"/>
      </w:pPr>
      <w:r>
        <w:rPr>
          <w:sz w:val="28"/>
          <w:b/>
        </w:rPr>
        <w:t>西安市公安局交通警察支队</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2024年06月20日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陕西上德招标有限公司</w:t>
      </w:r>
      <w:r>
        <w:rPr/>
        <w:t>（以下简称“代理机构”）受</w:t>
      </w:r>
      <w:r>
        <w:rPr/>
        <w:t>西安市公安局交通警察支队</w:t>
      </w:r>
      <w:r>
        <w:rPr/>
        <w:t>委托，拟对</w:t>
      </w:r>
      <w:r>
        <w:rPr/>
        <w:t>2024年度资产清查项目</w:t>
      </w:r>
      <w:r>
        <w:rPr/>
        <w:t>采用竞争性磋商采购方式进行采购，兹邀请供应商参加本项目的竞争性磋商。</w:t>
      </w:r>
    </w:p>
    <w:p>
      <w:pPr>
        <w:pStyle w:val="null3"/>
        <w:outlineLvl w:val="2"/>
      </w:pPr>
      <w:r>
        <w:rPr>
          <w:sz w:val="28"/>
          <w:b/>
        </w:rPr>
        <w:t>一、项目编号：</w:t>
      </w:r>
      <w:r>
        <w:rPr>
          <w:sz w:val="28"/>
          <w:b/>
        </w:rPr>
        <w:t>SDZC2024-141</w:t>
      </w:r>
    </w:p>
    <w:p>
      <w:pPr>
        <w:pStyle w:val="null3"/>
        <w:outlineLvl w:val="2"/>
      </w:pPr>
      <w:r>
        <w:rPr>
          <w:sz w:val="28"/>
          <w:b/>
        </w:rPr>
        <w:t>二、项目名称：</w:t>
      </w:r>
      <w:r>
        <w:rPr>
          <w:sz w:val="28"/>
          <w:b/>
        </w:rPr>
        <w:t>2024年度资产清查项目</w:t>
      </w:r>
    </w:p>
    <w:p>
      <w:pPr>
        <w:pStyle w:val="null3"/>
        <w:outlineLvl w:val="2"/>
      </w:pPr>
      <w:r>
        <w:rPr>
          <w:sz w:val="28"/>
          <w:b/>
        </w:rPr>
        <w:t>三、磋商项目简介</w:t>
      </w:r>
    </w:p>
    <w:p>
      <w:pPr>
        <w:pStyle w:val="null3"/>
        <w:ind w:firstLine="480"/>
      </w:pPr>
      <w:r>
        <w:rPr/>
        <w:t>2024年度资产清查项目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采购包1（2024年度资产清查项目）：属于专门面向中小企业采购。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响应文件格式）</w:t>
      </w:r>
    </w:p>
    <w:p>
      <w:pPr>
        <w:pStyle w:val="null3"/>
      </w:pPr>
      <w:r>
        <w:rPr/>
        <w:t>8、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p>
      <w:pPr>
        <w:pStyle w:val="null3"/>
      </w:pPr>
      <w:r>
        <w:rPr/>
        <w:t>9、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西安市公安局交通警察支队</w:t>
      </w:r>
    </w:p>
    <w:p>
      <w:pPr>
        <w:pStyle w:val="null3"/>
      </w:pPr>
      <w:r>
        <w:rPr/>
        <w:t xml:space="preserve"> 地址： </w:t>
      </w:r>
      <w:r>
        <w:rPr/>
        <w:t>西安市太白南路222号</w:t>
      </w:r>
    </w:p>
    <w:p>
      <w:pPr>
        <w:pStyle w:val="null3"/>
      </w:pPr>
      <w:r>
        <w:rPr/>
        <w:t xml:space="preserve"> 邮编： </w:t>
      </w:r>
      <w:r>
        <w:rPr/>
        <w:t>710000</w:t>
      </w:r>
    </w:p>
    <w:p>
      <w:pPr>
        <w:pStyle w:val="null3"/>
      </w:pPr>
      <w:r>
        <w:rPr/>
        <w:t xml:space="preserve"> 联系人： </w:t>
      </w:r>
      <w:r>
        <w:rPr/>
        <w:t>周警官</w:t>
      </w:r>
    </w:p>
    <w:p>
      <w:pPr>
        <w:pStyle w:val="null3"/>
      </w:pPr>
      <w:r>
        <w:rPr/>
        <w:t xml:space="preserve"> 联系电话： </w:t>
      </w:r>
      <w:r>
        <w:rPr/>
        <w:t>029-86755037</w:t>
      </w:r>
    </w:p>
    <w:p>
      <w:pPr>
        <w:pStyle w:val="null3"/>
        <w:outlineLvl w:val="3"/>
      </w:pPr>
      <w:r>
        <w:rPr>
          <w:sz w:val="24"/>
          <w:b/>
        </w:rPr>
        <w:t>代理机构：</w:t>
      </w:r>
      <w:r>
        <w:rPr>
          <w:sz w:val="24"/>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宋芳芳（11号工位）、王涛</w:t>
      </w:r>
    </w:p>
    <w:p>
      <w:pPr>
        <w:pStyle w:val="null3"/>
      </w:pPr>
      <w:r>
        <w:rPr/>
        <w:t xml:space="preserve"> 联系电话： </w:t>
      </w:r>
      <w:r>
        <w:rPr/>
        <w:t>029-86518381、029-89299829、029-89293231 转8011</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西安市公安局交通警察支队</w:t>
      </w:r>
      <w:r>
        <w:rPr/>
        <w:t>和</w:t>
      </w:r>
      <w:r>
        <w:rPr/>
        <w:t>陕西上德招标有限公司</w:t>
      </w:r>
      <w:r>
        <w:rPr/>
        <w:t>享有。对磋商文件中供应商参加本次政府采购活动应当具备的条件，磋商项目技术、服务、商务及其他要求，评审细则及标准由</w:t>
      </w:r>
      <w:r>
        <w:rPr/>
        <w:t>西安市公安局交通警察支队</w:t>
      </w:r>
      <w:r>
        <w:rPr/>
        <w:t>负责解释。除上述磋商文件内容，其他内容由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西安市公安局交通警察支队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联系人：宋芳芳(11号工位)</w:t>
      </w:r>
    </w:p>
    <w:p>
      <w:pPr>
        <w:pStyle w:val="null3"/>
      </w:pPr>
      <w:r>
        <w:rPr/>
        <w:t>联系电话：029-86673953、029-86518381、029-89299829、029-89293231 转8011</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 xml:space="preserve"> 2024年度资产清查项目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资产清查</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标的名称：资产清查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rPr>
              <w:t>一、项目概况</w:t>
            </w:r>
          </w:p>
          <w:p>
            <w:pPr>
              <w:pStyle w:val="null3"/>
              <w:ind w:firstLine="480"/>
              <w:jc w:val="both"/>
            </w:pPr>
            <w:r>
              <w:rPr>
                <w:rFonts w:ascii="宋体" w:hAnsi="宋体" w:cs="宋体" w:eastAsia="宋体"/>
                <w:sz w:val="24"/>
              </w:rPr>
              <w:t>交警支队</w:t>
            </w:r>
            <w:r>
              <w:rPr>
                <w:rFonts w:ascii="宋体" w:hAnsi="宋体" w:cs="宋体" w:eastAsia="宋体"/>
                <w:sz w:val="24"/>
              </w:rPr>
              <w:t>2024年度资产清查项目，截止2023年12月31日，资产账面87196台件资产,资产原值约12.8亿元。拟委托第三方服务商对全支队范围（机关、各大队、驻外执勤点、使用支队资产的分支机构等），涉及房、地、车、办公设备、家具、外场专用设备等8万余件固定资产、无形资产实施资产清查，并完成相关配套服务。公共基础设施不列入本次清查范围。</w:t>
            </w:r>
          </w:p>
          <w:p>
            <w:pPr>
              <w:pStyle w:val="null3"/>
              <w:ind w:firstLine="480"/>
              <w:jc w:val="both"/>
            </w:pPr>
            <w:r>
              <w:rPr>
                <w:rFonts w:ascii="宋体" w:hAnsi="宋体" w:cs="宋体" w:eastAsia="宋体"/>
                <w:sz w:val="24"/>
              </w:rPr>
              <w:t>本着</w:t>
            </w:r>
            <w:r>
              <w:rPr>
                <w:rFonts w:ascii="宋体" w:hAnsi="宋体" w:cs="宋体" w:eastAsia="宋体"/>
                <w:sz w:val="24"/>
              </w:rPr>
              <w:t>“摸清家底、夯实基础、解决问题、提升管理”的原则，为达到支队固定资产“账账相符、账实相符、账卡相符”的基本业务要求，实现资产实物全面赋码，更新资产管理系统数据，实现资产动态化、信息化管理，为资产管理工作夯实基础。</w:t>
            </w:r>
          </w:p>
          <w:p>
            <w:pPr>
              <w:pStyle w:val="null3"/>
              <w:ind w:firstLine="482"/>
              <w:jc w:val="both"/>
            </w:pPr>
            <w:r>
              <w:rPr>
                <w:rFonts w:ascii="宋体" w:hAnsi="宋体" w:cs="宋体" w:eastAsia="宋体"/>
                <w:sz w:val="24"/>
                <w:b/>
              </w:rPr>
              <w:t>二、服务内容</w:t>
            </w:r>
          </w:p>
          <w:p>
            <w:pPr>
              <w:pStyle w:val="null3"/>
              <w:ind w:firstLine="480"/>
              <w:jc w:val="both"/>
            </w:pPr>
            <w:r>
              <w:rPr>
                <w:rFonts w:ascii="宋体" w:hAnsi="宋体" w:cs="宋体" w:eastAsia="宋体"/>
                <w:sz w:val="24"/>
              </w:rPr>
              <w:t>本次工作方案遵循</w:t>
            </w:r>
            <w:r>
              <w:rPr>
                <w:rFonts w:ascii="宋体" w:hAnsi="宋体" w:cs="宋体" w:eastAsia="宋体"/>
                <w:sz w:val="24"/>
              </w:rPr>
              <w:t>“谁使用、谁负责”和“以账查物、以物对账、见物就点、不重不漏”的实施原则进行，共分六个阶段，内容为：工作部署阶段、资产实物盘点阶段、账实核对阶段、结果处理阶段、资产赋码张贴资产大卡、资产系统使用信息更新、总结报告。项目具体实施内容包括：</w:t>
            </w:r>
          </w:p>
          <w:p>
            <w:pPr>
              <w:pStyle w:val="null3"/>
              <w:ind w:firstLine="480"/>
              <w:jc w:val="both"/>
            </w:pPr>
            <w:r>
              <w:rPr>
                <w:rFonts w:ascii="宋体" w:hAnsi="宋体" w:cs="宋体" w:eastAsia="宋体"/>
                <w:sz w:val="24"/>
              </w:rPr>
              <w:t>1固定资产实物盘点清查。资产实物需全面盘点，逐个部门，逐个房间全面盘点资产实物，建立资产实物台账，并按照各处、大队实际情况梳理各部门资产管理台账。外场设备结合使用点位，采用实地走访盘点，现场查看率需达到100%，重点资产拍照留存现场情况，做好基础盘点工作。</w:t>
            </w:r>
          </w:p>
          <w:p>
            <w:pPr>
              <w:pStyle w:val="null3"/>
              <w:ind w:firstLine="480"/>
              <w:jc w:val="both"/>
            </w:pPr>
            <w:r>
              <w:rPr>
                <w:rFonts w:ascii="宋体" w:hAnsi="宋体" w:cs="宋体" w:eastAsia="宋体"/>
                <w:sz w:val="24"/>
              </w:rPr>
              <w:t>2完善资产系统数据治理工作。</w:t>
            </w:r>
          </w:p>
          <w:p>
            <w:pPr>
              <w:pStyle w:val="null3"/>
              <w:ind w:firstLine="480"/>
              <w:jc w:val="both"/>
            </w:pPr>
            <w:r>
              <w:rPr>
                <w:rFonts w:ascii="宋体" w:hAnsi="宋体" w:cs="宋体" w:eastAsia="宋体"/>
                <w:sz w:val="24"/>
              </w:rPr>
              <w:t>3核实资产编码，张贴实物条码、资产大卡。</w:t>
            </w:r>
          </w:p>
          <w:p>
            <w:pPr>
              <w:pStyle w:val="null3"/>
              <w:ind w:firstLine="480"/>
              <w:jc w:val="both"/>
            </w:pPr>
            <w:r>
              <w:rPr>
                <w:rFonts w:ascii="宋体" w:hAnsi="宋体" w:cs="宋体" w:eastAsia="宋体"/>
                <w:sz w:val="24"/>
              </w:rPr>
              <w:t>4新增资产上账，完成年度内行政事业单位资产管理系统数据更新维护。</w:t>
            </w:r>
          </w:p>
          <w:p>
            <w:pPr>
              <w:pStyle w:val="null3"/>
              <w:ind w:firstLine="480"/>
              <w:jc w:val="both"/>
            </w:pPr>
            <w:r>
              <w:rPr>
                <w:rFonts w:ascii="宋体" w:hAnsi="宋体" w:cs="宋体" w:eastAsia="宋体"/>
                <w:sz w:val="24"/>
              </w:rPr>
              <w:t>5更新资产系统使用信息，确保账实核对一致。</w:t>
            </w:r>
          </w:p>
          <w:p>
            <w:pPr>
              <w:pStyle w:val="null3"/>
              <w:ind w:firstLine="480"/>
              <w:jc w:val="both"/>
            </w:pPr>
            <w:r>
              <w:rPr>
                <w:rFonts w:ascii="宋体" w:hAnsi="宋体" w:cs="宋体" w:eastAsia="宋体"/>
                <w:sz w:val="24"/>
              </w:rPr>
              <w:t>6资产报废处置及资产账目问题处理。</w:t>
            </w:r>
          </w:p>
          <w:p>
            <w:pPr>
              <w:pStyle w:val="null3"/>
              <w:ind w:firstLine="480"/>
              <w:jc w:val="both"/>
            </w:pPr>
            <w:r>
              <w:rPr>
                <w:rFonts w:ascii="宋体" w:hAnsi="宋体" w:cs="宋体" w:eastAsia="宋体"/>
                <w:sz w:val="24"/>
              </w:rPr>
              <w:t>7建立完善资产管理制度。</w:t>
            </w:r>
          </w:p>
          <w:p>
            <w:pPr>
              <w:pStyle w:val="null3"/>
              <w:ind w:firstLine="480"/>
              <w:jc w:val="both"/>
            </w:pPr>
            <w:r>
              <w:rPr>
                <w:rFonts w:ascii="宋体" w:hAnsi="宋体" w:cs="宋体" w:eastAsia="宋体"/>
                <w:sz w:val="24"/>
              </w:rPr>
              <w:t>8形成支队资产清查工作总结报告。</w:t>
            </w:r>
          </w:p>
          <w:p>
            <w:pPr>
              <w:pStyle w:val="null3"/>
              <w:ind w:firstLine="482"/>
              <w:jc w:val="both"/>
            </w:pPr>
            <w:r>
              <w:rPr>
                <w:rFonts w:ascii="宋体" w:hAnsi="宋体" w:cs="宋体" w:eastAsia="宋体"/>
                <w:sz w:val="24"/>
                <w:b/>
              </w:rPr>
              <w:t>三、技术要求</w:t>
            </w:r>
          </w:p>
          <w:tbl>
            <w:tblPr>
              <w:tblInd w:type="dxa" w:w="105"/>
              <w:tblBorders>
                <w:top w:val="none" w:color="000000" w:sz="4"/>
                <w:left w:val="none" w:color="000000" w:sz="4"/>
                <w:bottom w:val="none" w:color="000000" w:sz="4"/>
                <w:right w:val="none" w:color="000000" w:sz="4"/>
                <w:insideH w:val="none"/>
                <w:insideV w:val="none"/>
              </w:tblBorders>
            </w:tblPr>
            <w:tblGrid>
              <w:gridCol w:w="388"/>
              <w:gridCol w:w="808"/>
              <w:gridCol w:w="2626"/>
            </w:tblGrid>
            <w:tr>
              <w:tc>
                <w:tcPr>
                  <w:tcW w:type="dxa" w:w="3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rPr>
                    <w:t>序号</w:t>
                  </w:r>
                </w:p>
              </w:tc>
              <w:tc>
                <w:tcPr>
                  <w:tcW w:type="dxa" w:w="8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rPr>
                    <w:t>服务内容</w:t>
                  </w:r>
                </w:p>
              </w:tc>
              <w:tc>
                <w:tcPr>
                  <w:tcW w:type="dxa" w:w="26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rPr>
                    <w:t>详细说明</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资产入账</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项目实施期间单位产生的新购置资产，按照预算一体化要求，进行资产入账</w:t>
                  </w:r>
                  <w:r>
                    <w:rPr>
                      <w:rFonts w:ascii="宋体" w:hAnsi="宋体" w:cs="宋体" w:eastAsia="宋体"/>
                      <w:sz w:val="24"/>
                    </w:rPr>
                    <w:t>。</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2</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资产系统账目拆分调整</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筛选资产系统账目内需拆分账目，根据财务凭证信息在资产系统中进行拆分操作，达到一物一卡标准。</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3</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实物盘点</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对各单位所有资产进行实地盘点，登记资产的使用部门、使用人、规格型号、使用日期、新旧程度、存放地点等信息。场外设备需实地走访盘点，现场查看率需达到</w:t>
                  </w:r>
                  <w:r>
                    <w:rPr>
                      <w:rFonts w:ascii="宋体" w:hAnsi="宋体" w:cs="宋体" w:eastAsia="宋体"/>
                      <w:sz w:val="24"/>
                    </w:rPr>
                    <w:t>100%，重点资产拍照留存现场情况。“资产影像资料” 需留存，并及时上传录入“陕西财政云门户资产管理系统”。</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账实核对</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将陕西财政云门户资产管理系统账与实物账进行核对，达到账物必清，账物必连，账卡一致。</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5</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数据完善录入</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账实核对后的数据需重新录入资产系统，更新资产系统中的每一条账目信息。</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6</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资产的报废</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报废资产数据收集整理，并协助单位进行报废处置，准备报废资料，进行资产系统中的下账处理。</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7</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资产标签附码</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设计资产条码样式，配备条码打印机，打印资产条码，并规范张贴于每一件固定资产上，保证醒目、美观。材质亚银标签，规格不小于</w:t>
                  </w:r>
                  <w:r>
                    <w:rPr>
                      <w:rFonts w:ascii="宋体" w:hAnsi="宋体" w:cs="宋体" w:eastAsia="宋体"/>
                      <w:sz w:val="24"/>
                    </w:rPr>
                    <w:t>70×45cm。</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8</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资产大卡</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设计制作资产大卡，悬挂于每间办公室门后，明确办公室的实际使用资产情况。材质亚克力板，内部是白色硬相纸、内部相纸规格不小于</w:t>
                  </w:r>
                  <w:r>
                    <w:rPr>
                      <w:rFonts w:ascii="宋体" w:hAnsi="宋体" w:cs="宋体" w:eastAsia="宋体"/>
                      <w:sz w:val="24"/>
                    </w:rPr>
                    <w:t>A5。</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9</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建立固定资产内控制度</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根据国家资产管理制度要求，建立完善的固定资产内控制度，并设计相关审批表格。优化管理流程，配合单位制定固定资产管理流程标准，协助形成具体的管理方法。</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协助完善移交实物资产的后续工作</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针对其他单位移交、调拨、捐赠资产在核对结束后，整理移交手续并进行账务操作。</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11</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项目报告及各类资产报表的统计</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项目完结后出具项目报告，详实反应本次工作全部内容，方便单位后期资产管理工作的开展。</w:t>
                  </w:r>
                </w:p>
              </w:tc>
            </w:tr>
            <w:tr>
              <w:tc>
                <w:tcPr>
                  <w:tcW w:type="dxa" w:w="3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12</w:t>
                  </w:r>
                </w:p>
              </w:tc>
              <w:tc>
                <w:tcPr>
                  <w:tcW w:type="dxa" w:w="8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后续管理咨询</w:t>
                  </w:r>
                </w:p>
              </w:tc>
              <w:tc>
                <w:tcPr>
                  <w:tcW w:type="dxa" w:w="26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负责年度内的资产管理咨询服务、定期培训、为新增资产打印条码。确保数据完整有效，协助本年度资产年报上报。如遇审计或上级部门检查固定资产等方面数据、台账等情况，应予以协助。</w:t>
                  </w:r>
                </w:p>
              </w:tc>
            </w:tr>
          </w:tbl>
          <w:p>
            <w:pPr>
              <w:pStyle w:val="null3"/>
              <w:ind w:firstLine="636"/>
              <w:jc w:val="both"/>
            </w:pPr>
            <w:r>
              <w:rPr>
                <w:rFonts w:ascii="宋体" w:hAnsi="宋体" w:cs="宋体" w:eastAsia="宋体"/>
                <w:sz w:val="24"/>
                <w:b/>
              </w:rPr>
              <w:t>四、服务要求</w:t>
            </w:r>
          </w:p>
          <w:p>
            <w:pPr>
              <w:pStyle w:val="null3"/>
              <w:ind w:firstLine="636"/>
              <w:jc w:val="both"/>
            </w:pPr>
            <w:r>
              <w:rPr>
                <w:rFonts w:ascii="宋体" w:hAnsi="宋体" w:cs="宋体" w:eastAsia="宋体"/>
                <w:sz w:val="24"/>
              </w:rPr>
              <w:t>1.资产实物需全部规范化清点，建立各部门资产实物台账，并按照部门梳理部门资产管理台账，完成部门资产签字确认工作。</w:t>
            </w:r>
          </w:p>
          <w:p>
            <w:pPr>
              <w:pStyle w:val="null3"/>
              <w:ind w:firstLine="636"/>
              <w:jc w:val="both"/>
            </w:pPr>
            <w:r>
              <w:rPr>
                <w:rFonts w:ascii="宋体" w:hAnsi="宋体" w:cs="宋体" w:eastAsia="宋体"/>
                <w:sz w:val="24"/>
              </w:rPr>
              <w:t>2.条码化管理的资产统一实行二维条形码，确保一物一码，贴码内容需与财政云资产账务及实物相匹配，并粘贴于对应资产的表面或侧面，保持平整、便于扫描。资产卡片要求内容齐全、字迹清晰、经久耐磨、保持完整。二维条形码和资产大卡的设计、编排根据单位性质整体考虑，应体现资产名称、资产编号、取得日期、规格型号、使用人等信息，须科学合理、美观醒目。</w:t>
            </w:r>
          </w:p>
          <w:p>
            <w:pPr>
              <w:pStyle w:val="null3"/>
              <w:ind w:firstLine="636"/>
              <w:jc w:val="both"/>
            </w:pPr>
            <w:r>
              <w:rPr>
                <w:rFonts w:ascii="宋体" w:hAnsi="宋体" w:cs="宋体" w:eastAsia="宋体"/>
                <w:sz w:val="24"/>
              </w:rPr>
              <w:t>3.财政云资产系统账目经盘查核实后需更新至最新资产使用信息，根据西安市财政局对资产管理系统数据治理要求，完善信息数据，并做到资产系统账目与实际使用信息一一对应，账实相符。配合支队项目管理全流程监管平台资产模块管理工作，提供数据信息对接。</w:t>
            </w:r>
          </w:p>
          <w:p>
            <w:pPr>
              <w:pStyle w:val="null3"/>
              <w:ind w:firstLine="636"/>
              <w:jc w:val="both"/>
            </w:pPr>
            <w:r>
              <w:rPr>
                <w:rFonts w:ascii="宋体" w:hAnsi="宋体" w:cs="宋体" w:eastAsia="宋体"/>
                <w:sz w:val="24"/>
              </w:rPr>
              <w:t>4.明确梳理出待处置资产明细，并针对待处置资产整理报批所需材料，协助办理处置手续。</w:t>
            </w:r>
          </w:p>
          <w:p>
            <w:pPr>
              <w:pStyle w:val="null3"/>
              <w:ind w:firstLine="636"/>
              <w:jc w:val="both"/>
            </w:pPr>
            <w:r>
              <w:rPr>
                <w:rFonts w:ascii="宋体" w:hAnsi="宋体" w:cs="宋体" w:eastAsia="宋体"/>
                <w:sz w:val="24"/>
              </w:rPr>
              <w:t>5.参与项目的人员（不少于20人）及设备需满足工期要求及项目质量要求，为保证在服务期限内完成清查工作，可增加人员及设备投入。</w:t>
            </w:r>
          </w:p>
          <w:p>
            <w:pPr>
              <w:pStyle w:val="null3"/>
              <w:ind w:firstLine="636"/>
              <w:jc w:val="both"/>
            </w:pPr>
            <w:r>
              <w:rPr>
                <w:rFonts w:ascii="宋体" w:hAnsi="宋体" w:cs="宋体" w:eastAsia="宋体"/>
                <w:sz w:val="24"/>
              </w:rPr>
              <w:t>6.后续资产管理咨询期限内必须安排固定人员满足业务咨询需求。</w:t>
            </w:r>
          </w:p>
          <w:p>
            <w:pPr>
              <w:pStyle w:val="null3"/>
              <w:ind w:firstLine="636"/>
              <w:jc w:val="both"/>
            </w:pPr>
            <w:r>
              <w:rPr>
                <w:rFonts w:ascii="宋体" w:hAnsi="宋体" w:cs="宋体" w:eastAsia="宋体"/>
                <w:sz w:val="24"/>
              </w:rPr>
              <w:t>7.根据单位资产管理现状，梳理贴合实际情况的资产管理制度。</w:t>
            </w:r>
          </w:p>
          <w:p>
            <w:pPr>
              <w:pStyle w:val="null3"/>
              <w:ind w:firstLine="636"/>
              <w:jc w:val="both"/>
            </w:pPr>
            <w:r>
              <w:rPr>
                <w:rFonts w:ascii="宋体" w:hAnsi="宋体" w:cs="宋体" w:eastAsia="宋体"/>
                <w:sz w:val="24"/>
              </w:rPr>
              <w:t>8.配合完成支队资产管理方面合理范围内业务需求。</w:t>
            </w:r>
          </w:p>
        </w:tc>
      </w:tr>
    </w:tbl>
    <w:p>
      <w:pPr>
        <w:pStyle w:val="null3"/>
        <w:outlineLvl w:val="2"/>
      </w:pPr>
      <w:r>
        <w:rPr>
          <w:sz w:val="28"/>
          <w:b/>
        </w:rPr>
        <w:t>3.2.3人员配置要求</w:t>
      </w:r>
    </w:p>
    <w:p>
      <w:pPr>
        <w:pStyle w:val="null3"/>
      </w:pPr>
      <w:r>
        <w:rPr/>
        <w:t>采购包1：</w:t>
      </w:r>
    </w:p>
    <w:p>
      <w:pPr>
        <w:pStyle w:val="null3"/>
      </w:pPr>
      <w:r>
        <w:rPr/>
        <w:t>根据项目要求进行配置</w:t>
      </w:r>
    </w:p>
    <w:p>
      <w:pPr>
        <w:pStyle w:val="null3"/>
        <w:outlineLvl w:val="2"/>
      </w:pPr>
      <w:r>
        <w:rPr>
          <w:sz w:val="28"/>
          <w:b/>
        </w:rPr>
        <w:t>3.2.4设施设备要求</w:t>
      </w:r>
    </w:p>
    <w:p>
      <w:pPr>
        <w:pStyle w:val="null3"/>
      </w:pPr>
      <w:r>
        <w:rPr/>
        <w:t>采购包1：</w:t>
      </w:r>
    </w:p>
    <w:p>
      <w:pPr>
        <w:pStyle w:val="null3"/>
      </w:pPr>
      <w:r>
        <w:rPr/>
        <w:t>根据项目要求进行配置</w:t>
      </w:r>
    </w:p>
    <w:p>
      <w:pPr>
        <w:pStyle w:val="null3"/>
        <w:outlineLvl w:val="2"/>
      </w:pPr>
      <w:r>
        <w:rPr>
          <w:sz w:val="28"/>
          <w:b/>
        </w:rPr>
        <w:t>3.2.5其他要求</w:t>
      </w:r>
    </w:p>
    <w:p>
      <w:pPr>
        <w:pStyle w:val="null3"/>
      </w:pPr>
      <w:r>
        <w:rPr/>
        <w:t>采购包1：</w:t>
      </w:r>
    </w:p>
    <w:p>
      <w:pPr>
        <w:pStyle w:val="null3"/>
      </w:pPr>
      <w:r>
        <w:rPr/>
        <w:t>1.采购活动受国家法律保护和约束。双方遵守法律、法规和职业道德，凡在磋商过程中弄虚作假，一经查出，追究责任方的法律、经济责任。 2.双方发生合同争议时，应友好协商解决，不能达成协议时，及时向有关部门要求调解、仲裁或诉讼，发生索赔按现行法律、法规和合同执行。 3.本文件未尽事宜按《中华人民共和国政府采购法》、《中华人民共和国政府采购法实施条例》及有关规定执行。 4.成交单位不得对服务业务分包或转包。否则采购人有权终止合同，成交单位要承担由此造成的一切经济损失。 5.成交单位不得在服务期间对项目管理人员进行更换，如遇特殊情况须经采购人同意；采购人发现项目管理人员工作不力时，有权提出更换人员，更换的人员必须及时到场。</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自合同签订之日起150天内清查结束，并形成支队资产清查工作总结报告。</w:t>
      </w:r>
    </w:p>
    <w:p>
      <w:pPr>
        <w:pStyle w:val="null3"/>
        <w:outlineLvl w:val="3"/>
      </w:pPr>
      <w:r>
        <w:rPr>
          <w:sz w:val="24"/>
          <w:b/>
        </w:rPr>
        <w:t>3.3.2服务地点</w:t>
      </w:r>
    </w:p>
    <w:p>
      <w:pPr>
        <w:pStyle w:val="null3"/>
      </w:pPr>
      <w:r>
        <w:rPr/>
        <w:t>采购包1：</w:t>
      </w:r>
    </w:p>
    <w:p>
      <w:pPr>
        <w:pStyle w:val="null3"/>
      </w:pPr>
      <w:r>
        <w:rPr/>
        <w:t>西安市公安局交通警察支队</w:t>
      </w:r>
    </w:p>
    <w:p>
      <w:pPr>
        <w:pStyle w:val="null3"/>
        <w:outlineLvl w:val="3"/>
      </w:pPr>
      <w:r>
        <w:rPr>
          <w:sz w:val="24"/>
          <w:b/>
        </w:rPr>
        <w:t>3.3.3考核（验收）标准和方法</w:t>
      </w:r>
    </w:p>
    <w:p>
      <w:pPr>
        <w:pStyle w:val="null3"/>
      </w:pPr>
      <w:r>
        <w:rPr/>
        <w:t>采购包1：</w:t>
      </w:r>
    </w:p>
    <w:p>
      <w:pPr>
        <w:pStyle w:val="null3"/>
      </w:pPr>
      <w:r>
        <w:rPr/>
        <w:t>1、服务内容完成后先由乙方进行自检，自检合格后邀请甲方进行验收。甲方确认乙方的自检内容后，由甲方成立验收小组组织验收。 2、乙方向甲方提交服务实施过程中的所有资料。 3、验收依据 （1）竞争性磋商文件、响应文件； （2）合同及清查依据附件文本； (3)国家相应的标准、规范。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合同签订后预付合同总价款的50%作为首付款</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清查服务结束，形成清查报告，项目验收合格后支付尾款即剩余合同价款</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 如成交人延期提供服务，以每天逾期扣除项目总价款千分之五为标准，按延期天数在合同总价款中扣除相应的违约金；但违约金累计不超过逾期交付项目款总额的30%。 2. 不可抗力事件应根据《中华人民共和国民法典》的要求进行处理。 3. 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中标方承担违约责任。同时，政府采购监管部门有权依据《中华人民共和政府采购法》及相关法律法规对供应商的违法行为进行相应的处罚。</w:t>
      </w:r>
    </w:p>
    <w:p>
      <w:pPr>
        <w:pStyle w:val="null3"/>
        <w:outlineLvl w:val="2"/>
      </w:pPr>
      <w:r>
        <w:rPr>
          <w:sz w:val="28"/>
          <w:b/>
        </w:rPr>
        <w:t>3.4其他要求</w:t>
      </w:r>
    </w:p>
    <w:p>
      <w:pPr>
        <w:pStyle w:val="null3"/>
      </w:pPr>
      <w:r>
        <w:rPr/>
        <w:t>在领取成交通知书时，递交一正两副纸质版磋商响应文件。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 供应商参与政府采购活动的承诺函 标的清单 报价表 《拒绝政府采购领域商业贿赂承诺书》 响应函</w:t>
            </w:r>
          </w:p>
        </w:tc>
      </w:tr>
      <w:tr>
        <w:tc>
          <w:tcPr>
            <w:tcW w:type="dxa" w:w="831"/>
          </w:tcPr>
          <w:p>
            <w:pPr>
              <w:pStyle w:val="null3"/>
            </w:pPr>
            <w:r>
              <w:rPr/>
              <w:t>2</w:t>
            </w:r>
          </w:p>
        </w:tc>
        <w:tc>
          <w:tcPr>
            <w:tcW w:type="dxa" w:w="2492"/>
          </w:tcPr>
          <w:p>
            <w:pPr>
              <w:pStyle w:val="null3"/>
            </w:pPr>
            <w:r>
              <w:rPr/>
              <w:t>盖章签字</w:t>
            </w:r>
          </w:p>
        </w:tc>
        <w:tc>
          <w:tcPr>
            <w:tcW w:type="dxa" w:w="3322"/>
          </w:tcPr>
          <w:p>
            <w:pPr>
              <w:pStyle w:val="null3"/>
            </w:pPr>
            <w:r>
              <w:rPr/>
              <w:t>磋商响应文件按照磋商文件的要求盖章签字</w:t>
            </w:r>
          </w:p>
        </w:tc>
        <w:tc>
          <w:tcPr>
            <w:tcW w:type="dxa" w:w="1661"/>
          </w:tcPr>
          <w:p>
            <w:pPr>
              <w:pStyle w:val="null3"/>
            </w:pPr>
            <w:r>
              <w:rPr/>
              <w:t>响应文件封面 服务条款响应偏离表 资格证明文件 分项报价 中小企业声明函 残疾人福利性单位声明函 标的清单 响应函 法定代表人授权书 监狱企业的证明文件 商务条款响应偏离表</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磋商报价未超过采购预算</w:t>
            </w:r>
          </w:p>
        </w:tc>
        <w:tc>
          <w:tcPr>
            <w:tcW w:type="dxa" w:w="1661"/>
          </w:tcPr>
          <w:p>
            <w:pPr>
              <w:pStyle w:val="null3"/>
            </w:pPr>
            <w:r>
              <w:rPr/>
              <w:t>响应文件封面 分项报价 标的清单</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磋商有效期符合磋商文件的要求</w:t>
            </w:r>
          </w:p>
        </w:tc>
        <w:tc>
          <w:tcPr>
            <w:tcW w:type="dxa" w:w="1661"/>
          </w:tcPr>
          <w:p>
            <w:pPr>
              <w:pStyle w:val="null3"/>
            </w:pPr>
            <w:r>
              <w:rPr/>
              <w:t>响应文件封面 响应函 法定代表人授权书</w:t>
            </w:r>
          </w:p>
        </w:tc>
      </w:tr>
      <w:tr>
        <w:tc>
          <w:tcPr>
            <w:tcW w:type="dxa" w:w="831"/>
          </w:tcPr>
          <w:p>
            <w:pPr>
              <w:pStyle w:val="null3"/>
            </w:pPr>
            <w:r>
              <w:rPr/>
              <w:t>5</w:t>
            </w:r>
          </w:p>
        </w:tc>
        <w:tc>
          <w:tcPr>
            <w:tcW w:type="dxa" w:w="2492"/>
          </w:tcPr>
          <w:p>
            <w:pPr>
              <w:pStyle w:val="null3"/>
            </w:pPr>
            <w:r>
              <w:rPr/>
              <w:t>对磋商文件商务要求、技术要求作出明确且实质性响应</w:t>
            </w:r>
          </w:p>
        </w:tc>
        <w:tc>
          <w:tcPr>
            <w:tcW w:type="dxa" w:w="3322"/>
          </w:tcPr>
          <w:p>
            <w:pPr>
              <w:pStyle w:val="null3"/>
            </w:pPr>
            <w:r>
              <w:rPr/>
              <w:t>对磋商文件商务要求作出明确且实质性响应；对磋商文件技术要求作出明确响应，对不得偏离的要求作了实质性响应</w:t>
            </w:r>
          </w:p>
        </w:tc>
        <w:tc>
          <w:tcPr>
            <w:tcW w:type="dxa" w:w="1661"/>
          </w:tcPr>
          <w:p>
            <w:pPr>
              <w:pStyle w:val="null3"/>
            </w:pPr>
            <w:r>
              <w:rPr/>
              <w:t>响应文件封面 服务条款响应偏离表 商务条款响应偏离表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若出现综合得分相同时，则依次比较报价得分，服务方案得分，拟派项目组人员得分，以得分高的排序在先。若上述两项得分相同，则由全体磋商小组成员无记名投票，得票高者为第一成交候选人。</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服务方案1</w:t>
            </w:r>
          </w:p>
        </w:tc>
        <w:tc>
          <w:tcPr>
            <w:tcW w:type="dxa" w:w="2492"/>
          </w:tcPr>
          <w:p>
            <w:pPr>
              <w:pStyle w:val="null3"/>
            </w:pPr>
            <w:r>
              <w:rPr/>
              <w:t>整体服务方案：充分了解项目实际情况，对项目实施具有清晰、明确的认知，针对本项目提供完整的服务方案，包含每个阶段详细的实施过程，服务方案内容详细、全面，科学、合理，条理清晰。 ①整体服务方案详实、贴合实际、实用性强。服务方案可行、合理、详细全面的计10分； ②整体服务方案内容欠缺或者内容条理不清晰的计7分； ③整体服务方案内容只有框架无实质性内容的计3分； ④整体服务方案内容简单，不切合实际情况，不具有操作性或内容有缺项的计1分； ⑤未提供相关内容的不计分；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供应商认为有必要补充说明的事宜</w:t>
            </w:r>
          </w:p>
        </w:tc>
      </w:tr>
      <w:tr>
        <w:tc>
          <w:tcPr>
            <w:tcW w:type="dxa" w:w="831"/>
            <w:vMerge/>
          </w:tcPr>
          <w:p/>
        </w:tc>
        <w:tc>
          <w:tcPr>
            <w:tcW w:type="dxa" w:w="1661"/>
          </w:tcPr>
          <w:p>
            <w:pPr>
              <w:pStyle w:val="null3"/>
            </w:pPr>
            <w:r>
              <w:rPr/>
              <w:t>服务方案2</w:t>
            </w:r>
          </w:p>
        </w:tc>
        <w:tc>
          <w:tcPr>
            <w:tcW w:type="dxa" w:w="2492"/>
          </w:tcPr>
          <w:p>
            <w:pPr>
              <w:pStyle w:val="null3"/>
            </w:pPr>
            <w:r>
              <w:rPr/>
              <w:t>项目需求、重点、难点分析：供应商能够充分理解本项目需求，对项目重点难点进行分析并提供技术建议。 ①对项目需求、重点、难点的分析透彻合理科学，能提供有效的技术建议的计10分； ②提供的技术建议条理不清晰或对本项目建设目标理解不透彻或欠缺的计7分； ③对项目需求、重点、难点分析理解不透彻，不能提供有效建议的计3分。 ④只有框架，无实质性内容或只有简单概括的计1分； ⑤未提供相关内容的不计分。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服务方案3</w:t>
            </w:r>
          </w:p>
        </w:tc>
        <w:tc>
          <w:tcPr>
            <w:tcW w:type="dxa" w:w="2492"/>
          </w:tcPr>
          <w:p>
            <w:pPr>
              <w:pStyle w:val="null3"/>
            </w:pPr>
            <w:r>
              <w:rPr/>
              <w:t>根据服务期限要求，供应商提供的计划安排方案和控制措施是否紧密有效、详尽完善且安排合理等方面综合评审。 ①内容详细全面，进度、计划、措施安排合理的计10分； ②服务进度及安排的方案内容不详细或无合理性的计7分； ③进度、计划、控制措施条理不清晰、无针对性的计3分； ④只有框架，无实质性内容的或只有简单叙述的计1分； ⑤未提供相关内容的不计分。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服务方案4</w:t>
            </w:r>
          </w:p>
        </w:tc>
        <w:tc>
          <w:tcPr>
            <w:tcW w:type="dxa" w:w="2492"/>
          </w:tcPr>
          <w:p>
            <w:pPr>
              <w:pStyle w:val="null3"/>
            </w:pPr>
            <w:r>
              <w:rPr/>
              <w:t>保密管理措施及能力：因公安系统的安全性和特殊性，供应商应提供项目实施过程及项目任务的保密管理制度和信息安全详细解决方案，确保项目的资料及其他重要的方案能有效保密，避免信息外泄。 ①具有科学、合理且详细的保密管理制度的计10分； ②保密管理制度无条理性，解决方案不具体的计7分； ③内容不具有针对性，未切合本项目实际情况的计3分； ④只有框架，无实质性内容的或只有简单叙述的或内容欠缺计1分； ⑤未提供相关内容的不计分。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服务方案5</w:t>
            </w:r>
          </w:p>
        </w:tc>
        <w:tc>
          <w:tcPr>
            <w:tcW w:type="dxa" w:w="2492"/>
          </w:tcPr>
          <w:p>
            <w:pPr>
              <w:pStyle w:val="null3"/>
            </w:pPr>
            <w:r>
              <w:rPr/>
              <w:t>针对本项目提供详细的质量保证措施和管控机制，详细、科学、合理，具有可行性。 ①内容详细、全面，具有针对性，切合本项目情况的计10分； ②方案内容条理不清晰的或内容宽泛的计7分； ③内容不具有针对性，未切合本项目实际情况的计3分； ④只有框架，无实质性内容的或只有简单叙述的或内容欠缺计1分；⑤未提供相关内容的不计分。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服务方案6</w:t>
            </w:r>
          </w:p>
        </w:tc>
        <w:tc>
          <w:tcPr>
            <w:tcW w:type="dxa" w:w="2492"/>
          </w:tcPr>
          <w:p>
            <w:pPr>
              <w:pStyle w:val="null3"/>
            </w:pPr>
            <w:r>
              <w:rPr/>
              <w:t>供应商提供有利于本项目工作顺利进行的合理化建议，内容详细、条理清晰、合理。 ①内容详细，具有针对性，切合本项目情况的计6分； ②建议内容条理不清晰的或内容宽泛的或不具有针对性的计3分； ③只有框架，无实质性内容的或只有简单叙述的计1分； ④未提供相关内容的不计分。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服务方案7</w:t>
            </w:r>
          </w:p>
        </w:tc>
        <w:tc>
          <w:tcPr>
            <w:tcW w:type="dxa" w:w="2492"/>
          </w:tcPr>
          <w:p>
            <w:pPr>
              <w:pStyle w:val="null3"/>
            </w:pPr>
            <w:r>
              <w:rPr/>
              <w:t>具有详细的突发事件应急处理能力和资源调配能力，内容详细、条理性清晰，科学合理，具有针对性及可操作性。 ①内容详细，条理性清晰，具有针对性，切合本项目情况的计6分； ②内容条理不清晰的或内容宽泛的或不具有针对性的计3分； ③只有框架，无实质性内容的或只有简单叙述的计1分； ④未提供相关内容的不计分。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拟派项目组人员1</w:t>
            </w:r>
          </w:p>
        </w:tc>
        <w:tc>
          <w:tcPr>
            <w:tcW w:type="dxa" w:w="2492"/>
          </w:tcPr>
          <w:p>
            <w:pPr>
              <w:pStyle w:val="null3"/>
            </w:pPr>
            <w:r>
              <w:rPr/>
              <w:t>项目组织管理机构设置及人员分工安排合理、职责划分明确的计5分，管理机构设置不合理或职责划分不明确的计2分，未提供的不计分。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拟派项目组人员</w:t>
            </w:r>
          </w:p>
        </w:tc>
      </w:tr>
      <w:tr>
        <w:tc>
          <w:tcPr>
            <w:tcW w:type="dxa" w:w="831"/>
            <w:vMerge/>
          </w:tcPr>
          <w:p/>
        </w:tc>
        <w:tc>
          <w:tcPr>
            <w:tcW w:type="dxa" w:w="1661"/>
          </w:tcPr>
          <w:p>
            <w:pPr>
              <w:pStyle w:val="null3"/>
            </w:pPr>
            <w:r>
              <w:rPr/>
              <w:t>拟派项目组人员2</w:t>
            </w:r>
          </w:p>
        </w:tc>
        <w:tc>
          <w:tcPr>
            <w:tcW w:type="dxa" w:w="2492"/>
          </w:tcPr>
          <w:p>
            <w:pPr>
              <w:pStyle w:val="null3"/>
            </w:pPr>
            <w:r>
              <w:rPr/>
              <w:t>项目负责人及项目团队人员数量、资质能力，专业结果、结合从业年限、工作经验及业绩等因素，资质优良、经验丰富的计5分，从业年限短或工作经验不足的或人员数量不足，不能满足本项目服务需求的计2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拟派项目组人员</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针对本项目及采购人实际需求提供详细具体可行的服务措施承诺及详尽可行的服务实施计划，配有稳定的技术服务队伍，能提供及时快速的响应，确保项目能按时按质完成，达到服务要求且能保证项目质量。 ①内容具体、完整、详细、全面的计10分； ②服务措施及实施计划不具体，条理性、逻辑性不清晰的计7分； ③内容不具有针对性，未切合本项目实际情况的计3分； ④内容只有框架，无实质性内容的或简单概括的计1分； ⑤未提供方案不得分。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以合同形式提供供应商2021年1月（签订时间为准）至今同类项目业绩,每提供一份得2分，满分8分。（以合同及发票为准，缺一均不计分。）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详见附件：《拒绝政府采购领域商业贿赂承诺书》</w:t>
      </w:r>
    </w:p>
    <w:p>
      <w:pPr>
        <w:pStyle w:val="null3"/>
        <w:ind w:firstLine="960"/>
      </w:pPr>
      <w:r>
        <w:rPr/>
        <w:t>详见附件：法定代表人授权书</w:t>
      </w:r>
    </w:p>
    <w:p>
      <w:pPr>
        <w:pStyle w:val="null3"/>
        <w:ind w:firstLine="960"/>
      </w:pPr>
      <w:r>
        <w:rPr/>
        <w:t>详见附件：分项报价</w:t>
      </w:r>
    </w:p>
    <w:p>
      <w:pPr>
        <w:pStyle w:val="null3"/>
        <w:ind w:firstLine="960"/>
      </w:pPr>
      <w:r>
        <w:rPr/>
        <w:t>详见附件：服务承诺</w:t>
      </w:r>
    </w:p>
    <w:p>
      <w:pPr>
        <w:pStyle w:val="null3"/>
        <w:ind w:firstLine="960"/>
      </w:pPr>
      <w:r>
        <w:rPr/>
        <w:t>详见附件：服务方案</w:t>
      </w:r>
    </w:p>
    <w:p>
      <w:pPr>
        <w:pStyle w:val="null3"/>
        <w:ind w:firstLine="960"/>
      </w:pPr>
      <w:r>
        <w:rPr/>
        <w:t>详见附件：服务条款响应偏离表</w:t>
      </w:r>
    </w:p>
    <w:p>
      <w:pPr>
        <w:pStyle w:val="null3"/>
        <w:ind w:firstLine="960"/>
      </w:pPr>
      <w:r>
        <w:rPr/>
        <w:t>详见附件：供应商参与政府采购活动的承诺函</w:t>
      </w:r>
    </w:p>
    <w:p>
      <w:pPr>
        <w:pStyle w:val="null3"/>
        <w:ind w:firstLine="960"/>
      </w:pPr>
      <w:r>
        <w:rPr/>
        <w:t>详见附件：供应商认为有必要补充说明的事宜</w:t>
      </w:r>
    </w:p>
    <w:p>
      <w:pPr>
        <w:pStyle w:val="null3"/>
        <w:ind w:firstLine="960"/>
      </w:pPr>
      <w:r>
        <w:rPr/>
        <w:t>详见附件：拟派项目组人员</w:t>
      </w:r>
    </w:p>
    <w:p>
      <w:pPr>
        <w:pStyle w:val="null3"/>
        <w:ind w:firstLine="960"/>
      </w:pPr>
      <w:r>
        <w:rPr/>
        <w:t>详见附件：商务条款响应偏离表</w:t>
      </w:r>
    </w:p>
    <w:p>
      <w:pPr>
        <w:pStyle w:val="null3"/>
        <w:ind w:firstLine="960"/>
      </w:pPr>
      <w:r>
        <w:rPr/>
        <w:t>详见附件：业绩</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