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35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52"/>
        <w:gridCol w:w="457"/>
        <w:gridCol w:w="725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5" w:hRule="atLeast"/>
        </w:trPr>
        <w:tc>
          <w:tcPr>
            <w:tcW w:w="652" w:type="dxa"/>
          </w:tcPr>
          <w:p>
            <w:pPr>
              <w:pStyle w:val="12"/>
              <w:rPr>
                <w:rFonts w:hint="eastAsia" w:asciiTheme="minorEastAsia" w:hAnsiTheme="minorEastAsia" w:eastAsiaTheme="minorEastAsia" w:cstheme="minorEastAsia"/>
              </w:rPr>
            </w:pPr>
            <w:r>
              <w:rPr>
                <w:rFonts w:hint="eastAsia" w:asciiTheme="minorEastAsia" w:hAnsiTheme="minorEastAsia" w:eastAsiaTheme="minorEastAsia" w:cstheme="minorEastAsia"/>
              </w:rPr>
              <w:t>参数性质</w:t>
            </w:r>
          </w:p>
        </w:tc>
        <w:tc>
          <w:tcPr>
            <w:tcW w:w="457" w:type="dxa"/>
          </w:tcPr>
          <w:p>
            <w:pPr>
              <w:pStyle w:val="12"/>
              <w:rPr>
                <w:rFonts w:hint="eastAsia" w:asciiTheme="minorEastAsia" w:hAnsiTheme="minorEastAsia" w:eastAsiaTheme="minorEastAsia" w:cstheme="minorEastAsia"/>
              </w:rPr>
            </w:pPr>
            <w:r>
              <w:rPr>
                <w:rFonts w:hint="eastAsia" w:asciiTheme="minorEastAsia" w:hAnsiTheme="minorEastAsia" w:eastAsiaTheme="minorEastAsia" w:cstheme="minorEastAsia"/>
              </w:rPr>
              <w:t>序号</w:t>
            </w:r>
          </w:p>
        </w:tc>
        <w:tc>
          <w:tcPr>
            <w:tcW w:w="7250" w:type="dxa"/>
          </w:tcPr>
          <w:p>
            <w:pPr>
              <w:pStyle w:val="12"/>
              <w:rPr>
                <w:rFonts w:hint="eastAsia" w:asciiTheme="minorEastAsia" w:hAnsiTheme="minorEastAsia" w:eastAsiaTheme="minorEastAsia" w:cstheme="minorEastAsia"/>
              </w:rPr>
            </w:pPr>
            <w:r>
              <w:rPr>
                <w:rFonts w:hint="eastAsia" w:asciiTheme="minorEastAsia" w:hAnsiTheme="minorEastAsia" w:eastAsiaTheme="minorEastAsia" w:cstheme="minorEastAsia"/>
              </w:rPr>
              <w:t>技术参数与性能指标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99" w:hRule="atLeast"/>
        </w:trPr>
        <w:tc>
          <w:tcPr>
            <w:tcW w:w="652" w:type="dxa"/>
          </w:tcPr>
          <w:p>
            <w:pPr>
              <w:rPr>
                <w:rFonts w:hint="eastAsia" w:asciiTheme="minorEastAsia" w:hAnsiTheme="minorEastAsia" w:eastAsiaTheme="minorEastAsia" w:cstheme="minorEastAsia"/>
              </w:rPr>
            </w:pPr>
          </w:p>
        </w:tc>
        <w:tc>
          <w:tcPr>
            <w:tcW w:w="457" w:type="dxa"/>
          </w:tcPr>
          <w:p>
            <w:pPr>
              <w:pStyle w:val="12"/>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p>
        </w:tc>
        <w:tc>
          <w:tcPr>
            <w:tcW w:w="7250"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cstheme="minorEastAsia"/>
                <w:lang w:val="en-US" w:eastAsia="zh-CN"/>
              </w:rPr>
              <w:t>服务内容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cstheme="minorEastAsia"/>
                <w:kern w:val="0"/>
                <w:sz w:val="20"/>
                <w:szCs w:val="20"/>
                <w:highlight w:val="none"/>
                <w:lang w:val="en-US" w:eastAsia="zh-CN"/>
              </w:rPr>
              <w:t>1.</w:t>
            </w:r>
            <w:r>
              <w:rPr>
                <w:rFonts w:hint="eastAsia" w:asciiTheme="minorEastAsia" w:hAnsiTheme="minorEastAsia" w:eastAsiaTheme="minorEastAsia" w:cstheme="minorEastAsia"/>
                <w:kern w:val="0"/>
                <w:sz w:val="20"/>
                <w:szCs w:val="20"/>
                <w:highlight w:val="none"/>
                <w:lang w:val="en-US" w:eastAsia="en-US"/>
              </w:rPr>
              <w:t>对用户</w:t>
            </w:r>
            <w:r>
              <w:rPr>
                <w:rFonts w:hint="eastAsia" w:asciiTheme="minorEastAsia" w:hAnsiTheme="minorEastAsia" w:cstheme="minorEastAsia"/>
                <w:kern w:val="0"/>
                <w:sz w:val="20"/>
                <w:szCs w:val="20"/>
                <w:highlight w:val="none"/>
                <w:lang w:val="en-US" w:eastAsia="zh-CN"/>
              </w:rPr>
              <w:t>现有</w:t>
            </w:r>
            <w:r>
              <w:rPr>
                <w:rFonts w:hint="eastAsia" w:asciiTheme="minorEastAsia" w:hAnsiTheme="minorEastAsia" w:eastAsiaTheme="minorEastAsia" w:cstheme="minorEastAsia"/>
                <w:kern w:val="0"/>
                <w:sz w:val="20"/>
                <w:szCs w:val="20"/>
                <w:highlight w:val="none"/>
                <w:lang w:val="en-US" w:eastAsia="en-US"/>
              </w:rPr>
              <w:t>应用软件、数据库、中间件等迁移至</w:t>
            </w:r>
            <w:r>
              <w:rPr>
                <w:rFonts w:hint="eastAsia" w:asciiTheme="minorEastAsia" w:hAnsiTheme="minorEastAsia" w:cstheme="minorEastAsia"/>
                <w:kern w:val="0"/>
                <w:sz w:val="20"/>
                <w:szCs w:val="20"/>
                <w:highlight w:val="none"/>
                <w:lang w:val="en-US" w:eastAsia="zh-CN"/>
              </w:rPr>
              <w:t>国产化系统环境中并完成适配，</w:t>
            </w:r>
            <w:r>
              <w:rPr>
                <w:rFonts w:hint="eastAsia" w:asciiTheme="minorEastAsia" w:hAnsiTheme="minorEastAsia" w:eastAsiaTheme="minorEastAsia" w:cstheme="minorEastAsia"/>
                <w:kern w:val="0"/>
                <w:sz w:val="20"/>
                <w:szCs w:val="20"/>
                <w:highlight w:val="none"/>
                <w:lang w:val="en-US" w:eastAsia="en-US"/>
              </w:rPr>
              <w:t>保障用户业务的连续性</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cstheme="minorEastAsia"/>
                <w:kern w:val="0"/>
                <w:sz w:val="20"/>
                <w:szCs w:val="20"/>
                <w:highlight w:val="none"/>
                <w:lang w:val="en-US" w:eastAsia="zh-CN"/>
              </w:rPr>
              <w:t>2.</w:t>
            </w:r>
            <w:r>
              <w:rPr>
                <w:rFonts w:hint="eastAsia" w:asciiTheme="minorEastAsia" w:hAnsiTheme="minorEastAsia" w:eastAsiaTheme="minorEastAsia" w:cstheme="minorEastAsia"/>
                <w:kern w:val="0"/>
                <w:sz w:val="20"/>
                <w:szCs w:val="20"/>
                <w:highlight w:val="none"/>
                <w:lang w:val="en-US" w:eastAsia="en-US"/>
              </w:rPr>
              <w:t>正版视频剪辑制作等软件服务。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cstheme="minorEastAsia"/>
                <w:kern w:val="0"/>
                <w:sz w:val="20"/>
                <w:szCs w:val="20"/>
                <w:highlight w:val="none"/>
                <w:lang w:val="en-US" w:eastAsia="zh-CN"/>
              </w:rPr>
              <w:t>3.</w:t>
            </w:r>
            <w:r>
              <w:rPr>
                <w:rFonts w:hint="eastAsia" w:asciiTheme="minorEastAsia" w:hAnsiTheme="minorEastAsia" w:eastAsiaTheme="minorEastAsia" w:cstheme="minorEastAsia"/>
                <w:kern w:val="0"/>
                <w:sz w:val="20"/>
                <w:szCs w:val="20"/>
                <w:highlight w:val="none"/>
                <w:lang w:val="en-US" w:eastAsia="en-US"/>
              </w:rPr>
              <w:t>操作系统及办公软件正版化服务。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cstheme="minorEastAsia"/>
                <w:highlight w:val="none"/>
                <w:lang w:val="en-US" w:eastAsia="zh-CN"/>
              </w:rPr>
            </w:pPr>
            <w:r>
              <w:rPr>
                <w:rFonts w:hint="eastAsia" w:asciiTheme="minorEastAsia" w:hAnsiTheme="minorEastAsia" w:cstheme="minorEastAsia"/>
                <w:kern w:val="0"/>
                <w:sz w:val="20"/>
                <w:szCs w:val="20"/>
                <w:highlight w:val="none"/>
                <w:lang w:val="en-US" w:eastAsia="zh-CN"/>
              </w:rPr>
              <w:t>二、</w:t>
            </w:r>
            <w:r>
              <w:rPr>
                <w:rFonts w:hint="eastAsia" w:asciiTheme="minorEastAsia" w:hAnsiTheme="minorEastAsia" w:cstheme="minorEastAsia"/>
                <w:highlight w:val="none"/>
                <w:lang w:val="en-US" w:eastAsia="zh-CN"/>
              </w:rPr>
              <w:t>技术要求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1.对用户</w:t>
            </w:r>
            <w:r>
              <w:rPr>
                <w:rFonts w:hint="eastAsia" w:asciiTheme="minorEastAsia" w:hAnsiTheme="minorEastAsia" w:cstheme="minorEastAsia"/>
                <w:kern w:val="0"/>
                <w:sz w:val="20"/>
                <w:szCs w:val="20"/>
                <w:highlight w:val="none"/>
                <w:lang w:val="en-US" w:eastAsia="zh-CN"/>
              </w:rPr>
              <w:t>现有</w:t>
            </w:r>
            <w:r>
              <w:rPr>
                <w:rFonts w:hint="eastAsia" w:asciiTheme="minorEastAsia" w:hAnsiTheme="minorEastAsia" w:eastAsiaTheme="minorEastAsia" w:cstheme="minorEastAsia"/>
                <w:kern w:val="0"/>
                <w:sz w:val="20"/>
                <w:szCs w:val="20"/>
                <w:highlight w:val="none"/>
                <w:lang w:val="en-US" w:eastAsia="en-US"/>
              </w:rPr>
              <w:t>应用软件、数据库、中间件等迁移至</w:t>
            </w:r>
            <w:r>
              <w:rPr>
                <w:rFonts w:hint="eastAsia" w:asciiTheme="minorEastAsia" w:hAnsiTheme="minorEastAsia" w:cstheme="minorEastAsia"/>
                <w:kern w:val="0"/>
                <w:sz w:val="20"/>
                <w:szCs w:val="20"/>
                <w:highlight w:val="none"/>
                <w:lang w:val="en-US" w:eastAsia="zh-CN"/>
              </w:rPr>
              <w:t>国产化系统环境中并完成适配，</w:t>
            </w:r>
            <w:r>
              <w:rPr>
                <w:rFonts w:hint="eastAsia" w:asciiTheme="minorEastAsia" w:hAnsiTheme="minorEastAsia" w:eastAsiaTheme="minorEastAsia" w:cstheme="minorEastAsia"/>
                <w:kern w:val="0"/>
                <w:sz w:val="20"/>
                <w:szCs w:val="20"/>
                <w:highlight w:val="none"/>
                <w:lang w:val="en-US" w:eastAsia="en-US"/>
              </w:rPr>
              <w:t>保障用户业务的连续性</w:t>
            </w:r>
            <w:r>
              <w:rPr>
                <w:rFonts w:hint="eastAsia" w:asciiTheme="minorEastAsia" w:hAnsiTheme="minorEastAsia" w:cstheme="minorEastAsia"/>
                <w:kern w:val="0"/>
                <w:sz w:val="20"/>
                <w:szCs w:val="20"/>
                <w:highlight w:val="none"/>
                <w:lang w:val="en-US" w:eastAsia="zh-CN"/>
              </w:rPr>
              <w:t>，培训指导用户使用，在服务周期内提供7*24小时服务。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2.</w:t>
            </w:r>
            <w:r>
              <w:rPr>
                <w:rFonts w:hint="eastAsia" w:asciiTheme="minorEastAsia" w:hAnsiTheme="minorEastAsia" w:cstheme="minorEastAsia"/>
                <w:kern w:val="0"/>
                <w:sz w:val="20"/>
                <w:szCs w:val="20"/>
                <w:highlight w:val="none"/>
                <w:lang w:val="en-US" w:eastAsia="zh-CN"/>
              </w:rPr>
              <w:t>在服务周期内为用户提供正版</w:t>
            </w:r>
            <w:r>
              <w:rPr>
                <w:rFonts w:hint="eastAsia" w:asciiTheme="minorEastAsia" w:hAnsiTheme="minorEastAsia" w:eastAsiaTheme="minorEastAsia" w:cstheme="minorEastAsia"/>
                <w:kern w:val="0"/>
                <w:sz w:val="20"/>
                <w:szCs w:val="20"/>
                <w:highlight w:val="none"/>
                <w:lang w:val="en-US" w:eastAsia="en-US"/>
              </w:rPr>
              <w:t>视频剪辑制作等软件服务</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3.操作系统及办公软件正版化服务</w:t>
            </w:r>
            <w:r>
              <w:rPr>
                <w:rFonts w:hint="eastAsia" w:asciiTheme="minorEastAsia" w:hAnsiTheme="minorEastAsia" w:cstheme="minorEastAsia"/>
                <w:kern w:val="0"/>
                <w:sz w:val="20"/>
                <w:szCs w:val="20"/>
                <w:highlight w:val="none"/>
                <w:lang w:val="en-US" w:eastAsia="zh-CN"/>
              </w:rPr>
              <w:t>。</w:t>
            </w:r>
          </w:p>
          <w:tbl>
            <w:tblPr>
              <w:tblStyle w:val="14"/>
              <w:tblW w:w="69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72"/>
              <w:gridCol w:w="1205"/>
              <w:gridCol w:w="51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572" w:type="dxa"/>
                  <w:vAlign w:val="top"/>
                </w:tcPr>
                <w:p>
                  <w:pPr>
                    <w:pStyle w:val="13"/>
                    <w:spacing w:before="34" w:line="240" w:lineRule="auto"/>
                    <w:ind w:left="84"/>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
                      <w:sz w:val="20"/>
                      <w:szCs w:val="20"/>
                    </w:rPr>
                    <w:t>序号</w:t>
                  </w:r>
                </w:p>
              </w:tc>
              <w:tc>
                <w:tcPr>
                  <w:tcW w:w="1205" w:type="dxa"/>
                  <w:vAlign w:val="top"/>
                </w:tcPr>
                <w:p>
                  <w:pPr>
                    <w:pStyle w:val="13"/>
                    <w:spacing w:before="43" w:line="240" w:lineRule="auto"/>
                    <w:ind w:left="1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
                      <w:sz w:val="20"/>
                      <w:szCs w:val="20"/>
                    </w:rPr>
                    <w:t>产品名称</w:t>
                  </w:r>
                </w:p>
              </w:tc>
              <w:tc>
                <w:tcPr>
                  <w:tcW w:w="5142" w:type="dxa"/>
                  <w:vAlign w:val="top"/>
                </w:tcPr>
                <w:p>
                  <w:pPr>
                    <w:pStyle w:val="13"/>
                    <w:spacing w:before="43" w:line="240" w:lineRule="auto"/>
                    <w:ind w:left="8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pacing w:val="-2"/>
                      <w:sz w:val="20"/>
                      <w:szCs w:val="20"/>
                    </w:rPr>
                    <w:t>技术规格要求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8" w:hRule="atLeast"/>
              </w:trPr>
              <w:tc>
                <w:tcPr>
                  <w:tcW w:w="5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w:t>
                  </w:r>
                </w:p>
              </w:tc>
              <w:tc>
                <w:tcPr>
                  <w:tcW w:w="1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操作系统软件服务</w:t>
                  </w:r>
                </w:p>
              </w:tc>
              <w:tc>
                <w:tcPr>
                  <w:tcW w:w="514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zh-CN"/>
                    </w:rPr>
                    <w:t>1.</w:t>
                  </w:r>
                  <w:r>
                    <w:rPr>
                      <w:rFonts w:hint="eastAsia" w:asciiTheme="minorEastAsia" w:hAnsiTheme="minorEastAsia" w:eastAsiaTheme="minorEastAsia" w:cstheme="minorEastAsia"/>
                      <w:kern w:val="0"/>
                      <w:sz w:val="20"/>
                      <w:szCs w:val="20"/>
                      <w:highlight w:val="none"/>
                      <w:lang w:val="en-US" w:eastAsia="en-US"/>
                    </w:rPr>
                    <w:t>全系列专业版操作系统，操作系统服务要求满足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Windows.11\10\7专业版，版本包括32位、64位的操作系统。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zh-CN"/>
                    </w:rPr>
                    <w:t>2.</w:t>
                  </w:r>
                  <w:r>
                    <w:rPr>
                      <w:rFonts w:hint="eastAsia" w:asciiTheme="minorEastAsia" w:hAnsiTheme="minorEastAsia" w:eastAsiaTheme="minorEastAsia" w:cstheme="minorEastAsia"/>
                      <w:kern w:val="0"/>
                      <w:sz w:val="20"/>
                      <w:szCs w:val="20"/>
                      <w:highlight w:val="none"/>
                      <w:lang w:val="en-US" w:eastAsia="en-US"/>
                    </w:rPr>
                    <w:t>桌面操作系统要能够支持系统之间轻松传送，可以将原有低版本系统上的文件、文件夹、程序设置和系统设置从旧</w:t>
                  </w:r>
                  <w:r>
                    <w:rPr>
                      <w:rFonts w:hint="eastAsia" w:asciiTheme="minorEastAsia" w:hAnsiTheme="minorEastAsia" w:cstheme="minorEastAsia"/>
                      <w:kern w:val="0"/>
                      <w:sz w:val="20"/>
                      <w:szCs w:val="20"/>
                      <w:highlight w:val="none"/>
                      <w:lang w:val="en-US" w:eastAsia="zh-CN"/>
                    </w:rPr>
                    <w:t>PC</w:t>
                  </w:r>
                  <w:r>
                    <w:rPr>
                      <w:rFonts w:hint="eastAsia" w:asciiTheme="minorEastAsia" w:hAnsiTheme="minorEastAsia" w:eastAsiaTheme="minorEastAsia" w:cstheme="minorEastAsia"/>
                      <w:kern w:val="0"/>
                      <w:sz w:val="20"/>
                      <w:szCs w:val="20"/>
                      <w:highlight w:val="none"/>
                      <w:lang w:val="en-US" w:eastAsia="en-US"/>
                    </w:rPr>
                    <w:t>转移到新PC</w:t>
                  </w:r>
                  <w:r>
                    <w:rPr>
                      <w:rFonts w:hint="eastAsia" w:asciiTheme="minorEastAsia" w:hAnsi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en-US"/>
                    </w:rPr>
                    <w:t>支持自适应性显示器亮度。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3.平台安全稳定</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4.支持系统还原。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5.服务有效期内，若有新的版本可以免费升级。产品语言支持中英文两个版本。</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heme="minorEastAsia" w:hAnsiTheme="minorEastAsia" w:cstheme="minorEastAsia"/>
                      <w:kern w:val="0"/>
                      <w:sz w:val="20"/>
                      <w:szCs w:val="20"/>
                      <w:highlight w:val="none"/>
                      <w:lang w:val="en-US" w:eastAsia="zh-CN"/>
                    </w:rPr>
                  </w:pPr>
                  <w:r>
                    <w:rPr>
                      <w:rFonts w:hint="eastAsia" w:asciiTheme="minorEastAsia" w:hAnsiTheme="minorEastAsia" w:cstheme="minorEastAsia"/>
                      <w:kern w:val="0"/>
                      <w:sz w:val="20"/>
                      <w:szCs w:val="20"/>
                      <w:highlight w:val="none"/>
                      <w:lang w:val="en-US" w:eastAsia="zh-CN"/>
                    </w:rPr>
                    <w:t>6</w:t>
                  </w:r>
                  <w:r>
                    <w:rPr>
                      <w:rFonts w:hint="eastAsia" w:asciiTheme="minorEastAsia" w:hAnsiTheme="minorEastAsia" w:eastAsiaTheme="minorEastAsia" w:cstheme="minorEastAsia"/>
                      <w:kern w:val="0"/>
                      <w:sz w:val="20"/>
                      <w:szCs w:val="20"/>
                      <w:highlight w:val="none"/>
                      <w:lang w:val="en-US" w:eastAsia="en-US"/>
                    </w:rPr>
                    <w:t>.要求满足采购人师生及固定资产产品合法使用正版软件</w:t>
                  </w:r>
                  <w:r>
                    <w:rPr>
                      <w:rFonts w:hint="eastAsia" w:asciiTheme="minorEastAsia" w:hAnsiTheme="minorEastAsia" w:cstheme="minorEastAsia"/>
                      <w:kern w:val="0"/>
                      <w:sz w:val="20"/>
                      <w:szCs w:val="20"/>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3" w:hRule="atLeast"/>
              </w:trPr>
              <w:tc>
                <w:tcPr>
                  <w:tcW w:w="5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2</w:t>
                  </w:r>
                </w:p>
              </w:tc>
              <w:tc>
                <w:tcPr>
                  <w:tcW w:w="1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办公软件服务</w:t>
                  </w:r>
                </w:p>
              </w:tc>
              <w:tc>
                <w:tcPr>
                  <w:tcW w:w="514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1.全系列办公软件，必须包含5种以上组件：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1)文字处理、2)电子表格、3)演示文稿、4)笔记记录、5)邮件日程任务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2.要求支持中文，英文等主流语言在内的多语言。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3.要求产品分别能支持Windows平台和mac平台。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4.办公软件服务要求满足Office2019\2016\2013\2010专业增强版；版本包括中英文32位、64位。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5.支持MAC的office 2019\2016标准版功能；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6.服务有效期内，若有新的版本可以免费升级。产品语言支持中英文两个版本。</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kern w:val="0"/>
                      <w:sz w:val="20"/>
                      <w:szCs w:val="20"/>
                      <w:highlight w:val="none"/>
                      <w:lang w:val="en-US" w:eastAsia="en-US"/>
                    </w:rPr>
                    <w:t>7.要求满足采购人师生及固定资产产品合法使用正版软件</w:t>
                  </w:r>
                  <w:r>
                    <w:rPr>
                      <w:rFonts w:hint="eastAsia" w:asciiTheme="minorEastAsia" w:hAnsiTheme="minorEastAsia" w:cstheme="minorEastAsia"/>
                      <w:kern w:val="0"/>
                      <w:sz w:val="20"/>
                      <w:szCs w:val="20"/>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3" w:hRule="atLeast"/>
              </w:trPr>
              <w:tc>
                <w:tcPr>
                  <w:tcW w:w="57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3</w:t>
                  </w:r>
                </w:p>
              </w:tc>
              <w:tc>
                <w:tcPr>
                  <w:tcW w:w="120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正版授权管理平台服务</w:t>
                  </w:r>
                </w:p>
              </w:tc>
              <w:tc>
                <w:tcPr>
                  <w:tcW w:w="514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实现正版软件服务按场地授权，支持在西安开放大学及各分校范围内的使用。包括正版软件批量下载、介质管理、软件更新、密钥封装、批量激活、用户统一管理、数据统计、台账统计等功能。管理员可利用浏览器登录平台进行后台管理工作和统计工作。正版授权管理平台除了管理操作系统及办公软件介质服务外，还能对校内其他软件服务、工具等进行分类管理，综合成统一平台。</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正版授权管理平台运维服务要求满足学校师生及固定资产产品合法使用。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2.满足要求正版授权管理平台技术架构为B/S架构、PHP技术，兼容虚拟化技术架构，实现本地部署；</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3.满足要求统一的激活程序进行激活，针对软件种类进行验证码获取</w:t>
                  </w:r>
                  <w:r>
                    <w:rPr>
                      <w:rFonts w:hint="eastAsia" w:asciiTheme="minorEastAsia" w:hAnsi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en-US"/>
                    </w:rPr>
                    <w:t>保证验证码的安全保密性</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4.满足要求机房批量授权方案，实现新版软件及时更新；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5.满足全系列专业版操作系统、全系列办公软件的正版化服务；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6.满足要求系统支持IPV4和IPV6,支持VPN</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7.校内共享资源专区：实现对校园其他软件或教学相关资源统一管理</w:t>
                  </w:r>
                  <w:r>
                    <w:rPr>
                      <w:rFonts w:hint="eastAsia" w:asciiTheme="minorEastAsia" w:hAnsi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en-US"/>
                    </w:rPr>
                    <w:t>实现下载并进行统一管理；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zh-CN"/>
                    </w:rPr>
                  </w:pPr>
                  <w:r>
                    <w:rPr>
                      <w:rFonts w:hint="eastAsia" w:asciiTheme="minorEastAsia" w:hAnsiTheme="minorEastAsia" w:eastAsiaTheme="minorEastAsia" w:cstheme="minorEastAsia"/>
                      <w:kern w:val="0"/>
                      <w:sz w:val="20"/>
                      <w:szCs w:val="20"/>
                      <w:highlight w:val="none"/>
                      <w:lang w:val="en-US" w:eastAsia="en-US"/>
                    </w:rPr>
                    <w:t>8.软件下载：设定不同功能软件下载专区，按规划进行软件分类</w:t>
                  </w:r>
                  <w:r>
                    <w:rPr>
                      <w:rFonts w:hint="eastAsia" w:asciiTheme="minorEastAsia" w:hAnsiTheme="minorEastAsia" w:cstheme="minorEastAsia"/>
                      <w:kern w:val="0"/>
                      <w:sz w:val="20"/>
                      <w:szCs w:val="2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9.激活客户端：定制激活客户端，须免安装、用户自助激活，激活过程用户无须输入密钥，保障密钥安全；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10.常见问题：提供激活中常见问题及对应的解决方案，不断更新新问题和解决方案；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11.使用技巧：在本地资源发布使用说明，内容包括平台或软件产品的使用技巧，形式包括视频或文件。须提供不少于200个相应的视频资料，并且存放于采购人存储服务器中。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12.安装教程：须提供操作系统及办公应用软件不同版本在安装过程中的详细操作说明；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13.要求数据统计格式必须和版权格式内容一致；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14.内容分析服务：支持统计网内用户使用终端类型数目</w:t>
                  </w:r>
                  <w:r>
                    <w:rPr>
                      <w:rFonts w:hint="eastAsia" w:asciiTheme="minorEastAsia" w:hAnsiTheme="minorEastAsia" w:cstheme="minorEastAsia"/>
                      <w:kern w:val="0"/>
                      <w:sz w:val="20"/>
                      <w:szCs w:val="20"/>
                      <w:highlight w:val="none"/>
                      <w:lang w:val="en-US" w:eastAsia="zh-CN"/>
                    </w:rPr>
                    <w:t>，</w:t>
                  </w:r>
                  <w:r>
                    <w:rPr>
                      <w:rFonts w:hint="eastAsia" w:asciiTheme="minorEastAsia" w:hAnsiTheme="minorEastAsia" w:eastAsiaTheme="minorEastAsia" w:cstheme="minorEastAsia"/>
                      <w:kern w:val="0"/>
                      <w:sz w:val="20"/>
                      <w:szCs w:val="20"/>
                      <w:highlight w:val="none"/>
                      <w:lang w:val="en-US" w:eastAsia="en-US"/>
                    </w:rPr>
                    <w:t>终端使用分布。支持终端操作系统种类区分及数量统计；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15.日志分析服务要求：支持“应用明细”统计；支持“协议定制”功能，跟踪统计指定的协议应用情况；针对并发连接数的指定时段应用明细统计；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kern w:val="0"/>
                      <w:sz w:val="20"/>
                      <w:szCs w:val="20"/>
                      <w:highlight w:val="none"/>
                      <w:lang w:val="en-US" w:eastAsia="en-US"/>
                    </w:rPr>
                    <w:t>16.事件日志分析服务：帐号登陆事件日志，支持图片等查询；访问事件日志</w:t>
                  </w:r>
                  <w:r>
                    <w:rPr>
                      <w:rFonts w:hint="eastAsia" w:asciiTheme="minorEastAsia" w:hAnsiTheme="minorEastAsia" w:cstheme="minorEastAsia"/>
                      <w:kern w:val="0"/>
                      <w:sz w:val="20"/>
                      <w:szCs w:val="20"/>
                      <w:highlight w:val="non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zh-CN"/>
              </w:rPr>
              <w:t>三</w:t>
            </w:r>
            <w:r>
              <w:rPr>
                <w:rFonts w:hint="eastAsia" w:asciiTheme="minorEastAsia" w:hAnsiTheme="minorEastAsia" w:eastAsiaTheme="minorEastAsia" w:cstheme="minorEastAsia"/>
                <w:kern w:val="0"/>
                <w:sz w:val="20"/>
                <w:szCs w:val="20"/>
                <w:highlight w:val="none"/>
                <w:lang w:val="en-US" w:eastAsia="en-US"/>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kern w:val="0"/>
                <w:sz w:val="20"/>
                <w:szCs w:val="20"/>
                <w:highlight w:val="none"/>
                <w:lang w:val="en-US" w:eastAsia="en-US"/>
              </w:rPr>
            </w:pPr>
            <w:r>
              <w:rPr>
                <w:rFonts w:hint="eastAsia" w:asciiTheme="minorEastAsia" w:hAnsiTheme="minorEastAsia" w:eastAsiaTheme="minorEastAsia" w:cstheme="minorEastAsia"/>
                <w:kern w:val="0"/>
                <w:sz w:val="20"/>
                <w:szCs w:val="20"/>
                <w:highlight w:val="none"/>
                <w:lang w:val="en-US" w:eastAsia="en-US"/>
              </w:rPr>
              <w:t>1、人员配置合理，</w:t>
            </w:r>
            <w:r>
              <w:rPr>
                <w:rFonts w:hint="eastAsia" w:asciiTheme="minorEastAsia" w:hAnsiTheme="minorEastAsia" w:cstheme="minorEastAsia"/>
                <w:kern w:val="0"/>
                <w:sz w:val="20"/>
                <w:szCs w:val="20"/>
                <w:highlight w:val="none"/>
                <w:lang w:val="en-US" w:eastAsia="zh-CN"/>
              </w:rPr>
              <w:t>投标人须在服务期限内派驻不少于三名驻场人员提供7*24小时服务，其中一名驻场工程师具备信息系统项目管理师认证证书，一名驻场工程师具备中级及以上职称证书</w:t>
            </w:r>
            <w:r>
              <w:rPr>
                <w:rFonts w:hint="eastAsia" w:asciiTheme="minorEastAsia" w:hAnsiTheme="minorEastAsia" w:eastAsiaTheme="minorEastAsia" w:cstheme="minorEastAsia"/>
                <w:kern w:val="0"/>
                <w:sz w:val="20"/>
                <w:szCs w:val="20"/>
                <w:highlight w:val="none"/>
                <w:lang w:val="en-US" w:eastAsia="en-US"/>
              </w:rPr>
              <w:t>。(</w:t>
            </w:r>
            <w:r>
              <w:rPr>
                <w:rFonts w:hint="eastAsia" w:asciiTheme="minorEastAsia" w:hAnsiTheme="minorEastAsia" w:cstheme="minorEastAsia"/>
                <w:kern w:val="0"/>
                <w:sz w:val="20"/>
                <w:szCs w:val="20"/>
                <w:highlight w:val="none"/>
                <w:lang w:val="en-US" w:eastAsia="zh-CN"/>
              </w:rPr>
              <w:t>须</w:t>
            </w:r>
            <w:r>
              <w:rPr>
                <w:rFonts w:hint="eastAsia" w:asciiTheme="minorEastAsia" w:hAnsiTheme="minorEastAsia" w:eastAsiaTheme="minorEastAsia" w:cstheme="minorEastAsia"/>
                <w:kern w:val="0"/>
                <w:sz w:val="20"/>
                <w:szCs w:val="20"/>
                <w:highlight w:val="none"/>
                <w:lang w:val="en-US" w:eastAsia="en-US"/>
              </w:rPr>
              <w:t>提供以上人员所在单位缴纳的2024年</w:t>
            </w:r>
            <w:r>
              <w:rPr>
                <w:rFonts w:hint="eastAsia" w:asciiTheme="minorEastAsia" w:hAnsiTheme="minorEastAsia" w:cstheme="minorEastAsia"/>
                <w:kern w:val="0"/>
                <w:sz w:val="20"/>
                <w:szCs w:val="20"/>
                <w:highlight w:val="none"/>
                <w:lang w:val="en-US" w:eastAsia="zh-CN"/>
              </w:rPr>
              <w:t>连续三个月</w:t>
            </w:r>
            <w:r>
              <w:rPr>
                <w:rFonts w:hint="eastAsia" w:asciiTheme="minorEastAsia" w:hAnsiTheme="minorEastAsia" w:eastAsiaTheme="minorEastAsia" w:cstheme="minorEastAsia"/>
                <w:kern w:val="0"/>
                <w:sz w:val="20"/>
                <w:szCs w:val="20"/>
                <w:highlight w:val="none"/>
                <w:lang w:val="en-US" w:eastAsia="en-US"/>
              </w:rPr>
              <w:t>的社保证明)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Theme="minorEastAsia" w:hAnsiTheme="minorEastAsia" w:cstheme="minorEastAsia"/>
                <w:lang w:val="en-US" w:eastAsia="zh-CN"/>
              </w:rPr>
            </w:pPr>
            <w:r>
              <w:rPr>
                <w:rFonts w:hint="eastAsia" w:asciiTheme="minorEastAsia" w:hAnsiTheme="minorEastAsia" w:eastAsiaTheme="minorEastAsia" w:cstheme="minorEastAsia"/>
                <w:kern w:val="0"/>
                <w:sz w:val="20"/>
                <w:szCs w:val="20"/>
                <w:highlight w:val="none"/>
                <w:lang w:val="en-US" w:eastAsia="en-US"/>
              </w:rPr>
              <w:t>2、做好设备使用及维护的培训工作。</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1960A"/>
    <w:multiLevelType w:val="singleLevel"/>
    <w:tmpl w:val="26B1960A"/>
    <w:lvl w:ilvl="0" w:tentative="0">
      <w:start w:val="1"/>
      <w:numFmt w:val="chineseCounting"/>
      <w:suff w:val="nothing"/>
      <w:lvlText w:val="%1、"/>
      <w:lvlJc w:val="left"/>
      <w:rPr>
        <w:rFonts w:hint="eastAsia"/>
      </w:rPr>
    </w:lvl>
  </w:abstractNum>
  <w:abstractNum w:abstractNumId="1">
    <w:nsid w:val="6565A840"/>
    <w:multiLevelType w:val="singleLevel"/>
    <w:tmpl w:val="6565A84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94C5171"/>
    <w:rsid w:val="226B1251"/>
    <w:rsid w:val="289C6533"/>
    <w:rsid w:val="33CB25E4"/>
    <w:rsid w:val="484753A2"/>
    <w:rsid w:val="48C514F3"/>
    <w:rsid w:val="4CE54F3A"/>
    <w:rsid w:val="57A93EE4"/>
    <w:rsid w:val="62D360B5"/>
    <w:rsid w:val="723E7AB4"/>
    <w:rsid w:val="73217B7C"/>
    <w:rsid w:val="750F0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qFormat/>
    <w:uiPriority w:val="0"/>
    <w:pPr>
      <w:keepNext w:val="0"/>
      <w:keepLines w:val="0"/>
      <w:wordWrap w:val="0"/>
      <w:adjustRightInd w:val="0"/>
      <w:snapToGrid w:val="0"/>
      <w:spacing w:line="360" w:lineRule="auto"/>
      <w:jc w:val="center"/>
      <w:outlineLvl w:val="0"/>
    </w:pPr>
    <w:rPr>
      <w:rFonts w:ascii="宋体" w:hAnsi="宋体"/>
      <w:b/>
      <w:kern w:val="44"/>
      <w:sz w:val="32"/>
      <w:szCs w:val="32"/>
    </w:rPr>
  </w:style>
  <w:style w:type="paragraph" w:styleId="4">
    <w:name w:val="heading 2"/>
    <w:basedOn w:val="1"/>
    <w:next w:val="1"/>
    <w:semiHidden/>
    <w:unhideWhenUsed/>
    <w:qFormat/>
    <w:uiPriority w:val="0"/>
    <w:pPr>
      <w:keepNext w:val="0"/>
      <w:keepLines w:val="0"/>
      <w:spacing w:beforeLines="0" w:beforeAutospacing="0" w:afterLines="0" w:afterAutospacing="0" w:line="360" w:lineRule="auto"/>
      <w:outlineLvl w:val="1"/>
    </w:pPr>
    <w:rPr>
      <w:rFonts w:ascii="宋体" w:hAnsi="宋体" w:eastAsia="宋体"/>
      <w:b/>
      <w:sz w:val="28"/>
    </w:rPr>
  </w:style>
  <w:style w:type="paragraph" w:styleId="5">
    <w:name w:val="heading 3"/>
    <w:basedOn w:val="1"/>
    <w:next w:val="1"/>
    <w:semiHidden/>
    <w:unhideWhenUsed/>
    <w:qFormat/>
    <w:uiPriority w:val="0"/>
    <w:pPr>
      <w:keepNext w:val="0"/>
      <w:keepLines w:val="0"/>
      <w:spacing w:beforeLines="0" w:beforeAutospacing="0" w:afterLines="0" w:afterAutospacing="0" w:line="360" w:lineRule="auto"/>
      <w:outlineLvl w:val="2"/>
    </w:pPr>
    <w:rPr>
      <w:b/>
      <w:sz w:val="32"/>
    </w:rPr>
  </w:style>
  <w:style w:type="paragraph" w:styleId="6">
    <w:name w:val="heading 4"/>
    <w:basedOn w:val="1"/>
    <w:next w:val="1"/>
    <w:semiHidden/>
    <w:unhideWhenUsed/>
    <w:qFormat/>
    <w:uiPriority w:val="0"/>
    <w:pPr>
      <w:keepNext w:val="0"/>
      <w:keepLines w:val="0"/>
      <w:spacing w:beforeLines="0" w:beforeAutospacing="0" w:afterLines="0" w:afterAutospacing="0" w:line="360" w:lineRule="auto"/>
      <w:outlineLvl w:val="3"/>
    </w:pPr>
    <w:rPr>
      <w:rFonts w:ascii="宋体" w:hAnsi="宋体" w:eastAsia="宋体"/>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7">
    <w:name w:val="Body Text Indent"/>
    <w:basedOn w:val="1"/>
    <w:qFormat/>
    <w:uiPriority w:val="0"/>
    <w:pPr>
      <w:spacing w:afterLines="0" w:afterAutospacing="0" w:line="360" w:lineRule="auto"/>
      <w:ind w:left="0" w:leftChars="0"/>
    </w:pPr>
  </w:style>
  <w:style w:type="paragraph" w:styleId="8">
    <w:name w:val="Body Text First Indent"/>
    <w:basedOn w:val="1"/>
    <w:qFormat/>
    <w:uiPriority w:val="0"/>
    <w:pPr>
      <w:spacing w:line="360" w:lineRule="auto"/>
      <w:ind w:firstLine="420" w:firstLineChars="150"/>
    </w:pPr>
  </w:style>
  <w:style w:type="character" w:customStyle="1" w:styleId="11">
    <w:name w:val="标题 1 Char"/>
    <w:link w:val="3"/>
    <w:qFormat/>
    <w:uiPriority w:val="0"/>
    <w:rPr>
      <w:rFonts w:ascii="宋体" w:hAnsi="宋体" w:eastAsia="宋体" w:cs="仿宋"/>
      <w:b/>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Text"/>
    <w:basedOn w:val="1"/>
    <w:semiHidden/>
    <w:qFormat/>
    <w:uiPriority w:val="0"/>
    <w:rPr>
      <w:rFonts w:ascii="宋体" w:hAnsi="宋体" w:eastAsia="宋体" w:cs="宋体"/>
      <w:sz w:val="21"/>
      <w:szCs w:val="21"/>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2024-04-25T01:04:00Z</dcterms:created>
  <dc:creator>admin</dc:creator>
  <cp:lastModifiedBy>冉 冉 。</cp:lastModifiedBy>
  <dcterms:modified xsi:type="dcterms:W3CDTF">2024-06-17T04:14:44Z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8E82F7D71C9144D89AE2FA016115622B_12</vt:lpwstr>
  </property>
</Properties>
</file>