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版本号：240524001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全自动生化分析仪采购项目</w:t>
      </w:r>
    </w:p>
    <w:p>
      <w:pPr>
        <w:pStyle w:val="null3"/>
        <w:jc w:val="center"/>
        <w:outlineLvl w:val="2"/>
      </w:pPr>
      <w:r>
        <w:rPr>
          <w:sz w:val="28"/>
          <w:b/>
        </w:rPr>
        <w:t>采购项目编号：</w:t>
      </w:r>
      <w:r>
        <w:rPr>
          <w:sz w:val="28"/>
          <w:b/>
        </w:rPr>
        <w:t>LZBE2024-500</w:t>
      </w:r>
      <w:r>
        <w:br/>
      </w:r>
      <w:r>
        <w:br/>
      </w:r>
      <w:r>
        <w:br/>
      </w:r>
    </w:p>
    <w:p>
      <w:pPr>
        <w:pStyle w:val="null3"/>
        <w:jc w:val="center"/>
        <w:outlineLvl w:val="2"/>
      </w:pPr>
      <w:r>
        <w:rPr>
          <w:sz w:val="28"/>
          <w:b/>
        </w:rPr>
        <w:t>西安市精神卫生中心</w:t>
      </w:r>
    </w:p>
    <w:p>
      <w:pPr>
        <w:pStyle w:val="null3"/>
        <w:jc w:val="center"/>
        <w:outlineLvl w:val="2"/>
      </w:pPr>
      <w:r>
        <w:rPr>
          <w:sz w:val="28"/>
          <w:b/>
        </w:rPr>
        <w:t>龙寰项目管理咨询有限公司</w:t>
      </w:r>
      <w:r>
        <w:rPr>
          <w:sz w:val="28"/>
          <w:b/>
        </w:rPr>
        <w:t>共同编制</w:t>
      </w:r>
    </w:p>
    <w:p>
      <w:pPr>
        <w:pStyle w:val="null3"/>
        <w:jc w:val="center"/>
        <w:outlineLvl w:val="2"/>
      </w:pPr>
      <w:r>
        <w:rPr>
          <w:sz w:val="28"/>
          <w:b/>
        </w:rPr>
        <w:t>2024年05月24日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龙寰项目管理咨询有限公司</w:t>
      </w:r>
      <w:r>
        <w:rPr/>
        <w:t>（以下简称“代理机构”）受</w:t>
      </w:r>
      <w:r>
        <w:rPr/>
        <w:t>西安市精神卫生中心</w:t>
      </w:r>
      <w:r>
        <w:rPr/>
        <w:t>委托，拟对</w:t>
      </w:r>
      <w:r>
        <w:rPr/>
        <w:t>全自动生化分析仪采购项目</w:t>
      </w:r>
      <w:r>
        <w:rPr/>
        <w:t>进行国内公开招标，兹邀请符合本次招标要求的供应商参加投标。</w:t>
      </w:r>
    </w:p>
    <w:p>
      <w:pPr>
        <w:pStyle w:val="null3"/>
        <w:outlineLvl w:val="2"/>
      </w:pPr>
      <w:r>
        <w:rPr>
          <w:sz w:val="28"/>
          <w:b/>
        </w:rPr>
        <w:t>一、采购项目编号：</w:t>
      </w:r>
      <w:r>
        <w:rPr>
          <w:sz w:val="28"/>
          <w:b/>
        </w:rPr>
        <w:t>LZBE2024-500</w:t>
      </w:r>
    </w:p>
    <w:p>
      <w:pPr>
        <w:pStyle w:val="null3"/>
        <w:outlineLvl w:val="2"/>
      </w:pPr>
      <w:r>
        <w:rPr>
          <w:sz w:val="28"/>
          <w:b/>
        </w:rPr>
        <w:t>二、采购项目名称：</w:t>
      </w:r>
      <w:r>
        <w:rPr>
          <w:sz w:val="28"/>
          <w:b/>
        </w:rPr>
        <w:t>全自动生化分析仪采购项目</w:t>
      </w:r>
    </w:p>
    <w:p>
      <w:pPr>
        <w:pStyle w:val="null3"/>
        <w:outlineLvl w:val="2"/>
      </w:pPr>
      <w:r>
        <w:rPr>
          <w:sz w:val="28"/>
          <w:b/>
        </w:rPr>
        <w:t>三、招标项目简介</w:t>
      </w:r>
    </w:p>
    <w:p>
      <w:pPr>
        <w:pStyle w:val="null3"/>
        <w:ind w:firstLine="480"/>
      </w:pPr>
      <w:r>
        <w:rPr/>
        <w:t>拟全自动生化分析仪采购项目1套，具体详见招标文件。</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1、具有独立承担民事责任能力的法人、其他组织或自然人：法人或者其他组织提供营业执照等证明文件，自然人提供身份证件，供应商需在项目电子化交易系统中按要求上传相应证明文件</w:t>
      </w:r>
    </w:p>
    <w:p>
      <w:pPr>
        <w:pStyle w:val="null3"/>
      </w:pPr>
      <w:r>
        <w:rPr/>
        <w:t>2、税收缴纳凭证及社会保险缴纳的凭证：供应商在本项目投标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t>3、财务状况报告：供应商2022年或2023年经审计的财务报告或开户银行出具的资信证明或政府采购专业担保机构出具的投标担保函，（事业单位可不提供）供应商需在项目电子化交易系统中按要求上传相应证明文件；</w:t>
      </w:r>
    </w:p>
    <w:p>
      <w:pPr>
        <w:pStyle w:val="null3"/>
      </w:pPr>
      <w:r>
        <w:rPr/>
        <w:t>4、参加政府采购活动前3年内在经营活动中没有重大违法记录的书面声明；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t>5、履行合同所必需的设备和专业技术能力书面声明函：具有履行合同所必需的设备和专业技术能力书面声明函，供应商需在项目电子化交易系统中按要求上传相应证明文件并进行电子签章。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t>6、投标产品纳入医疗器械管理的，提供供应商的医疗器械经营许可证或医疗器械经营备案凭证。（未纳入医疗器械管理的可不提供）：投标产品纳入医疗器械管理的，提供供应商的医疗器械经营许可证或医疗器械经营备案凭证。（未纳入医疗器械管理的可不提供），供应商需在项目电子化交易系统中按要求上传相应证明文件并进行电子签章。</w:t>
      </w:r>
    </w:p>
    <w:p>
      <w:pPr>
        <w:pStyle w:val="null3"/>
      </w:pPr>
      <w:r>
        <w:rPr/>
        <w:t>7、投标产品纳入医疗器械管理的，提供投标产品的医疗器械注册证或医疗器械备案凭证。（未纳入医疗器械管理的可不提供）：投标产品纳入医疗器械管理的，提供投标产品的医疗器械注册证或医疗器械备案凭证。（未纳入医疗器械管理的可不提供），供应商需在项目电子化交易系统中按要求上传相应证明文件并进行电子签章。</w:t>
      </w:r>
    </w:p>
    <w:p>
      <w:pPr>
        <w:pStyle w:val="null3"/>
      </w:pPr>
      <w:r>
        <w:rPr/>
        <w:t>8、投标产品纳入医疗器械管理的，提供投标产品制造商的营业执照、医疗器械生产许可证或医疗器械生产备案凭证（未纳入医疗器械管理的可不提供）。：投标产品纳入医疗器械管理的，提供投标产品制造商的营业执照、医疗器械生产许可证或医疗器械生产备案凭证（未纳入医疗器械管理的可不提供）。供应商需在项目电子化交易系统中按要求上传相应证明文件并进行电子签章。</w:t>
      </w:r>
    </w:p>
    <w:p>
      <w:pPr>
        <w:pStyle w:val="null3"/>
      </w:pPr>
      <w:r>
        <w:rPr/>
        <w:t>9、信用证明：供应商未被“信用中国”网站（www.creditchina.gov.cn）列入失信被执行人和重大税收违法失信主体、未被中国政府采购网（www.ccgp.gov.cn）列入政府采购严重违法失信行为记录名单，以开标后的网站查询记录为准。</w:t>
      </w:r>
    </w:p>
    <w:p>
      <w:pPr>
        <w:pStyle w:val="null3"/>
      </w:pPr>
      <w:r>
        <w:rPr/>
        <w:t>10、单位负责人为同一人或者存在直接控股、管理关系的不同供应商，不得参加本次采购活动：单位负责人为同一人或者存在直接控股、管理关系的不同供应商，不得参加本次采购活动；供应商需在项目电子化交易系统中按要求上传相应证明文件并进行电子签章。</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西安市精神卫生中心</w:t>
      </w:r>
    </w:p>
    <w:p>
      <w:pPr>
        <w:pStyle w:val="null3"/>
      </w:pPr>
      <w:r>
        <w:rPr/>
        <w:t xml:space="preserve"> 地址： </w:t>
      </w:r>
      <w:r>
        <w:rPr/>
        <w:t>西安市航天大道与包茂高速交汇处东南角</w:t>
      </w:r>
    </w:p>
    <w:p>
      <w:pPr>
        <w:pStyle w:val="null3"/>
      </w:pPr>
      <w:r>
        <w:rPr/>
        <w:t xml:space="preserve"> 邮编： </w:t>
      </w:r>
      <w:r>
        <w:rPr/>
        <w:t>710065</w:t>
      </w:r>
    </w:p>
    <w:p>
      <w:pPr>
        <w:pStyle w:val="null3"/>
      </w:pPr>
      <w:r>
        <w:rPr/>
        <w:t xml:space="preserve"> 联系人： </w:t>
      </w:r>
      <w:r>
        <w:rPr/>
        <w:t>雷老师</w:t>
      </w:r>
    </w:p>
    <w:p>
      <w:pPr>
        <w:pStyle w:val="null3"/>
      </w:pPr>
      <w:r>
        <w:rPr/>
        <w:t xml:space="preserve"> 联系电话： </w:t>
      </w:r>
      <w:r>
        <w:rPr/>
        <w:t>029-63609379</w:t>
      </w:r>
    </w:p>
    <w:p>
      <w:pPr>
        <w:pStyle w:val="null3"/>
        <w:outlineLvl w:val="2"/>
      </w:pPr>
      <w:r>
        <w:rPr>
          <w:sz w:val="28"/>
          <w:b/>
        </w:rPr>
        <w:t>代理机构：</w:t>
      </w:r>
      <w:r>
        <w:rPr>
          <w:sz w:val="28"/>
          <w:b/>
        </w:rPr>
        <w:t>龙寰项目管理咨询有限公司</w:t>
      </w:r>
    </w:p>
    <w:p>
      <w:pPr>
        <w:pStyle w:val="null3"/>
      </w:pPr>
      <w:r>
        <w:rPr/>
        <w:t xml:space="preserve"> 地址： </w:t>
      </w:r>
      <w:r>
        <w:rPr/>
        <w:t>西安市太白南路181号西部电子社区A座A区501室</w:t>
      </w:r>
    </w:p>
    <w:p>
      <w:pPr>
        <w:pStyle w:val="null3"/>
      </w:pPr>
      <w:r>
        <w:rPr/>
        <w:t xml:space="preserve"> 邮编： </w:t>
      </w:r>
      <w:r>
        <w:rPr/>
        <w:t>710065</w:t>
      </w:r>
    </w:p>
    <w:p>
      <w:pPr>
        <w:pStyle w:val="null3"/>
      </w:pPr>
      <w:r>
        <w:rPr/>
        <w:t xml:space="preserve"> 联系人： </w:t>
      </w:r>
      <w:r>
        <w:rPr/>
        <w:t>吴岳、孙承国、张波</w:t>
      </w:r>
    </w:p>
    <w:p>
      <w:pPr>
        <w:pStyle w:val="null3"/>
      </w:pPr>
      <w:r>
        <w:rPr/>
        <w:t xml:space="preserve"> 联系电话： </w:t>
      </w:r>
      <w:r>
        <w:rPr/>
        <w:t>029-88228899-652</w:t>
      </w:r>
    </w:p>
    <w:p>
      <w:pPr>
        <w:pStyle w:val="null3"/>
        <w:outlineLvl w:val="2"/>
      </w:pPr>
      <w:r>
        <w:rPr>
          <w:sz w:val="28"/>
          <w:b/>
        </w:rPr>
        <w:t>采购监督机构：</w:t>
      </w:r>
      <w:r>
        <w:rPr>
          <w:sz w:val="28"/>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采购包1：1,700,000.00元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代理服务费收费标准：1、招标代理服务费以中标（成交）供应商的中标（成交）金额为基数，在《国家计委关于印发&lt;招标代理服务收费管理暂行办法&gt;的通知》（计价格[2002]1980号）规定标准的基础上下浮 20% 2、中标单位在领取中标通知书之前，须向代理机构支付招标代理服务费。 招标代理服务费以转账或现金形式缴纳至以下账户： 开户名称：龙寰项目管理咨询有限公司 开户银行：平安银行西安高新路支行 账 号：</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西安市精神卫生中心</w:t>
      </w:r>
      <w:r>
        <w:rPr/>
        <w:t>和</w:t>
      </w:r>
      <w:r>
        <w:rPr/>
        <w:t>龙寰项目管理咨询有限公司</w:t>
      </w:r>
      <w:r>
        <w:rPr/>
        <w:t>享有。对招标文件中供应商参加本次政府采购活动应当具备的条件，招标项目技术、服务、商务及其他要求，评标细则及标准由</w:t>
      </w:r>
      <w:r>
        <w:rPr/>
        <w:t>西安市精神卫生中心</w:t>
      </w:r>
      <w:r>
        <w:rPr/>
        <w:t>负责解释。除上述招标文件内容，其他内容由</w:t>
      </w:r>
      <w:r>
        <w:rPr/>
        <w:t>龙寰项目管理咨询有限公司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西安市精神卫生中心</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龙寰项目管理咨询有限公司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（一）货物到达甲方指定地点后，甲方根据合同要求，进行外观验收，确认产地、规格、型号和数量。甲乙双方需在约定的时间和地点共同开箱检验。 （二）货物安装、调试并正常运行后，由乙方进行自检，合格后能够正常使用时书面通知甲方。 （三）甲方确认接收乙方的自检内容后，进行验收，验收合格后，由乙方对甲方操作人员进行培训，完成培训后，甲方填写验收单作为对货物的最终认可。 （四）乙方向甲方提交货物实施过程中的所有资料，以便甲方日后管理和维护。 （五）验收依据： 1、本合同及合同附件。 2、国家相应的标准、规范。 3、招标文件、投标文件、澄清表（函）。</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龙寰项目管理咨询有限公司</w:t>
      </w:r>
      <w:r>
        <w:rPr/>
        <w:t xml:space="preserve"> 负责答复；供应商对除采购需求外的采购文件的询问、质疑由</w:t>
      </w:r>
      <w:r>
        <w:rPr/>
        <w:t>龙寰项目管理咨询有限公司</w:t>
      </w:r>
      <w:r>
        <w:rPr/>
        <w:t xml:space="preserve"> 负责答复；供应商对采购过程、采购结果的询问、质疑由 </w:t>
      </w:r>
      <w:r>
        <w:rPr/>
        <w:t>龙寰项目管理咨询有限公司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联系人：吴岳</w:t>
      </w:r>
    </w:p>
    <w:p>
      <w:pPr>
        <w:pStyle w:val="null3"/>
      </w:pPr>
      <w:r>
        <w:rPr/>
        <w:t>联系电话：029-88228899-652</w:t>
      </w:r>
    </w:p>
    <w:p>
      <w:pPr>
        <w:pStyle w:val="null3"/>
      </w:pPr>
      <w:r>
        <w:rPr/>
        <w:t>地址：西安市太白南路181号西部电子社区A座A区501室</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拟采购全自动生化分析仪1套，具体详见招标文件。</w:t>
      </w:r>
    </w:p>
    <w:p>
      <w:pPr>
        <w:pStyle w:val="null3"/>
        <w:outlineLvl w:val="2"/>
      </w:pPr>
      <w:r>
        <w:rPr>
          <w:sz w:val="28"/>
          <w:b/>
        </w:rPr>
        <w:t>3.2采购内容</w:t>
      </w:r>
    </w:p>
    <w:p>
      <w:pPr>
        <w:pStyle w:val="null3"/>
      </w:pPr>
      <w:r>
        <w:rPr/>
        <w:t>采购包1：</w:t>
      </w:r>
    </w:p>
    <w:p>
      <w:pPr>
        <w:pStyle w:val="null3"/>
      </w:pPr>
      <w:r>
        <w:rPr/>
        <w:t>采购包预算金额（元）: 1,700,000.00</w:t>
      </w:r>
    </w:p>
    <w:p>
      <w:pPr>
        <w:pStyle w:val="null3"/>
      </w:pPr>
      <w:r>
        <w:rPr/>
        <w:t>采购包最高限价（元）: 1,700,000.00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全自动生化分析仪</w:t>
            </w:r>
          </w:p>
        </w:tc>
        <w:tc>
          <w:tcPr>
            <w:tcW w:type="dxa" w:w="831"/>
          </w:tcPr>
          <w:p>
            <w:pPr>
              <w:pStyle w:val="null3"/>
              <w:jc w:val="right"/>
            </w:pPr>
            <w:r>
              <w:rPr/>
              <w:t>1.00</w:t>
            </w:r>
          </w:p>
        </w:tc>
        <w:tc>
          <w:tcPr>
            <w:tcW w:type="dxa" w:w="831"/>
          </w:tcPr>
          <w:p>
            <w:pPr>
              <w:pStyle w:val="null3"/>
              <w:jc w:val="right"/>
            </w:pPr>
            <w:r>
              <w:rPr/>
              <w:t>1,700,000.00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标的名称：全自动生化分析仪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r>
              <w:rPr>
                <w:rFonts w:ascii="宋体" w:hAnsi="宋体" w:cs="宋体" w:eastAsia="宋体"/>
                <w:sz w:val="21"/>
                <w:b/>
              </w:rPr>
              <w:t>（一</w:t>
            </w:r>
            <w:r>
              <w:rPr>
                <w:rFonts w:ascii="宋体" w:hAnsi="宋体" w:cs="宋体" w:eastAsia="宋体"/>
                <w:sz w:val="21"/>
                <w:b/>
                <w:shd w:fill="FFFFFF" w:val="clear"/>
              </w:rPr>
              <w:t>）全自动生化分析仪（1台）（核心产品）</w:t>
            </w:r>
          </w:p>
          <w:p>
            <w:pPr>
              <w:pStyle w:val="null3"/>
              <w:spacing w:after="120"/>
            </w:pPr>
            <w:r>
              <w:rPr>
                <w:rFonts w:ascii="宋体" w:hAnsi="宋体" w:cs="宋体" w:eastAsia="宋体"/>
                <w:sz w:val="21"/>
              </w:rPr>
              <w:t>配置要求不低于以下参数要求：</w:t>
            </w:r>
          </w:p>
          <w:p>
            <w:pPr>
              <w:pStyle w:val="null3"/>
              <w:spacing w:after="120"/>
            </w:pPr>
            <w:r>
              <w:rPr>
                <w:rFonts w:ascii="宋体" w:hAnsi="宋体" w:cs="宋体" w:eastAsia="宋体"/>
                <w:sz w:val="21"/>
                <w:b/>
              </w:rPr>
              <w:t>技术指标及功能：</w:t>
            </w:r>
          </w:p>
          <w:p>
            <w:pPr>
              <w:pStyle w:val="null3"/>
            </w:pPr>
            <w:r>
              <w:rPr>
                <w:rFonts w:ascii="宋体" w:hAnsi="宋体" w:cs="宋体" w:eastAsia="宋体"/>
                <w:sz w:val="21"/>
              </w:rPr>
              <w:t>1</w:t>
            </w:r>
            <w:r>
              <w:rPr>
                <w:rFonts w:ascii="宋体" w:hAnsi="宋体" w:cs="宋体" w:eastAsia="宋体"/>
                <w:sz w:val="21"/>
              </w:rPr>
              <w:t>、分析速度：生化分析 单机≥2000测试/小时，电解质分析≥600测试/小时。</w:t>
            </w:r>
          </w:p>
          <w:p>
            <w:pPr>
              <w:pStyle w:val="null3"/>
            </w:pPr>
            <w:r>
              <w:rPr>
                <w:rFonts w:ascii="宋体" w:hAnsi="宋体" w:cs="宋体" w:eastAsia="宋体"/>
                <w:sz w:val="30"/>
                <w:b/>
              </w:rPr>
              <w:t>·</w:t>
            </w:r>
            <w:r>
              <w:rPr>
                <w:rFonts w:ascii="宋体" w:hAnsi="宋体" w:cs="宋体" w:eastAsia="宋体"/>
                <w:sz w:val="21"/>
                <w:b/>
              </w:rPr>
              <w:t>2</w:t>
            </w:r>
            <w:r>
              <w:rPr>
                <w:rFonts w:ascii="宋体" w:hAnsi="宋体" w:cs="宋体" w:eastAsia="宋体"/>
                <w:sz w:val="21"/>
                <w:b/>
              </w:rPr>
              <w:t>、同时检测项目：≥90项。</w:t>
            </w:r>
          </w:p>
          <w:p>
            <w:pPr>
              <w:pStyle w:val="null3"/>
            </w:pPr>
            <w:r>
              <w:rPr>
                <w:rFonts w:ascii="宋体" w:hAnsi="宋体" w:cs="宋体" w:eastAsia="宋体"/>
                <w:sz w:val="21"/>
              </w:rPr>
              <w:t>4</w:t>
            </w:r>
            <w:r>
              <w:rPr>
                <w:rFonts w:ascii="宋体" w:hAnsi="宋体" w:cs="宋体" w:eastAsia="宋体"/>
                <w:sz w:val="21"/>
              </w:rPr>
              <w:t>、分析方法：终点法、速率法、电极法，线性扩展速率法，免疫比浊法等。</w:t>
            </w:r>
          </w:p>
          <w:p>
            <w:pPr>
              <w:pStyle w:val="null3"/>
            </w:pPr>
            <w:r>
              <w:rPr>
                <w:rFonts w:ascii="宋体" w:hAnsi="宋体" w:cs="宋体" w:eastAsia="宋体"/>
                <w:sz w:val="21"/>
              </w:rPr>
              <w:t>5</w:t>
            </w:r>
            <w:r>
              <w:rPr>
                <w:rFonts w:ascii="宋体" w:hAnsi="宋体" w:cs="宋体" w:eastAsia="宋体"/>
                <w:sz w:val="21"/>
              </w:rPr>
              <w:t>、进样方式：智能机器人进样或轨道传输进样方式。</w:t>
            </w:r>
          </w:p>
          <w:p>
            <w:pPr>
              <w:pStyle w:val="null3"/>
            </w:pPr>
            <w:r>
              <w:rPr>
                <w:rFonts w:ascii="宋体" w:hAnsi="宋体" w:cs="宋体" w:eastAsia="宋体"/>
                <w:sz w:val="30"/>
                <w:b/>
              </w:rPr>
              <w:t>·</w:t>
            </w:r>
            <w:r>
              <w:rPr>
                <w:rFonts w:ascii="宋体" w:hAnsi="宋体" w:cs="宋体" w:eastAsia="宋体"/>
                <w:sz w:val="21"/>
                <w:b/>
              </w:rPr>
              <w:t>6</w:t>
            </w:r>
            <w:r>
              <w:rPr>
                <w:rFonts w:ascii="宋体" w:hAnsi="宋体" w:cs="宋体" w:eastAsia="宋体"/>
                <w:sz w:val="21"/>
                <w:b/>
              </w:rPr>
              <w:t>、全开放试剂通道，可使用与设备品牌不同的任何生化试剂。</w:t>
            </w:r>
          </w:p>
          <w:p>
            <w:pPr>
              <w:pStyle w:val="null3"/>
            </w:pPr>
            <w:r>
              <w:rPr>
                <w:rFonts w:ascii="宋体" w:hAnsi="宋体" w:cs="宋体" w:eastAsia="宋体"/>
                <w:sz w:val="30"/>
                <w:b/>
              </w:rPr>
              <w:t>·</w:t>
            </w:r>
            <w:r>
              <w:rPr>
                <w:rFonts w:ascii="宋体" w:hAnsi="宋体" w:cs="宋体" w:eastAsia="宋体"/>
                <w:sz w:val="21"/>
                <w:b/>
              </w:rPr>
              <w:t>7</w:t>
            </w:r>
            <w:r>
              <w:rPr>
                <w:rFonts w:ascii="宋体" w:hAnsi="宋体" w:cs="宋体" w:eastAsia="宋体"/>
                <w:sz w:val="21"/>
                <w:b/>
              </w:rPr>
              <w:t>、样品量：1.0-50µl(1µl步进) 样品间交叉污染0.01PPM以下 (千万分之一)</w:t>
            </w:r>
          </w:p>
          <w:p>
            <w:pPr>
              <w:pStyle w:val="null3"/>
            </w:pPr>
            <w:r>
              <w:rPr>
                <w:rFonts w:ascii="宋体" w:hAnsi="宋体" w:cs="宋体" w:eastAsia="宋体"/>
                <w:sz w:val="21"/>
              </w:rPr>
              <w:t>8</w:t>
            </w:r>
            <w:r>
              <w:rPr>
                <w:rFonts w:ascii="宋体" w:hAnsi="宋体" w:cs="宋体" w:eastAsia="宋体"/>
                <w:sz w:val="21"/>
              </w:rPr>
              <w:t>、试剂量: R1:60nl-250µl，R2:0.20nl-160µl (1µl步进),可自动稀释浓缩试剂。</w:t>
            </w:r>
          </w:p>
          <w:p>
            <w:pPr>
              <w:pStyle w:val="null3"/>
            </w:pPr>
            <w:r>
              <w:rPr>
                <w:rFonts w:ascii="宋体" w:hAnsi="宋体" w:cs="宋体" w:eastAsia="宋体"/>
                <w:sz w:val="21"/>
              </w:rPr>
              <w:t>9</w:t>
            </w:r>
            <w:r>
              <w:rPr>
                <w:rFonts w:ascii="宋体" w:hAnsi="宋体" w:cs="宋体" w:eastAsia="宋体"/>
                <w:sz w:val="21"/>
              </w:rPr>
              <w:t>、样品容器：样品杯和采血管，多种规格均可上机测定（六种规格以上）</w:t>
            </w:r>
          </w:p>
          <w:p>
            <w:pPr>
              <w:pStyle w:val="null3"/>
            </w:pPr>
            <w:r>
              <w:rPr>
                <w:rFonts w:ascii="宋体" w:hAnsi="宋体" w:cs="宋体" w:eastAsia="宋体"/>
                <w:sz w:val="21"/>
              </w:rPr>
              <w:t>10</w:t>
            </w:r>
            <w:r>
              <w:rPr>
                <w:rFonts w:ascii="宋体" w:hAnsi="宋体" w:cs="宋体" w:eastAsia="宋体"/>
                <w:sz w:val="21"/>
              </w:rPr>
              <w:t>、最小反应液量：80µl</w:t>
            </w:r>
          </w:p>
          <w:p>
            <w:pPr>
              <w:pStyle w:val="null3"/>
            </w:pPr>
            <w:r>
              <w:rPr>
                <w:rFonts w:ascii="宋体" w:hAnsi="宋体" w:cs="宋体" w:eastAsia="宋体"/>
                <w:sz w:val="21"/>
              </w:rPr>
              <w:t>11</w:t>
            </w:r>
            <w:r>
              <w:rPr>
                <w:rFonts w:ascii="宋体" w:hAnsi="宋体" w:cs="宋体" w:eastAsia="宋体"/>
                <w:sz w:val="21"/>
              </w:rPr>
              <w:t>、进样量：双轨道一次进样300个样品（标配样品条码扫描系统）</w:t>
            </w:r>
          </w:p>
          <w:p>
            <w:pPr>
              <w:pStyle w:val="null3"/>
            </w:pPr>
            <w:r>
              <w:rPr>
                <w:rFonts w:ascii="宋体" w:hAnsi="宋体" w:cs="宋体" w:eastAsia="宋体"/>
                <w:sz w:val="30"/>
                <w:b/>
              </w:rPr>
              <w:t>·</w:t>
            </w:r>
            <w:r>
              <w:rPr>
                <w:rFonts w:ascii="宋体" w:hAnsi="宋体" w:cs="宋体" w:eastAsia="宋体"/>
                <w:sz w:val="21"/>
                <w:b/>
              </w:rPr>
              <w:t>12</w:t>
            </w:r>
            <w:r>
              <w:rPr>
                <w:rFonts w:ascii="宋体" w:hAnsi="宋体" w:cs="宋体" w:eastAsia="宋体"/>
                <w:sz w:val="21"/>
                <w:b/>
              </w:rPr>
              <w:t>、单机试剂位：≥170个。</w:t>
            </w:r>
          </w:p>
          <w:p>
            <w:pPr>
              <w:pStyle w:val="null3"/>
            </w:pPr>
            <w:r>
              <w:rPr>
                <w:rFonts w:ascii="宋体" w:hAnsi="宋体" w:cs="宋体" w:eastAsia="宋体"/>
                <w:sz w:val="21"/>
              </w:rPr>
              <w:t>13</w:t>
            </w:r>
            <w:r>
              <w:rPr>
                <w:rFonts w:ascii="宋体" w:hAnsi="宋体" w:cs="宋体" w:eastAsia="宋体"/>
                <w:sz w:val="21"/>
              </w:rPr>
              <w:t>、急诊方式：急诊样本随时插入优先检测。</w:t>
            </w:r>
          </w:p>
          <w:p>
            <w:pPr>
              <w:pStyle w:val="null3"/>
            </w:pPr>
            <w:r>
              <w:rPr>
                <w:rFonts w:ascii="宋体" w:hAnsi="宋体" w:cs="宋体" w:eastAsia="宋体"/>
                <w:sz w:val="21"/>
              </w:rPr>
              <w:t>14</w:t>
            </w:r>
            <w:r>
              <w:rPr>
                <w:rFonts w:ascii="宋体" w:hAnsi="宋体" w:cs="宋体" w:eastAsia="宋体"/>
                <w:sz w:val="21"/>
              </w:rPr>
              <w:t>、反应盘反应杯：分离式反应盘，硬质玻璃反应杯永久性使用，不产生医疗废弃物（光径5mm）</w:t>
            </w:r>
          </w:p>
          <w:p>
            <w:pPr>
              <w:pStyle w:val="null3"/>
            </w:pPr>
            <w:r>
              <w:rPr>
                <w:rFonts w:ascii="宋体" w:hAnsi="宋体" w:cs="宋体" w:eastAsia="宋体"/>
                <w:sz w:val="21"/>
              </w:rPr>
              <w:t>15</w:t>
            </w:r>
            <w:r>
              <w:rPr>
                <w:rFonts w:ascii="宋体" w:hAnsi="宋体" w:cs="宋体" w:eastAsia="宋体"/>
                <w:sz w:val="21"/>
              </w:rPr>
              <w:t>、反应时间：约10分钟左右。</w:t>
            </w:r>
          </w:p>
          <w:p>
            <w:pPr>
              <w:pStyle w:val="null3"/>
            </w:pPr>
            <w:r>
              <w:rPr>
                <w:rFonts w:ascii="宋体" w:hAnsi="宋体" w:cs="宋体" w:eastAsia="宋体"/>
                <w:sz w:val="21"/>
              </w:rPr>
              <w:t>16</w:t>
            </w:r>
            <w:r>
              <w:rPr>
                <w:rFonts w:ascii="宋体" w:hAnsi="宋体" w:cs="宋体" w:eastAsia="宋体"/>
                <w:sz w:val="21"/>
              </w:rPr>
              <w:t>、温控方式：循环水浴，免维护使用，且无维护保养成本。</w:t>
            </w:r>
          </w:p>
          <w:p>
            <w:pPr>
              <w:pStyle w:val="null3"/>
            </w:pPr>
            <w:r>
              <w:rPr>
                <w:rFonts w:ascii="宋体" w:hAnsi="宋体" w:cs="宋体" w:eastAsia="宋体"/>
                <w:sz w:val="21"/>
              </w:rPr>
              <w:t>17</w:t>
            </w:r>
            <w:r>
              <w:rPr>
                <w:rFonts w:ascii="宋体" w:hAnsi="宋体" w:cs="宋体" w:eastAsia="宋体"/>
                <w:sz w:val="21"/>
              </w:rPr>
              <w:t>、恒温精度：±0.1℃。</w:t>
            </w:r>
          </w:p>
          <w:p>
            <w:pPr>
              <w:pStyle w:val="null3"/>
            </w:pPr>
            <w:r>
              <w:rPr>
                <w:rFonts w:ascii="宋体" w:hAnsi="宋体" w:cs="宋体" w:eastAsia="宋体"/>
                <w:sz w:val="21"/>
              </w:rPr>
              <w:t>18</w:t>
            </w:r>
            <w:r>
              <w:rPr>
                <w:rFonts w:ascii="宋体" w:hAnsi="宋体" w:cs="宋体" w:eastAsia="宋体"/>
                <w:sz w:val="21"/>
              </w:rPr>
              <w:t>、波长范围：360nm—800nm。</w:t>
            </w:r>
          </w:p>
          <w:p>
            <w:pPr>
              <w:pStyle w:val="null3"/>
            </w:pPr>
            <w:r>
              <w:rPr>
                <w:rFonts w:ascii="宋体" w:hAnsi="宋体" w:cs="宋体" w:eastAsia="宋体"/>
                <w:sz w:val="21"/>
              </w:rPr>
              <w:t>19</w:t>
            </w:r>
            <w:r>
              <w:rPr>
                <w:rFonts w:ascii="宋体" w:hAnsi="宋体" w:cs="宋体" w:eastAsia="宋体"/>
                <w:sz w:val="21"/>
              </w:rPr>
              <w:t>、测定波长：≥15个波长。</w:t>
            </w:r>
          </w:p>
          <w:p>
            <w:pPr>
              <w:pStyle w:val="null3"/>
            </w:pPr>
            <w:r>
              <w:rPr>
                <w:rFonts w:ascii="宋体" w:hAnsi="宋体" w:cs="宋体" w:eastAsia="宋体"/>
                <w:sz w:val="21"/>
              </w:rPr>
              <w:t>20</w:t>
            </w:r>
            <w:r>
              <w:rPr>
                <w:rFonts w:ascii="宋体" w:hAnsi="宋体" w:cs="宋体" w:eastAsia="宋体"/>
                <w:sz w:val="21"/>
              </w:rPr>
              <w:t>、光学系统：反应管直接测光方式，单波长、双波长测试。</w:t>
            </w:r>
          </w:p>
          <w:p>
            <w:pPr>
              <w:pStyle w:val="null3"/>
            </w:pPr>
            <w:r>
              <w:rPr>
                <w:rFonts w:ascii="宋体" w:hAnsi="宋体" w:cs="宋体" w:eastAsia="宋体"/>
                <w:sz w:val="21"/>
              </w:rPr>
              <w:t>21</w:t>
            </w:r>
            <w:r>
              <w:rPr>
                <w:rFonts w:ascii="宋体" w:hAnsi="宋体" w:cs="宋体" w:eastAsia="宋体"/>
                <w:sz w:val="21"/>
              </w:rPr>
              <w:t>、加样针：具备液面感应、碰撞保护、血凝块检测和防堵塞报警功能。</w:t>
            </w:r>
          </w:p>
          <w:p>
            <w:pPr>
              <w:pStyle w:val="null3"/>
            </w:pPr>
            <w:r>
              <w:rPr>
                <w:rFonts w:ascii="宋体" w:hAnsi="宋体" w:cs="宋体" w:eastAsia="宋体"/>
                <w:sz w:val="21"/>
              </w:rPr>
              <w:t>22</w:t>
            </w:r>
            <w:r>
              <w:rPr>
                <w:rFonts w:ascii="宋体" w:hAnsi="宋体" w:cs="宋体" w:eastAsia="宋体"/>
                <w:sz w:val="21"/>
              </w:rPr>
              <w:t>、操作系统：大屏幕触摸式彩色液晶显示器，触摸屏、鼠标、键盘三种操作方式。</w:t>
            </w:r>
          </w:p>
          <w:p>
            <w:pPr>
              <w:pStyle w:val="null3"/>
            </w:pPr>
            <w:r>
              <w:rPr>
                <w:rFonts w:ascii="宋体" w:hAnsi="宋体" w:cs="宋体" w:eastAsia="宋体"/>
                <w:sz w:val="21"/>
              </w:rPr>
              <w:t>23</w:t>
            </w:r>
            <w:r>
              <w:rPr>
                <w:rFonts w:ascii="宋体" w:hAnsi="宋体" w:cs="宋体" w:eastAsia="宋体"/>
                <w:sz w:val="21"/>
              </w:rPr>
              <w:t>、数据控制：主机系统配置双硬盘数据存储及备份。</w:t>
            </w:r>
          </w:p>
        </w:tc>
      </w:tr>
      <w:tr>
        <w:tc>
          <w:tcPr>
            <w:tcW w:type="dxa" w:w="2769"/>
          </w:tcPr>
          <w:p/>
        </w:tc>
        <w:tc>
          <w:tcPr>
            <w:tcW w:type="dxa" w:w="2769"/>
          </w:tcPr>
          <w:p>
            <w:pPr>
              <w:pStyle w:val="null3"/>
            </w:pPr>
            <w:r>
              <w:rPr/>
              <w:t>2</w:t>
            </w:r>
          </w:p>
        </w:tc>
        <w:tc>
          <w:tcPr>
            <w:tcW w:type="dxa" w:w="2769"/>
          </w:tcPr>
          <w:p>
            <w:pPr>
              <w:pStyle w:val="null3"/>
            </w:pPr>
            <w:r>
              <w:rPr>
                <w:rFonts w:ascii="宋体" w:hAnsi="宋体" w:cs="宋体" w:eastAsia="宋体"/>
                <w:sz w:val="21"/>
                <w:b/>
              </w:rPr>
              <w:t>（二）纯净水处理机（1台）</w:t>
            </w:r>
          </w:p>
          <w:p>
            <w:pPr>
              <w:pStyle w:val="null3"/>
              <w:spacing w:after="120"/>
            </w:pPr>
            <w:r>
              <w:rPr>
                <w:rFonts w:ascii="宋体" w:hAnsi="宋体" w:cs="宋体" w:eastAsia="宋体"/>
                <w:sz w:val="21"/>
              </w:rPr>
              <w:t>配置要求不低于以下参数要求：</w:t>
            </w:r>
          </w:p>
          <w:p>
            <w:pPr>
              <w:pStyle w:val="null3"/>
              <w:spacing w:after="120"/>
            </w:pPr>
            <w:r>
              <w:rPr>
                <w:rFonts w:ascii="宋体" w:hAnsi="宋体" w:cs="宋体" w:eastAsia="宋体"/>
                <w:sz w:val="21"/>
                <w:b/>
              </w:rPr>
              <w:t>技术指标及功能：</w:t>
            </w:r>
          </w:p>
          <w:p>
            <w:pPr>
              <w:pStyle w:val="null3"/>
              <w:spacing w:after="120"/>
            </w:pPr>
            <w:r>
              <w:rPr>
                <w:rFonts w:ascii="宋体" w:hAnsi="宋体" w:cs="宋体" w:eastAsia="宋体"/>
                <w:sz w:val="21"/>
              </w:rPr>
              <w:t>制水量≥80升/小时。</w:t>
            </w:r>
          </w:p>
        </w:tc>
      </w:tr>
      <w:tr>
        <w:tc>
          <w:tcPr>
            <w:tcW w:type="dxa" w:w="2769"/>
          </w:tcPr>
          <w:p/>
        </w:tc>
        <w:tc>
          <w:tcPr>
            <w:tcW w:type="dxa" w:w="2769"/>
          </w:tcPr>
          <w:p>
            <w:pPr>
              <w:pStyle w:val="null3"/>
            </w:pPr>
            <w:r>
              <w:rPr/>
              <w:t>3</w:t>
            </w:r>
          </w:p>
        </w:tc>
        <w:tc>
          <w:tcPr>
            <w:tcW w:type="dxa" w:w="2769"/>
          </w:tcPr>
          <w:p>
            <w:pPr>
              <w:pStyle w:val="null3"/>
            </w:pPr>
            <w:r>
              <w:rPr/>
              <w:t xml:space="preserve"> </w:t>
            </w:r>
          </w:p>
          <w:p>
            <w:pPr>
              <w:pStyle w:val="null3"/>
            </w:pPr>
            <w:r>
              <w:rPr>
                <w:rFonts w:ascii="宋体" w:hAnsi="宋体" w:cs="宋体" w:eastAsia="宋体"/>
                <w:sz w:val="21"/>
                <w:b/>
              </w:rPr>
              <w:t>（三）中文报告打印工作站（1套）</w:t>
            </w:r>
          </w:p>
          <w:p>
            <w:pPr>
              <w:pStyle w:val="null3"/>
              <w:spacing w:after="120"/>
            </w:pPr>
            <w:r>
              <w:rPr>
                <w:rFonts w:ascii="宋体" w:hAnsi="宋体" w:cs="宋体" w:eastAsia="宋体"/>
                <w:sz w:val="21"/>
              </w:rPr>
              <w:t>配置要求不低于以下参数要求：</w:t>
            </w:r>
          </w:p>
          <w:p>
            <w:pPr>
              <w:pStyle w:val="null3"/>
              <w:spacing w:after="120"/>
            </w:pPr>
            <w:r>
              <w:rPr>
                <w:rFonts w:ascii="宋体" w:hAnsi="宋体" w:cs="宋体" w:eastAsia="宋体"/>
                <w:sz w:val="21"/>
                <w:b/>
              </w:rPr>
              <w:t>技术指标及功能：</w:t>
            </w:r>
          </w:p>
          <w:p>
            <w:pPr>
              <w:pStyle w:val="null3"/>
            </w:pPr>
            <w:r>
              <w:rPr>
                <w:rFonts w:ascii="宋体" w:hAnsi="宋体" w:cs="宋体" w:eastAsia="宋体"/>
                <w:sz w:val="21"/>
                <w:color w:val="000000"/>
              </w:rPr>
              <w:t>1</w:t>
            </w:r>
            <w:r>
              <w:rPr>
                <w:rFonts w:ascii="宋体" w:hAnsi="宋体" w:cs="宋体" w:eastAsia="宋体"/>
                <w:sz w:val="21"/>
                <w:color w:val="000000"/>
              </w:rPr>
              <w:t>、商用电脑，≥19寸液晶显示器，中文软件，激光打印机。</w:t>
            </w:r>
          </w:p>
          <w:p>
            <w:pPr>
              <w:pStyle w:val="null3"/>
              <w:ind w:right="-345"/>
            </w:pPr>
            <w:r>
              <w:rPr>
                <w:rFonts w:ascii="宋体" w:hAnsi="宋体" w:cs="宋体" w:eastAsia="宋体"/>
                <w:sz w:val="21"/>
                <w:color w:val="000000"/>
              </w:rPr>
              <w:t>2</w:t>
            </w:r>
            <w:r>
              <w:rPr>
                <w:rFonts w:ascii="宋体" w:hAnsi="宋体" w:cs="宋体" w:eastAsia="宋体"/>
                <w:sz w:val="21"/>
                <w:color w:val="000000"/>
              </w:rPr>
              <w:t>、电脑配置：Win11操作系统,CPU双盒（i7及以上），内存≥8G,硬盘:≥500G</w:t>
            </w:r>
          </w:p>
          <w:p>
            <w:pPr>
              <w:pStyle w:val="null3"/>
              <w:ind w:right="-345"/>
            </w:pPr>
            <w:r>
              <w:rPr>
                <w:rFonts w:ascii="宋体" w:hAnsi="宋体" w:cs="宋体" w:eastAsia="宋体"/>
                <w:sz w:val="21"/>
                <w:color w:val="000000"/>
              </w:rPr>
              <w:t>3</w:t>
            </w:r>
            <w:r>
              <w:rPr>
                <w:rFonts w:ascii="宋体" w:hAnsi="宋体" w:cs="宋体" w:eastAsia="宋体"/>
                <w:sz w:val="21"/>
                <w:color w:val="000000"/>
              </w:rPr>
              <w:t>、系统功能：自由设定、中文操作及报告打印。</w:t>
            </w:r>
          </w:p>
        </w:tc>
      </w:tr>
      <w:tr>
        <w:tc>
          <w:tcPr>
            <w:tcW w:type="dxa" w:w="2769"/>
          </w:tcPr>
          <w:p/>
        </w:tc>
        <w:tc>
          <w:tcPr>
            <w:tcW w:type="dxa" w:w="2769"/>
          </w:tcPr>
          <w:p>
            <w:pPr>
              <w:pStyle w:val="null3"/>
            </w:pPr>
            <w:r>
              <w:rPr/>
              <w:t>4</w:t>
            </w:r>
          </w:p>
        </w:tc>
        <w:tc>
          <w:tcPr>
            <w:tcW w:type="dxa" w:w="2769"/>
          </w:tcPr>
          <w:p>
            <w:pPr>
              <w:pStyle w:val="null3"/>
            </w:pPr>
            <w:r>
              <w:rPr>
                <w:rFonts w:ascii="宋体" w:hAnsi="宋体" w:cs="宋体" w:eastAsia="宋体"/>
                <w:sz w:val="21"/>
                <w:b/>
              </w:rPr>
              <w:t>（四）稳压电源（1台）</w:t>
            </w:r>
          </w:p>
          <w:p>
            <w:pPr>
              <w:pStyle w:val="null3"/>
            </w:pPr>
            <w:r>
              <w:rPr>
                <w:rFonts w:ascii="宋体" w:hAnsi="宋体" w:cs="宋体" w:eastAsia="宋体"/>
                <w:sz w:val="21"/>
              </w:rPr>
              <w:t>配置要求不低于以下参数要求：</w:t>
            </w:r>
          </w:p>
          <w:p>
            <w:pPr>
              <w:pStyle w:val="null3"/>
            </w:pPr>
            <w:r>
              <w:rPr>
                <w:rFonts w:ascii="宋体" w:hAnsi="宋体" w:cs="宋体" w:eastAsia="宋体"/>
                <w:sz w:val="21"/>
                <w:b/>
              </w:rPr>
              <w:t>技术指标及功能：</w:t>
            </w:r>
          </w:p>
          <w:p>
            <w:pPr>
              <w:pStyle w:val="null3"/>
            </w:pPr>
            <w:r>
              <w:rPr>
                <w:rFonts w:ascii="宋体" w:hAnsi="宋体" w:cs="宋体" w:eastAsia="宋体"/>
                <w:sz w:val="21"/>
              </w:rPr>
              <w:t>功率≥6KW，断电延时≥15分钟</w:t>
            </w:r>
          </w:p>
          <w:p>
            <w:pPr>
              <w:pStyle w:val="null3"/>
            </w:pPr>
            <w:r>
              <w:rPr/>
              <w:t xml:space="preserve"> </w:t>
            </w:r>
          </w:p>
        </w:tc>
      </w:tr>
      <w:tr>
        <w:tc>
          <w:tcPr>
            <w:tcW w:type="dxa" w:w="2769"/>
          </w:tcPr>
          <w:p/>
        </w:tc>
        <w:tc>
          <w:tcPr>
            <w:tcW w:type="dxa" w:w="2769"/>
          </w:tcPr>
          <w:p>
            <w:pPr>
              <w:pStyle w:val="null3"/>
            </w:pPr>
            <w:r>
              <w:rPr/>
              <w:t>5</w:t>
            </w:r>
          </w:p>
        </w:tc>
        <w:tc>
          <w:tcPr>
            <w:tcW w:type="dxa" w:w="2769"/>
          </w:tcPr>
          <w:p>
            <w:pPr>
              <w:pStyle w:val="null3"/>
            </w:pPr>
            <w:r>
              <w:rPr>
                <w:rFonts w:ascii="宋体" w:hAnsi="宋体" w:cs="宋体" w:eastAsia="宋体"/>
                <w:sz w:val="21"/>
                <w:b/>
              </w:rPr>
              <w:t>（五）其他商务要求：</w:t>
            </w:r>
          </w:p>
          <w:p>
            <w:pPr>
              <w:pStyle w:val="null3"/>
            </w:pPr>
            <w:r>
              <w:rPr>
                <w:rFonts w:ascii="宋体" w:hAnsi="宋体" w:cs="宋体" w:eastAsia="宋体"/>
                <w:sz w:val="21"/>
                <w:b/>
              </w:rPr>
              <w:t>（1）售后服务保障</w:t>
            </w:r>
          </w:p>
          <w:p>
            <w:pPr>
              <w:pStyle w:val="null3"/>
              <w:ind w:left="120"/>
            </w:pPr>
            <w:r>
              <w:rPr>
                <w:rFonts w:ascii="宋体" w:hAnsi="宋体" w:cs="宋体" w:eastAsia="宋体"/>
                <w:sz w:val="21"/>
                <w:color w:val="000000"/>
              </w:rPr>
              <w:t>1</w:t>
            </w:r>
            <w:r>
              <w:rPr>
                <w:rFonts w:ascii="宋体" w:hAnsi="宋体" w:cs="宋体" w:eastAsia="宋体"/>
                <w:sz w:val="21"/>
                <w:color w:val="000000"/>
              </w:rPr>
              <w:t>、操作培训：装机现场免费培训操作人员可独立熟练操作；并免费提供3-5名工作人员到厂家培训、学习的机会。</w:t>
            </w:r>
          </w:p>
          <w:p>
            <w:pPr>
              <w:pStyle w:val="null3"/>
              <w:ind w:left="90"/>
            </w:pPr>
            <w:r>
              <w:rPr>
                <w:rFonts w:ascii="宋体" w:hAnsi="宋体" w:cs="宋体" w:eastAsia="宋体"/>
                <w:sz w:val="21"/>
                <w:color w:val="000000"/>
              </w:rPr>
              <w:t>2</w:t>
            </w:r>
            <w:r>
              <w:rPr>
                <w:rFonts w:ascii="宋体" w:hAnsi="宋体" w:cs="宋体" w:eastAsia="宋体"/>
                <w:sz w:val="21"/>
                <w:color w:val="000000"/>
              </w:rPr>
              <w:t>、售后服务：保修≥3年，终身维修，十年以上配件供应服务，一小时响应，六小时现场处置。</w:t>
            </w:r>
          </w:p>
          <w:p>
            <w:pPr>
              <w:pStyle w:val="null3"/>
            </w:pPr>
            <w:r>
              <w:rPr>
                <w:rFonts w:ascii="宋体" w:hAnsi="宋体" w:cs="宋体" w:eastAsia="宋体"/>
                <w:sz w:val="21"/>
                <w:b/>
              </w:rPr>
              <w:t>（2）技术资料及培训（中标供应商提供）</w:t>
            </w:r>
          </w:p>
          <w:p>
            <w:pPr>
              <w:pStyle w:val="null3"/>
            </w:pPr>
            <w:r>
              <w:rPr>
                <w:rFonts w:ascii="宋体" w:hAnsi="宋体" w:cs="宋体" w:eastAsia="宋体"/>
                <w:sz w:val="21"/>
                <w:color w:val="000000"/>
              </w:rPr>
              <w:t>1</w:t>
            </w:r>
            <w:r>
              <w:rPr>
                <w:rFonts w:ascii="宋体" w:hAnsi="宋体" w:cs="宋体" w:eastAsia="宋体"/>
                <w:sz w:val="21"/>
                <w:color w:val="000000"/>
              </w:rPr>
              <w:t>、提供设备安装场地环境标准文件及产品中英文使用说明书。</w:t>
            </w:r>
          </w:p>
          <w:p>
            <w:pPr>
              <w:pStyle w:val="null3"/>
            </w:pPr>
            <w:r>
              <w:rPr>
                <w:rFonts w:ascii="宋体" w:hAnsi="宋体" w:cs="宋体" w:eastAsia="宋体"/>
                <w:sz w:val="21"/>
                <w:color w:val="000000"/>
              </w:rPr>
              <w:t>2</w:t>
            </w:r>
            <w:r>
              <w:rPr>
                <w:rFonts w:ascii="宋体" w:hAnsi="宋体" w:cs="宋体" w:eastAsia="宋体"/>
                <w:sz w:val="21"/>
                <w:color w:val="000000"/>
              </w:rPr>
              <w:t>、提供设备全部技术资料文件及全部应用软件及光盘备份。</w:t>
            </w:r>
          </w:p>
          <w:p>
            <w:pPr>
              <w:pStyle w:val="null3"/>
            </w:pPr>
            <w:r>
              <w:rPr>
                <w:rFonts w:ascii="宋体" w:hAnsi="宋体" w:cs="宋体" w:eastAsia="宋体"/>
                <w:sz w:val="21"/>
                <w:color w:val="000000"/>
              </w:rPr>
              <w:t>3</w:t>
            </w:r>
            <w:r>
              <w:rPr>
                <w:rFonts w:ascii="宋体" w:hAnsi="宋体" w:cs="宋体" w:eastAsia="宋体"/>
                <w:sz w:val="21"/>
                <w:color w:val="000000"/>
              </w:rPr>
              <w:t>、各项参数均为设备重要技术指标配置，虚假应标责任自负。</w:t>
            </w:r>
          </w:p>
          <w:p>
            <w:pPr>
              <w:pStyle w:val="null3"/>
              <w:spacing w:after="120"/>
            </w:pPr>
            <w:r>
              <w:rPr>
                <w:rFonts w:ascii="宋体" w:hAnsi="宋体" w:cs="宋体" w:eastAsia="宋体"/>
                <w:sz w:val="21"/>
                <w:b/>
              </w:rPr>
              <w:t>（3）服务要求</w:t>
            </w:r>
          </w:p>
          <w:p>
            <w:pPr>
              <w:pStyle w:val="null3"/>
            </w:pPr>
            <w:r>
              <w:rPr>
                <w:rFonts w:ascii="宋体" w:hAnsi="宋体" w:cs="宋体" w:eastAsia="宋体"/>
                <w:sz w:val="21"/>
              </w:rPr>
              <w:t>1.1</w:t>
            </w:r>
            <w:r>
              <w:rPr>
                <w:rFonts w:ascii="宋体" w:hAnsi="宋体" w:cs="宋体" w:eastAsia="宋体"/>
                <w:sz w:val="21"/>
              </w:rPr>
              <w:t>质保期内：</w:t>
            </w:r>
          </w:p>
          <w:p>
            <w:pPr>
              <w:pStyle w:val="null3"/>
            </w:pPr>
            <w:r>
              <w:rPr>
                <w:rFonts w:ascii="宋体" w:hAnsi="宋体" w:cs="宋体" w:eastAsia="宋体"/>
                <w:sz w:val="21"/>
              </w:rPr>
              <w:t>1</w:t>
            </w:r>
            <w:r>
              <w:rPr>
                <w:rFonts w:ascii="宋体" w:hAnsi="宋体" w:cs="宋体" w:eastAsia="宋体"/>
                <w:sz w:val="21"/>
              </w:rPr>
              <w:t>、发生质量（包括软件部分）问题，接到甲方通知后，应于当日派出专业的维修人员到现场进行检测维修。发生的全部费用由乙方承担，若需送回生产厂，乙方承担往返费用；</w:t>
            </w:r>
          </w:p>
          <w:p>
            <w:pPr>
              <w:pStyle w:val="null3"/>
            </w:pPr>
            <w:r>
              <w:rPr>
                <w:rFonts w:ascii="宋体" w:hAnsi="宋体" w:cs="宋体" w:eastAsia="宋体"/>
                <w:sz w:val="21"/>
              </w:rPr>
              <w:t>2</w:t>
            </w:r>
            <w:r>
              <w:rPr>
                <w:rFonts w:ascii="宋体" w:hAnsi="宋体" w:cs="宋体" w:eastAsia="宋体"/>
                <w:sz w:val="21"/>
              </w:rPr>
              <w:t>、每月派技术人员到现场走访，给予检查维护；</w:t>
            </w:r>
          </w:p>
          <w:p>
            <w:pPr>
              <w:pStyle w:val="null3"/>
            </w:pPr>
            <w:r>
              <w:rPr>
                <w:rFonts w:ascii="宋体" w:hAnsi="宋体" w:cs="宋体" w:eastAsia="宋体"/>
                <w:sz w:val="21"/>
              </w:rPr>
              <w:t>3</w:t>
            </w:r>
            <w:r>
              <w:rPr>
                <w:rFonts w:ascii="宋体" w:hAnsi="宋体" w:cs="宋体" w:eastAsia="宋体"/>
                <w:sz w:val="21"/>
              </w:rPr>
              <w:t>、排除故障的期限不得超过48小时。否则甲方有权指定第三方维修，维修费用由乙方承担。甲方可在货款和其他应付乙方款项中扣除。</w:t>
            </w:r>
          </w:p>
          <w:p>
            <w:pPr>
              <w:pStyle w:val="null3"/>
            </w:pPr>
            <w:r>
              <w:rPr>
                <w:rFonts w:ascii="宋体" w:hAnsi="宋体" w:cs="宋体" w:eastAsia="宋体"/>
                <w:sz w:val="21"/>
              </w:rPr>
              <w:t>4</w:t>
            </w:r>
            <w:r>
              <w:rPr>
                <w:rFonts w:ascii="宋体" w:hAnsi="宋体" w:cs="宋体" w:eastAsia="宋体"/>
                <w:sz w:val="21"/>
              </w:rPr>
              <w:t>、物品在质保期内，如果出现两次以上因质量问题引起的故障，乙方公司负责更换同类新的物品。</w:t>
            </w:r>
          </w:p>
          <w:p>
            <w:pPr>
              <w:pStyle w:val="null3"/>
            </w:pPr>
            <w:r>
              <w:rPr>
                <w:rFonts w:ascii="宋体" w:hAnsi="宋体" w:cs="宋体" w:eastAsia="宋体"/>
                <w:sz w:val="21"/>
              </w:rPr>
              <w:t>5</w:t>
            </w:r>
            <w:r>
              <w:rPr>
                <w:rFonts w:ascii="宋体" w:hAnsi="宋体" w:cs="宋体" w:eastAsia="宋体"/>
                <w:sz w:val="21"/>
              </w:rPr>
              <w:t>、如因乙方物品质量问题，导致甲方损失，乙方应予以赔偿。</w:t>
            </w:r>
          </w:p>
          <w:p>
            <w:pPr>
              <w:pStyle w:val="null3"/>
            </w:pPr>
            <w:r>
              <w:rPr>
                <w:rFonts w:ascii="宋体" w:hAnsi="宋体" w:cs="宋体" w:eastAsia="宋体"/>
                <w:sz w:val="21"/>
              </w:rPr>
              <w:t>1.2</w:t>
            </w:r>
            <w:r>
              <w:rPr>
                <w:rFonts w:ascii="宋体" w:hAnsi="宋体" w:cs="宋体" w:eastAsia="宋体"/>
                <w:sz w:val="21"/>
              </w:rPr>
              <w:t>、保修期结束前，进行系统测试，全面保养维护，确保正常运行。</w:t>
            </w:r>
          </w:p>
          <w:p>
            <w:pPr>
              <w:pStyle w:val="null3"/>
            </w:pPr>
            <w:r>
              <w:rPr>
                <w:rFonts w:ascii="宋体" w:hAnsi="宋体" w:cs="宋体" w:eastAsia="宋体"/>
                <w:sz w:val="21"/>
              </w:rPr>
              <w:t>1.3</w:t>
            </w:r>
            <w:r>
              <w:rPr>
                <w:rFonts w:ascii="宋体" w:hAnsi="宋体" w:cs="宋体" w:eastAsia="宋体"/>
                <w:sz w:val="21"/>
              </w:rPr>
              <w:t>、保修期结束后，厂家对设备终身维护，维修只能按市场最低价收取配件费，人工服务费全免，并提供技术支持。</w:t>
            </w:r>
          </w:p>
          <w:p>
            <w:pPr>
              <w:pStyle w:val="null3"/>
            </w:pPr>
            <w:r>
              <w:rPr/>
              <w:t xml:space="preserve"> </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交货期：20-30个日历日以内（一月内完成安装培训工作）</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 xml:space="preserve"> 验收合格后</w:t>
      </w:r>
      <w:r>
        <w:rPr/>
        <w:t xml:space="preserve"> ，达到付款条件起 </w:t>
      </w:r>
      <w:r>
        <w:rPr/>
        <w:t>30</w:t>
      </w:r>
      <w:r>
        <w:rPr/>
        <w:t xml:space="preserve"> 日内，支付合同总金额的 </w:t>
      </w:r>
      <w:r>
        <w:rPr/>
        <w:t>90.00</w:t>
      </w:r>
      <w:r>
        <w:rPr/>
        <w:t>%。</w:t>
      </w:r>
    </w:p>
    <w:p>
      <w:pPr>
        <w:pStyle w:val="null3"/>
      </w:pPr>
      <w:r>
        <w:rPr/>
        <w:t>采购包1：</w:t>
      </w:r>
      <w:r>
        <w:rPr/>
        <w:t xml:space="preserve"> 付款条件说明： </w:t>
      </w:r>
      <w:r>
        <w:rPr/>
        <w:t>首次支付后三年后</w:t>
      </w:r>
      <w:r>
        <w:rPr/>
        <w:t xml:space="preserve"> ，达到付款条件起 </w:t>
      </w:r>
      <w:r>
        <w:rPr/>
        <w:t>30</w:t>
      </w:r>
      <w:r>
        <w:rPr/>
        <w:t xml:space="preserve"> 日内，支付合同总金额的 </w:t>
      </w:r>
      <w:r>
        <w:rPr/>
        <w:t>10.00</w:t>
      </w:r>
      <w:r>
        <w:rPr/>
        <w:t>%。</w:t>
      </w:r>
    </w:p>
    <w:p>
      <w:pPr>
        <w:pStyle w:val="null3"/>
        <w:outlineLvl w:val="3"/>
      </w:pPr>
      <w:r>
        <w:rPr>
          <w:sz w:val="24"/>
          <w:b/>
        </w:rPr>
        <w:t>3.4.5验收标准和方法</w:t>
      </w:r>
    </w:p>
    <w:p>
      <w:pPr>
        <w:pStyle w:val="null3"/>
      </w:pPr>
      <w:r>
        <w:rPr/>
        <w:t>采购包1：</w:t>
      </w:r>
    </w:p>
    <w:p>
      <w:pPr>
        <w:pStyle w:val="null3"/>
      </w:pPr>
      <w:r>
        <w:rPr/>
        <w:t>（一）货物到达甲方指定地点后，甲方根据合同要求，进行外观验收，确认产地、规格、型号和数量。甲乙双方需在约定的时间和地点共同开箱检验。 （二）货物安装、调试并正常运行后，由乙方进行自检，合格后能够正常使用时书面通知甲方。 （三）甲方确认接收乙方的自检内容后，进行验收，验收合格后，由乙方对甲方操作人员进行培训，完成培训后，甲方填写验收单作为对货物的最终认可。 （四）乙方向甲方提交货物实施过程中的所有资料，以便甲方日后管理和维护。 （五）验收依据： 1、本合同及合同附件。 2、国家相应的标准、规范。 3、招标文件、投标文件、澄清表（函）。</w:t>
      </w:r>
    </w:p>
    <w:p>
      <w:pPr>
        <w:pStyle w:val="null3"/>
        <w:outlineLvl w:val="3"/>
      </w:pPr>
      <w:r>
        <w:rPr>
          <w:sz w:val="24"/>
          <w:b/>
        </w:rPr>
        <w:t>3.4.6包装方式及运输</w:t>
      </w:r>
    </w:p>
    <w:p>
      <w:pPr>
        <w:pStyle w:val="null3"/>
      </w:pPr>
      <w:r>
        <w:rPr/>
        <w:t>采购包1：</w:t>
      </w:r>
    </w:p>
    <w:p>
      <w:pPr>
        <w:pStyle w:val="null3"/>
      </w:pPr>
      <w:r>
        <w:rPr/>
        <w:t>包装方式：涉及的商品包装和快递包装，均应符合《商品包装政府采购需求标准（试行）》《快递包装政府采购需求标准（试行）》的要求，包装应适应于远距离运输、防潮、防震、防锈和防野蛮装卸，以确保货物安全无损运抵指定地点。 运输： （一）运输由乙方负责，运杂费已包含在合同总价内，包括从货物供应地点至交货地点所含的运输费、装卸费、仓储费、保险费等。 （二）运输方式由乙方自行选择，但必须保证按期交货。 （三）因运输产生的一切风险及质量问题均由乙方承担。</w:t>
      </w:r>
    </w:p>
    <w:p>
      <w:pPr>
        <w:pStyle w:val="null3"/>
        <w:outlineLvl w:val="3"/>
      </w:pPr>
      <w:r>
        <w:rPr>
          <w:sz w:val="24"/>
          <w:b/>
        </w:rPr>
        <w:t>3.4.7质量保修范围和保修期</w:t>
      </w:r>
    </w:p>
    <w:p>
      <w:pPr>
        <w:pStyle w:val="null3"/>
      </w:pPr>
      <w:r>
        <w:rPr/>
        <w:t>采购包1：</w:t>
      </w:r>
    </w:p>
    <w:p>
      <w:pPr>
        <w:pStyle w:val="null3"/>
      </w:pPr>
      <w:r>
        <w:rPr/>
        <w:t>不少于3年。</w:t>
      </w:r>
    </w:p>
    <w:p>
      <w:pPr>
        <w:pStyle w:val="null3"/>
        <w:outlineLvl w:val="3"/>
      </w:pPr>
      <w:r>
        <w:rPr>
          <w:sz w:val="24"/>
          <w:b/>
        </w:rPr>
        <w:t>3.4.8违约责任与解决争议的方法</w:t>
      </w:r>
    </w:p>
    <w:p>
      <w:pPr>
        <w:pStyle w:val="null3"/>
      </w:pPr>
      <w:r>
        <w:rPr/>
        <w:t>采购包1：</w:t>
      </w:r>
    </w:p>
    <w:p>
      <w:pPr>
        <w:pStyle w:val="null3"/>
      </w:pPr>
      <w:r>
        <w:rPr/>
        <w:t>1、按《中华人民共和国政府采购法》、《中华人民共和国民法典》 中的相关条款执行。 2、未按合同要求提供货物或质量不能满足谈判技术要求，乙方必须无条件更换，提高技术，完善质量，否则，甲方会同鉴证方有权终止合同，并对乙方的违约行为报监管机构进行相应的处罚。 3、交货期每超过一天，扣除乙方合同总价款的 1 ‰。在卖方违约的情况下，买方报告西安市政府采购管理处后，有权终止合同，并依法向卖方进行索赔。 具体详见合同条款</w:t>
      </w:r>
    </w:p>
    <w:p>
      <w:pPr>
        <w:pStyle w:val="null3"/>
        <w:jc w:val="left"/>
        <w:outlineLvl w:val="2"/>
      </w:pPr>
      <w:r>
        <w:rPr>
          <w:sz w:val="28"/>
          <w:b/>
        </w:rPr>
        <w:t>3.5其他要求</w:t>
      </w:r>
    </w:p>
    <w:p>
      <w:pPr>
        <w:pStyle w:val="null3"/>
      </w:pPr>
      <w:r>
        <w:rPr/>
        <w:t>1.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2.本项目非专门面向中小企业采购。 3.本项目核心产品为： 全自动生化分析仪。提供相同品牌任一核心产品且通过资格审查、符合性审查的不同供应商参加同一合同项下采购项目的，按一家供应商计算，评审后得分最高的同品牌供应商获得成交人推荐资格；评审得分相同的，由评标委员会确定评审因的量化指标评审得分最高的一个供应商获得中标候选人推荐资格，其他同品牌供应商不作为中标候选人。 4.为顺利推进政府采购电子化交易平台试点应用工作，供应商需要在线提交所有通过电子化交易平台实施的政府采购项目的投标文件，同时，线下提交纸质投标文件正本一份、副本二份，电子版本一份（U盘存储，电子版须为与上传至电子化交易系统内容一致的签章完成的PDF版文件）；若正本和副本不符，以正本为准。投标文件，正、副本分别各自装订成册密封，电子版密封在正本中。在封口处加盖供应商公章。 5.需要落实的政府采购政策：1）《国务院办公厅关于建立政府强制采购节能产品制度的通知》（国办发〔2007〕51号）； 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09）《关于扩大政府采购支持绿色建材促进建筑品质提升政策实施范围的通知》（财库〔2022〕35号）。</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五、资格审查证明文件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五、资格审查证明文件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八、承诺书</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法人或者其他组织提供营业执照等证明文件，自然人提供身份证件，供应商需在项目电子化交易系统中按要求上传相应证明文件</w:t>
            </w:r>
          </w:p>
        </w:tc>
        <w:tc>
          <w:tcPr>
            <w:tcW w:type="dxa" w:w="1661"/>
          </w:tcPr>
          <w:p>
            <w:pPr>
              <w:pStyle w:val="null3"/>
            </w:pPr>
            <w:r>
              <w:rPr/>
              <w:t>五、资格审查证明文件</w:t>
            </w:r>
          </w:p>
        </w:tc>
      </w:tr>
      <w:tr>
        <w:tc>
          <w:tcPr>
            <w:tcW w:type="dxa" w:w="831"/>
          </w:tcPr>
          <w:p>
            <w:pPr>
              <w:pStyle w:val="null3"/>
            </w:pPr>
            <w:r>
              <w:rPr/>
              <w:t>2</w:t>
            </w:r>
          </w:p>
        </w:tc>
        <w:tc>
          <w:tcPr>
            <w:tcW w:type="dxa" w:w="2492"/>
          </w:tcPr>
          <w:p>
            <w:pPr>
              <w:pStyle w:val="null3"/>
            </w:pPr>
            <w:r>
              <w:rPr/>
              <w:t>税收缴纳凭证及社会保险缴纳的凭证</w:t>
            </w:r>
          </w:p>
        </w:tc>
        <w:tc>
          <w:tcPr>
            <w:tcW w:type="dxa" w:w="3322"/>
          </w:tcPr>
          <w:p>
            <w:pPr>
              <w:pStyle w:val="null3"/>
            </w:pPr>
            <w:r>
              <w:rPr/>
              <w:t>供应商在本项目投标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t>五、资格审查证明文件</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供应商2022年或2023年经审计的财务报告或开户银行出具的资信证明或政府采购专业担保机构出具的投标担保函，（事业单位可不提供）供应商需在项目电子化交易系统中按要求上传相应证明文件；</w:t>
            </w:r>
          </w:p>
        </w:tc>
        <w:tc>
          <w:tcPr>
            <w:tcW w:type="dxa" w:w="1661"/>
          </w:tcPr>
          <w:p>
            <w:pPr>
              <w:pStyle w:val="null3"/>
            </w:pPr>
            <w:r>
              <w:rPr/>
              <w:t>五、资格审查证明文件</w:t>
            </w:r>
          </w:p>
        </w:tc>
      </w:tr>
      <w:tr>
        <w:tc>
          <w:tcPr>
            <w:tcW w:type="dxa" w:w="831"/>
          </w:tcPr>
          <w:p>
            <w:pPr>
              <w:pStyle w:val="null3"/>
            </w:pPr>
            <w:r>
              <w:rPr/>
              <w:t>4</w:t>
            </w:r>
          </w:p>
        </w:tc>
        <w:tc>
          <w:tcPr>
            <w:tcW w:type="dxa" w:w="2492"/>
          </w:tcPr>
          <w:p>
            <w:pPr>
              <w:pStyle w:val="null3"/>
            </w:pPr>
            <w:r>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t>五、资格审查证明文件</w:t>
            </w:r>
          </w:p>
        </w:tc>
      </w:tr>
      <w:tr>
        <w:tc>
          <w:tcPr>
            <w:tcW w:type="dxa" w:w="831"/>
          </w:tcPr>
          <w:p>
            <w:pPr>
              <w:pStyle w:val="null3"/>
            </w:pPr>
            <w:r>
              <w:rPr/>
              <w:t>5</w:t>
            </w:r>
          </w:p>
        </w:tc>
        <w:tc>
          <w:tcPr>
            <w:tcW w:type="dxa" w:w="2492"/>
          </w:tcPr>
          <w:p>
            <w:pPr>
              <w:pStyle w:val="null3"/>
            </w:pPr>
            <w:r>
              <w:rPr/>
              <w:t>履行合同所必需的设备和专业技术能力书面声明函</w:t>
            </w:r>
          </w:p>
        </w:tc>
        <w:tc>
          <w:tcPr>
            <w:tcW w:type="dxa" w:w="3322"/>
          </w:tcPr>
          <w:p>
            <w:pPr>
              <w:pStyle w:val="null3"/>
            </w:pPr>
            <w:r>
              <w:rPr/>
              <w:t>具有履行合同所必需的设备和专业技术能力书面声明函，供应商需在项目电子化交易系统中按要求上传相应证明文件并进行电子签章。</w:t>
            </w:r>
          </w:p>
        </w:tc>
        <w:tc>
          <w:tcPr>
            <w:tcW w:type="dxa" w:w="1661"/>
          </w:tcPr>
          <w:p>
            <w:pPr>
              <w:pStyle w:val="null3"/>
            </w:pPr>
            <w:r>
              <w:rPr/>
              <w:t>五、资格审查证明文件</w:t>
            </w:r>
          </w:p>
        </w:tc>
      </w:tr>
      <w:tr>
        <w:tc>
          <w:tcPr>
            <w:tcW w:type="dxa" w:w="831"/>
          </w:tcPr>
          <w:p>
            <w:pPr>
              <w:pStyle w:val="null3"/>
            </w:pPr>
            <w:r>
              <w:rPr/>
              <w:t>6</w:t>
            </w:r>
          </w:p>
        </w:tc>
        <w:tc>
          <w:tcPr>
            <w:tcW w:type="dxa" w:w="2492"/>
          </w:tcPr>
          <w:p>
            <w:pPr>
              <w:pStyle w:val="null3"/>
            </w:pPr>
            <w:r>
              <w:rPr/>
              <w:t>投标产品纳入医疗器械管理的，提供供应商的医疗器械经营许可证或医疗器械经营备案凭证。（未纳入医疗器械管理的可不提供）</w:t>
            </w:r>
          </w:p>
        </w:tc>
        <w:tc>
          <w:tcPr>
            <w:tcW w:type="dxa" w:w="3322"/>
          </w:tcPr>
          <w:p>
            <w:pPr>
              <w:pStyle w:val="null3"/>
            </w:pPr>
            <w:r>
              <w:rPr/>
              <w:t>投标产品纳入医疗器械管理的，提供供应商的医疗器械经营许可证或医疗器械经营备案凭证。（未纳入医疗器械管理的可不提供），供应商需在项目电子化交易系统中按要求上传相应证明文件并进行电子签章。</w:t>
            </w:r>
          </w:p>
        </w:tc>
        <w:tc>
          <w:tcPr>
            <w:tcW w:type="dxa" w:w="1661"/>
          </w:tcPr>
          <w:p>
            <w:pPr>
              <w:pStyle w:val="null3"/>
            </w:pPr>
            <w:r>
              <w:rPr/>
              <w:t>五、资格审查证明文件</w:t>
            </w:r>
          </w:p>
        </w:tc>
      </w:tr>
      <w:tr>
        <w:tc>
          <w:tcPr>
            <w:tcW w:type="dxa" w:w="831"/>
          </w:tcPr>
          <w:p>
            <w:pPr>
              <w:pStyle w:val="null3"/>
            </w:pPr>
            <w:r>
              <w:rPr/>
              <w:t>7</w:t>
            </w:r>
          </w:p>
        </w:tc>
        <w:tc>
          <w:tcPr>
            <w:tcW w:type="dxa" w:w="2492"/>
          </w:tcPr>
          <w:p>
            <w:pPr>
              <w:pStyle w:val="null3"/>
            </w:pPr>
            <w:r>
              <w:rPr/>
              <w:t>投标产品纳入医疗器械管理的，提供投标产品的医疗器械注册证或医疗器械备案凭证。（未纳入医疗器械管理的可不提供）</w:t>
            </w:r>
          </w:p>
        </w:tc>
        <w:tc>
          <w:tcPr>
            <w:tcW w:type="dxa" w:w="3322"/>
          </w:tcPr>
          <w:p>
            <w:pPr>
              <w:pStyle w:val="null3"/>
            </w:pPr>
            <w:r>
              <w:rPr/>
              <w:t>投标产品纳入医疗器械管理的，提供投标产品的医疗器械注册证或医疗器械备案凭证。（未纳入医疗器械管理的可不提供），供应商需在项目电子化交易系统中按要求上传相应证明文件并进行电子签章。</w:t>
            </w:r>
          </w:p>
        </w:tc>
        <w:tc>
          <w:tcPr>
            <w:tcW w:type="dxa" w:w="1661"/>
          </w:tcPr>
          <w:p>
            <w:pPr>
              <w:pStyle w:val="null3"/>
            </w:pPr>
            <w:r>
              <w:rPr/>
              <w:t>五、资格审查证明文件</w:t>
            </w:r>
          </w:p>
        </w:tc>
      </w:tr>
      <w:tr>
        <w:tc>
          <w:tcPr>
            <w:tcW w:type="dxa" w:w="831"/>
          </w:tcPr>
          <w:p>
            <w:pPr>
              <w:pStyle w:val="null3"/>
            </w:pPr>
            <w:r>
              <w:rPr/>
              <w:t>8</w:t>
            </w:r>
          </w:p>
        </w:tc>
        <w:tc>
          <w:tcPr>
            <w:tcW w:type="dxa" w:w="2492"/>
          </w:tcPr>
          <w:p>
            <w:pPr>
              <w:pStyle w:val="null3"/>
            </w:pPr>
            <w:r>
              <w:rPr/>
              <w:t>投标产品纳入医疗器械管理的，提供投标产品制造商的营业执照、医疗器械生产许可证或医疗器械生产备案凭证（未纳入医疗器械管理的可不提供）。</w:t>
            </w:r>
          </w:p>
        </w:tc>
        <w:tc>
          <w:tcPr>
            <w:tcW w:type="dxa" w:w="3322"/>
          </w:tcPr>
          <w:p>
            <w:pPr>
              <w:pStyle w:val="null3"/>
            </w:pPr>
            <w:r>
              <w:rPr/>
              <w:t>投标产品纳入医疗器械管理的，提供投标产品制造商的营业执照、医疗器械生产许可证或医疗器械生产备案凭证（未纳入医疗器械管理的可不提供）。供应商需在项目电子化交易系统中按要求上传相应证明文件并进行电子签章。</w:t>
            </w:r>
          </w:p>
        </w:tc>
        <w:tc>
          <w:tcPr>
            <w:tcW w:type="dxa" w:w="1661"/>
          </w:tcPr>
          <w:p>
            <w:pPr>
              <w:pStyle w:val="null3"/>
            </w:pPr>
            <w:r>
              <w:rPr/>
              <w:t>五、资格审查证明文件</w:t>
            </w:r>
          </w:p>
        </w:tc>
      </w:tr>
      <w:tr>
        <w:tc>
          <w:tcPr>
            <w:tcW w:type="dxa" w:w="831"/>
          </w:tcPr>
          <w:p>
            <w:pPr>
              <w:pStyle w:val="null3"/>
            </w:pPr>
            <w:r>
              <w:rPr/>
              <w:t>9</w:t>
            </w:r>
          </w:p>
        </w:tc>
        <w:tc>
          <w:tcPr>
            <w:tcW w:type="dxa" w:w="2492"/>
          </w:tcPr>
          <w:p>
            <w:pPr>
              <w:pStyle w:val="null3"/>
            </w:pPr>
            <w:r>
              <w:rPr/>
              <w:t>信用证明</w:t>
            </w:r>
          </w:p>
        </w:tc>
        <w:tc>
          <w:tcPr>
            <w:tcW w:type="dxa" w:w="3322"/>
          </w:tcPr>
          <w:p>
            <w:pPr>
              <w:pStyle w:val="null3"/>
            </w:pPr>
            <w:r>
              <w:rPr/>
              <w:t>供应商未被“信用中国”网站（www.creditchina.gov.cn）列入失信被执行人和重大税收违法失信主体、未被中国政府采购网（www.ccgp.gov.cn）列入政府采购严重违法失信行为记录名单，以开标后的网站查询记录为准。</w:t>
            </w:r>
          </w:p>
        </w:tc>
        <w:tc>
          <w:tcPr>
            <w:tcW w:type="dxa" w:w="1661"/>
          </w:tcPr>
          <w:p>
            <w:pPr>
              <w:pStyle w:val="null3"/>
            </w:pPr>
            <w:r>
              <w:rPr/>
              <w:t>五、资格审查证明文件</w:t>
            </w:r>
          </w:p>
        </w:tc>
      </w:tr>
      <w:tr>
        <w:tc>
          <w:tcPr>
            <w:tcW w:type="dxa" w:w="831"/>
          </w:tcPr>
          <w:p>
            <w:pPr>
              <w:pStyle w:val="null3"/>
            </w:pPr>
            <w:r>
              <w:rPr/>
              <w:t>10</w:t>
            </w:r>
          </w:p>
        </w:tc>
        <w:tc>
          <w:tcPr>
            <w:tcW w:type="dxa" w:w="2492"/>
          </w:tcPr>
          <w:p>
            <w:pPr>
              <w:pStyle w:val="null3"/>
            </w:pPr>
            <w:r>
              <w:rPr/>
              <w:t>单位负责人为同一人或者存在直接控股、管理关系的不同供应商，不得参加本次采购活动</w:t>
            </w:r>
          </w:p>
        </w:tc>
        <w:tc>
          <w:tcPr>
            <w:tcW w:type="dxa" w:w="3322"/>
          </w:tcPr>
          <w:p>
            <w:pPr>
              <w:pStyle w:val="null3"/>
            </w:pPr>
            <w:r>
              <w:rPr/>
              <w:t>单位负责人为同一人或者存在直接控股、管理关系的不同供应商，不得参加本次采购活动；供应商需在项目电子化交易系统中按要求上传相应证明文件并进行电子签章。</w:t>
            </w:r>
          </w:p>
        </w:tc>
        <w:tc>
          <w:tcPr>
            <w:tcW w:type="dxa" w:w="1661"/>
          </w:tcPr>
          <w:p>
            <w:pPr>
              <w:pStyle w:val="null3"/>
            </w:pPr>
            <w:r>
              <w:rPr/>
              <w:t>五、资格审查证明文件 投标函</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审过程中，评标委员会认为供应商的报价明显低于其他通过符合性审查供应商的报价，有可能影响产品质量或者不能诚信履约的，评标委员会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评标委员会要求的时间内通过项目电子化交易系统进行提交，否则提交的相关证明材料无效。供应商不能证明其报价合理性的，评标委员会应当将其响应文件作为无效处理。</w:t>
            </w:r>
          </w:p>
        </w:tc>
        <w:tc>
          <w:tcPr>
            <w:tcW w:type="dxa" w:w="1661"/>
          </w:tcPr>
          <w:p>
            <w:pPr>
              <w:pStyle w:val="null3"/>
            </w:pPr>
            <w:r>
              <w:rPr/>
              <w:t>开标一览表 一、报价表 二、报价明细表 标的清单</w:t>
            </w:r>
          </w:p>
        </w:tc>
      </w:tr>
      <w:tr>
        <w:tc>
          <w:tcPr>
            <w:tcW w:type="dxa" w:w="831"/>
          </w:tcPr>
          <w:p>
            <w:pPr>
              <w:pStyle w:val="null3"/>
            </w:pPr>
            <w:r>
              <w:rPr/>
              <w:t>2</w:t>
            </w:r>
          </w:p>
        </w:tc>
        <w:tc>
          <w:tcPr>
            <w:tcW w:type="dxa" w:w="2492"/>
          </w:tcPr>
          <w:p>
            <w:pPr>
              <w:pStyle w:val="null3"/>
            </w:pPr>
            <w:r>
              <w:rPr/>
              <w:t>投标文件有效期</w:t>
            </w:r>
          </w:p>
        </w:tc>
        <w:tc>
          <w:tcPr>
            <w:tcW w:type="dxa" w:w="3322"/>
          </w:tcPr>
          <w:p>
            <w:pPr>
              <w:pStyle w:val="null3"/>
            </w:pPr>
            <w:r>
              <w:rPr/>
              <w:t>投标文件有效期符合招标文件要求。</w:t>
            </w:r>
          </w:p>
        </w:tc>
        <w:tc>
          <w:tcPr>
            <w:tcW w:type="dxa" w:w="1661"/>
          </w:tcPr>
          <w:p>
            <w:pPr>
              <w:pStyle w:val="null3"/>
            </w:pPr>
            <w:r>
              <w:rPr/>
              <w:t>一、报价表</w:t>
            </w:r>
          </w:p>
        </w:tc>
      </w:tr>
      <w:tr>
        <w:tc>
          <w:tcPr>
            <w:tcW w:type="dxa" w:w="831"/>
          </w:tcPr>
          <w:p>
            <w:pPr>
              <w:pStyle w:val="null3"/>
            </w:pPr>
            <w:r>
              <w:rPr/>
              <w:t>3</w:t>
            </w:r>
          </w:p>
        </w:tc>
        <w:tc>
          <w:tcPr>
            <w:tcW w:type="dxa" w:w="2492"/>
          </w:tcPr>
          <w:p>
            <w:pPr>
              <w:pStyle w:val="null3"/>
            </w:pPr>
            <w:r>
              <w:rPr/>
              <w:t>投标文件签署、盖章</w:t>
            </w:r>
          </w:p>
        </w:tc>
        <w:tc>
          <w:tcPr>
            <w:tcW w:type="dxa" w:w="3322"/>
          </w:tcPr>
          <w:p>
            <w:pPr>
              <w:pStyle w:val="null3"/>
            </w:pPr>
            <w:r>
              <w:rPr/>
              <w:t>投标文件签署、盖章均按招标文件要求签字、盖章。</w:t>
            </w:r>
          </w:p>
        </w:tc>
        <w:tc>
          <w:tcPr>
            <w:tcW w:type="dxa" w:w="1661"/>
          </w:tcPr>
          <w:p>
            <w:pPr>
              <w:pStyle w:val="null3"/>
            </w:pPr>
            <w:r>
              <w:rPr/>
              <w:t>开标一览表 六、商务响应偏离表 一、报价表 中小企业声明函 投标函 五、资格审查证明文件 残疾人福利性单位声明函 二、报价明细表 标的清单 投标文件封面 七、技术响应 八、承诺书 监狱企业的证明文件 四、法定代表人授权书 三、法定代表人身份证明</w:t>
            </w:r>
          </w:p>
        </w:tc>
      </w:tr>
      <w:tr>
        <w:tc>
          <w:tcPr>
            <w:tcW w:type="dxa" w:w="831"/>
          </w:tcPr>
          <w:p>
            <w:pPr>
              <w:pStyle w:val="null3"/>
            </w:pPr>
            <w:r>
              <w:rPr/>
              <w:t>4</w:t>
            </w:r>
          </w:p>
        </w:tc>
        <w:tc>
          <w:tcPr>
            <w:tcW w:type="dxa" w:w="2492"/>
          </w:tcPr>
          <w:p>
            <w:pPr>
              <w:pStyle w:val="null3"/>
            </w:pPr>
            <w:r>
              <w:rPr/>
              <w:t>投标报价</w:t>
            </w:r>
          </w:p>
        </w:tc>
        <w:tc>
          <w:tcPr>
            <w:tcW w:type="dxa" w:w="3322"/>
          </w:tcPr>
          <w:p>
            <w:pPr>
              <w:pStyle w:val="null3"/>
            </w:pPr>
            <w:r>
              <w:rPr/>
              <w:t>报价唯一，且没有高于采购预算或招标文件规定的最高限价。</w:t>
            </w:r>
          </w:p>
        </w:tc>
        <w:tc>
          <w:tcPr>
            <w:tcW w:type="dxa" w:w="1661"/>
          </w:tcPr>
          <w:p>
            <w:pPr>
              <w:pStyle w:val="null3"/>
            </w:pPr>
            <w:r>
              <w:rPr/>
              <w:t>开标一览表 一、报价表 二、报价明细表 标的清单</w:t>
            </w:r>
          </w:p>
        </w:tc>
      </w:tr>
      <w:tr>
        <w:tc>
          <w:tcPr>
            <w:tcW w:type="dxa" w:w="831"/>
          </w:tcPr>
          <w:p>
            <w:pPr>
              <w:pStyle w:val="null3"/>
            </w:pPr>
            <w:r>
              <w:rPr/>
              <w:t>5</w:t>
            </w:r>
          </w:p>
        </w:tc>
        <w:tc>
          <w:tcPr>
            <w:tcW w:type="dxa" w:w="2492"/>
          </w:tcPr>
          <w:p>
            <w:pPr>
              <w:pStyle w:val="null3"/>
            </w:pPr>
            <w:r>
              <w:rPr/>
              <w:t>交货时间、保修期</w:t>
            </w:r>
          </w:p>
        </w:tc>
        <w:tc>
          <w:tcPr>
            <w:tcW w:type="dxa" w:w="3322"/>
          </w:tcPr>
          <w:p>
            <w:pPr>
              <w:pStyle w:val="null3"/>
            </w:pPr>
            <w:r>
              <w:rPr/>
              <w:t>符合招标文件要求。</w:t>
            </w:r>
          </w:p>
        </w:tc>
        <w:tc>
          <w:tcPr>
            <w:tcW w:type="dxa" w:w="1661"/>
          </w:tcPr>
          <w:p>
            <w:pPr>
              <w:pStyle w:val="null3"/>
            </w:pPr>
            <w:r>
              <w:rPr/>
              <w:t>一、报价表</w:t>
            </w:r>
          </w:p>
        </w:tc>
      </w:tr>
      <w:tr>
        <w:tc>
          <w:tcPr>
            <w:tcW w:type="dxa" w:w="831"/>
          </w:tcPr>
          <w:p>
            <w:pPr>
              <w:pStyle w:val="null3"/>
            </w:pPr>
            <w:r>
              <w:rPr/>
              <w:t>6</w:t>
            </w:r>
          </w:p>
        </w:tc>
        <w:tc>
          <w:tcPr>
            <w:tcW w:type="dxa" w:w="2492"/>
          </w:tcPr>
          <w:p>
            <w:pPr>
              <w:pStyle w:val="null3"/>
            </w:pPr>
            <w:r>
              <w:rPr/>
              <w:t>全自动生化分析仪数据接口</w:t>
            </w:r>
          </w:p>
        </w:tc>
        <w:tc>
          <w:tcPr>
            <w:tcW w:type="dxa" w:w="3322"/>
          </w:tcPr>
          <w:p>
            <w:pPr>
              <w:pStyle w:val="null3"/>
            </w:pPr>
            <w:r>
              <w:rPr/>
              <w:t>免费与医院LIS、HIS系统双工连接。以供应商承诺函为准。</w:t>
            </w:r>
          </w:p>
        </w:tc>
        <w:tc>
          <w:tcPr>
            <w:tcW w:type="dxa" w:w="1661"/>
          </w:tcPr>
          <w:p>
            <w:pPr>
              <w:pStyle w:val="null3"/>
            </w:pPr>
            <w:r>
              <w:rPr/>
              <w:t>八、承诺书</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技术指标分关键技术指标（·项）和一般技术指标（非·项）。完全满足招标文件要求得满分，关键技术指标（·项）有1项负偏离扣2分，一般技术指标（非·项）有1项负偏离扣1分，扣完为止。 说明：供应商须提供相关技术指标证明材料予以佐证。证明材料不限于检测报告、试验报告、产品彩页、厂家出具的技术证明文件、实物照片、功能截图等。供应商自行承担因材料提供不全导致的技术参数评审风险。</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七、技术响应</w:t>
            </w:r>
          </w:p>
        </w:tc>
      </w:tr>
      <w:tr>
        <w:tc>
          <w:tcPr>
            <w:tcW w:type="dxa" w:w="831"/>
            <w:vMerge/>
          </w:tcPr>
          <w:p/>
        </w:tc>
        <w:tc>
          <w:tcPr>
            <w:tcW w:type="dxa" w:w="1661"/>
          </w:tcPr>
          <w:p>
            <w:pPr>
              <w:pStyle w:val="null3"/>
            </w:pPr>
            <w:r>
              <w:rPr/>
              <w:t>实施方案-供货、配送、安装、调试</w:t>
            </w:r>
          </w:p>
        </w:tc>
        <w:tc>
          <w:tcPr>
            <w:tcW w:type="dxa" w:w="2492"/>
          </w:tcPr>
          <w:p>
            <w:pPr>
              <w:pStyle w:val="null3"/>
            </w:pPr>
            <w:r>
              <w:rPr/>
              <w:t>提供针对本项目的供货、配送、安装、调试方案。 方案全面完整，针对性强，合理可行、可操作性强，完全满足项目实际需求，得5分。 方案较全面完整，针对性较强，合理可行、可操作性较强，完全满足项目实际需求得4分。 方案较全面完整，没有针对性，合理可行、可操作较强，基本满足项目实际需求，得3分。 方案不够全面完整，没有针对性，但合理可行、具有可操作性，基本满足项目实际需求，得2分。 未提供此项不得分。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七、技术响应</w:t>
            </w:r>
          </w:p>
        </w:tc>
      </w:tr>
      <w:tr>
        <w:tc>
          <w:tcPr>
            <w:tcW w:type="dxa" w:w="831"/>
            <w:vMerge/>
          </w:tcPr>
          <w:p/>
        </w:tc>
        <w:tc>
          <w:tcPr>
            <w:tcW w:type="dxa" w:w="1661"/>
          </w:tcPr>
          <w:p>
            <w:pPr>
              <w:pStyle w:val="null3"/>
            </w:pPr>
            <w:r>
              <w:rPr/>
              <w:t>实施方案-实施计划和技术人员配备</w:t>
            </w:r>
          </w:p>
        </w:tc>
        <w:tc>
          <w:tcPr>
            <w:tcW w:type="dxa" w:w="2492"/>
          </w:tcPr>
          <w:p>
            <w:pPr>
              <w:pStyle w:val="null3"/>
            </w:pPr>
            <w:r>
              <w:rPr/>
              <w:t>提供针对本项目的实施计划和技术人员配备计划。 实施计划全面详细，合理可行，可操作性强，技术人员配备数量充足、岗位职责明确、分工合理，完全满足项目实际需求，得5分。 实施计划全面详细，合理可行，可操作性较强，技术人员配备数量充足、岗位职责较明确、分工较合理，满足项目实际需求，得4分。 实施计划较全面详细，合理可行，可操作性较强，技术人员配备数量较充足、岗位职责较明确、分工较合理，满足项目实际需求，得3分。 实施计划不够全面详细，合理可行，具有可操作性，技术人员配备基本满足项目实施需求、岗位职责不够明确、分工基本合理，整体计划基本满足项目实际需求，得2分 未提供此项不得分。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七、技术响应</w:t>
            </w:r>
          </w:p>
        </w:tc>
      </w:tr>
      <w:tr>
        <w:tc>
          <w:tcPr>
            <w:tcW w:type="dxa" w:w="831"/>
            <w:vMerge/>
          </w:tcPr>
          <w:p/>
        </w:tc>
        <w:tc>
          <w:tcPr>
            <w:tcW w:type="dxa" w:w="1661"/>
          </w:tcPr>
          <w:p>
            <w:pPr>
              <w:pStyle w:val="null3"/>
            </w:pPr>
            <w:r>
              <w:rPr/>
              <w:t>实施方案-产品测试、验收措施</w:t>
            </w:r>
          </w:p>
        </w:tc>
        <w:tc>
          <w:tcPr>
            <w:tcW w:type="dxa" w:w="2492"/>
          </w:tcPr>
          <w:p>
            <w:pPr>
              <w:pStyle w:val="null3"/>
            </w:pPr>
            <w:r>
              <w:rPr/>
              <w:t>提供针对本项目的产品测试、验收措施计划。 产品测试内容全面，验收计划全面详细，合理可行，可操作性强，完全满足项目实际需求，得5分。 产品测试内容全面，验收计划全面详细，合理可行，可操作性较强，完全满足项目实际需求，得4分。 产品测试内容较全面，验收计划较全面详细，合理可行，可操作性较强，基本满足项目实际需求，得3分。 产品测试内容不够全面，验收计划不够全面详细，但合理可行，具有可操作性，基本满足项目实际需求，得2分。 未提供此项不得分。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七、技术响应</w:t>
            </w:r>
          </w:p>
        </w:tc>
      </w:tr>
      <w:tr>
        <w:tc>
          <w:tcPr>
            <w:tcW w:type="dxa" w:w="831"/>
            <w:vMerge/>
          </w:tcPr>
          <w:p/>
        </w:tc>
        <w:tc>
          <w:tcPr>
            <w:tcW w:type="dxa" w:w="1661"/>
          </w:tcPr>
          <w:p>
            <w:pPr>
              <w:pStyle w:val="null3"/>
            </w:pPr>
            <w:r>
              <w:rPr/>
              <w:t>产品配置-配置齐全，整体性能</w:t>
            </w:r>
          </w:p>
        </w:tc>
        <w:tc>
          <w:tcPr>
            <w:tcW w:type="dxa" w:w="2492"/>
          </w:tcPr>
          <w:p>
            <w:pPr>
              <w:pStyle w:val="null3"/>
            </w:pPr>
            <w:r>
              <w:rPr/>
              <w:t>投标产品配置齐全，整体性能描述详细且完全满足使用要求，有技术支撑材料，5分。 投标产品配置齐全，整体性能描述较详细但满足使用要求，有技术支撑材料，3分。 投标产品配置齐全，整体性能描述不够详细但满足使用要求，技术支撑材料不全面，1分。 未提供此项不得分。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七、技术响应</w:t>
            </w:r>
          </w:p>
        </w:tc>
      </w:tr>
      <w:tr>
        <w:tc>
          <w:tcPr>
            <w:tcW w:type="dxa" w:w="831"/>
            <w:vMerge/>
          </w:tcPr>
          <w:p/>
        </w:tc>
        <w:tc>
          <w:tcPr>
            <w:tcW w:type="dxa" w:w="1661"/>
          </w:tcPr>
          <w:p>
            <w:pPr>
              <w:pStyle w:val="null3"/>
            </w:pPr>
            <w:r>
              <w:rPr/>
              <w:t>产品配置-货源渠道</w:t>
            </w:r>
          </w:p>
        </w:tc>
        <w:tc>
          <w:tcPr>
            <w:tcW w:type="dxa" w:w="2492"/>
          </w:tcPr>
          <w:p>
            <w:pPr>
              <w:pStyle w:val="null3"/>
            </w:pPr>
            <w:r>
              <w:rPr/>
              <w:t>提供投标产品货源渠道合法的证明文件。证明文件齐全，文件来源合法合规，确保产品性能稳定，无产权纠纷，得5分。 证明文件不够齐全，文件来源合法合规，确保产品性能稳定，无产权纠纷，得3分。 未提供此项不得分。 （包括但不限于销售协议、代理协议、原厂授权、售后服务承诺函等）</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七、技术响应</w:t>
            </w:r>
          </w:p>
        </w:tc>
      </w:tr>
      <w:tr>
        <w:tc>
          <w:tcPr>
            <w:tcW w:type="dxa" w:w="831"/>
            <w:vMerge/>
          </w:tcPr>
          <w:p/>
        </w:tc>
        <w:tc>
          <w:tcPr>
            <w:tcW w:type="dxa" w:w="1661"/>
          </w:tcPr>
          <w:p>
            <w:pPr>
              <w:pStyle w:val="null3"/>
            </w:pPr>
            <w:r>
              <w:rPr/>
              <w:t>售后服务</w:t>
            </w:r>
          </w:p>
        </w:tc>
        <w:tc>
          <w:tcPr>
            <w:tcW w:type="dxa" w:w="2492"/>
          </w:tcPr>
          <w:p>
            <w:pPr>
              <w:pStyle w:val="null3"/>
            </w:pPr>
            <w:r>
              <w:rPr/>
              <w:t>提供可行的售后服务计划、售后服务措施、服务承诺等内容。 售后服务计划、售后服务措施、服务承诺全面详细，合理可行、可操作性强，完全满足项目实施需求，得5分； 售后服务计划、售后服务措施、服务承诺全面详细，较合理可行、可操作性较强，完全满足项目实施需求，得4分； 售后服务计划、售后服务措施、服务承诺较为全面详细，但合理可行、可操作性较强，可以满足项目实施需求，得3分； 售后服务计划、售后服务措施、服务承诺不够全面详细，但合理可行、具有可操作性，基本满足项目实施需求，得2分；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七、技术响应</w:t>
            </w:r>
          </w:p>
        </w:tc>
      </w:tr>
      <w:tr>
        <w:tc>
          <w:tcPr>
            <w:tcW w:type="dxa" w:w="831"/>
            <w:vMerge/>
          </w:tcPr>
          <w:p/>
        </w:tc>
        <w:tc>
          <w:tcPr>
            <w:tcW w:type="dxa" w:w="1661"/>
          </w:tcPr>
          <w:p>
            <w:pPr>
              <w:pStyle w:val="null3"/>
            </w:pPr>
            <w:r>
              <w:rPr/>
              <w:t>售后服务机构</w:t>
            </w:r>
          </w:p>
        </w:tc>
        <w:tc>
          <w:tcPr>
            <w:tcW w:type="dxa" w:w="2492"/>
          </w:tcPr>
          <w:p>
            <w:pPr>
              <w:pStyle w:val="null3"/>
            </w:pPr>
            <w:r>
              <w:rPr/>
              <w:t>提供制造商售后服务机构资质证明文件和工程师名单及联系电话。 根据制造商服务网点分布列表，网点工程师名单，联系方式等信息及相关资料，信息完整，资料详细，得5分； 制造商服务网点分布列表，网点工程师名单，联系方式等信息及相关资料，信息较完整，资料较详细，得3分； 制造商服务网点分布列表，网点工程师名单，联系方式等信息及相关资料，信息不完整，资料较少，得1分；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七、技术响应</w:t>
            </w:r>
          </w:p>
        </w:tc>
      </w:tr>
      <w:tr>
        <w:tc>
          <w:tcPr>
            <w:tcW w:type="dxa" w:w="831"/>
            <w:vMerge/>
          </w:tcPr>
          <w:p/>
        </w:tc>
        <w:tc>
          <w:tcPr>
            <w:tcW w:type="dxa" w:w="1661"/>
          </w:tcPr>
          <w:p>
            <w:pPr>
              <w:pStyle w:val="null3"/>
            </w:pPr>
            <w:r>
              <w:rPr/>
              <w:t>培训方案</w:t>
            </w:r>
          </w:p>
        </w:tc>
        <w:tc>
          <w:tcPr>
            <w:tcW w:type="dxa" w:w="2492"/>
          </w:tcPr>
          <w:p>
            <w:pPr>
              <w:pStyle w:val="null3"/>
            </w:pPr>
            <w:r>
              <w:rPr/>
              <w:t>提供可行的技术培训方案，保证使用单位能熟练操作维护和正常使用。 培训方案内容齐全，列出了详细的培训内容、培训方式、培训课时、培训人员等内容，合理可行，可操作性强，完全满足项目实施需求，得5分。 培训方案内容齐全，列出了详细的培训内容、培训方式、培训课时、培训人员等内容，合理可行，可操作性较强，完全满足项目实施需求，得4分。 培训方案内容较为齐全，列出的培训内容、培训方式、培训课时、培训人员等内容较为简单，合理可行，可操作性一般，可以满足项目实施需求，得3分。 培训方案内容不够齐全，未列出或缺少培训内容、培训方式、培训课时、培训人员等相关内容，但合理可行，具有可操作性，基本满足项目实施需求，得2分。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七、技术响应</w:t>
            </w:r>
          </w:p>
        </w:tc>
      </w:tr>
      <w:tr>
        <w:tc>
          <w:tcPr>
            <w:tcW w:type="dxa" w:w="831"/>
            <w:vMerge/>
          </w:tcPr>
          <w:p/>
        </w:tc>
        <w:tc>
          <w:tcPr>
            <w:tcW w:type="dxa" w:w="1661"/>
          </w:tcPr>
          <w:p>
            <w:pPr>
              <w:pStyle w:val="null3"/>
            </w:pPr>
            <w:r>
              <w:rPr/>
              <w:t>应急预案</w:t>
            </w:r>
          </w:p>
        </w:tc>
        <w:tc>
          <w:tcPr>
            <w:tcW w:type="dxa" w:w="2492"/>
          </w:tcPr>
          <w:p>
            <w:pPr>
              <w:pStyle w:val="null3"/>
            </w:pPr>
            <w:r>
              <w:rPr/>
              <w:t>提供设备使用期间可能会发生的故障，及故障发生后的响应时间及补救方案。 方案中风险故障考虑全面，故障发生后响应时间及时、补救方案合理可行、可操作性强，完全可以保障医院设备的使用需求，得5分。 方案中风险故障考虑全面，故障发生后响应时间及时、补救方案较为合理可行、可操作性较强，可以保障医院设备的使用需求，得4分。 方案中风险故障考虑较为全面，故障发生后响应时间及时、补救方案较为合理可行、但可操作性一般，可以保障医院设备的使用需求，得3分。 方案中风险故障考虑不够全面，故障发生后响应时间基本满足项目需求、补救方案较为合理可行、可操作实施，基本可以保障医院设备的使用需求得2分。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七、技术响应</w:t>
            </w:r>
          </w:p>
        </w:tc>
      </w:tr>
      <w:tr>
        <w:tc>
          <w:tcPr>
            <w:tcW w:type="dxa" w:w="831"/>
            <w:vMerge/>
          </w:tcPr>
          <w:p/>
        </w:tc>
        <w:tc>
          <w:tcPr>
            <w:tcW w:type="dxa" w:w="1661"/>
          </w:tcPr>
          <w:p>
            <w:pPr>
              <w:pStyle w:val="null3"/>
            </w:pPr>
            <w:r>
              <w:rPr/>
              <w:t>业绩</w:t>
            </w:r>
          </w:p>
        </w:tc>
        <w:tc>
          <w:tcPr>
            <w:tcW w:type="dxa" w:w="2492"/>
          </w:tcPr>
          <w:p>
            <w:pPr>
              <w:pStyle w:val="null3"/>
            </w:pPr>
            <w:r>
              <w:rPr/>
              <w:t>提供投标供应商自2021年1月1日起至投标截止日止实施过的类似（需包含全自动生化分析仪）项目业绩，提供合同的复印件并加盖单位公章，以合同的签订日期为准。每提供一个用户业绩得1分，最多得5分，同一个用户重复不得分，未提供或提供的合同复印件内容模糊无法辨认得0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七、技术响应</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各有效供应商的评审价中，取最低的供应商的价格作为基准价。每各有效供应商的价格评分统一按照下列公式计算： 价格评分＝（基准价/评审价）×30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一、报价表</w:t>
            </w:r>
          </w:p>
          <w:p>
            <w:pPr>
              <w:pStyle w:val="null3"/>
            </w:pPr>
            <w:r>
              <w:rPr/>
              <w:t>二、报价明细表</w:t>
            </w:r>
          </w:p>
          <w:p>
            <w:pPr>
              <w:pStyle w:val="null3"/>
            </w:pPr>
            <w:r>
              <w:rPr/>
              <w:t>八、承诺书</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一、报价表 中小企业声明函 残疾人福利性单位声明函 二、报价明细表 标的清单 八、承诺书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详见附件：一、报价表</w:t>
      </w:r>
    </w:p>
    <w:p>
      <w:pPr>
        <w:pStyle w:val="null3"/>
        <w:ind w:firstLine="960"/>
      </w:pPr>
      <w:r>
        <w:rPr/>
        <w:t>详见附件：二、报价明细表</w:t>
      </w:r>
    </w:p>
    <w:p>
      <w:pPr>
        <w:pStyle w:val="null3"/>
        <w:ind w:firstLine="960"/>
      </w:pPr>
      <w:r>
        <w:rPr/>
        <w:t>详见附件：三、法定代表人身份证明</w:t>
      </w:r>
    </w:p>
    <w:p>
      <w:pPr>
        <w:pStyle w:val="null3"/>
        <w:ind w:firstLine="960"/>
      </w:pPr>
      <w:r>
        <w:rPr/>
        <w:t>详见附件：四、法定代表人授权书</w:t>
      </w:r>
    </w:p>
    <w:p>
      <w:pPr>
        <w:pStyle w:val="null3"/>
        <w:ind w:firstLine="960"/>
      </w:pPr>
      <w:r>
        <w:rPr/>
        <w:t>详见附件：五、资格审查证明文件</w:t>
      </w:r>
    </w:p>
    <w:p>
      <w:pPr>
        <w:pStyle w:val="null3"/>
        <w:ind w:firstLine="960"/>
      </w:pPr>
      <w:r>
        <w:rPr/>
        <w:t>详见附件：六、商务响应偏离表</w:t>
      </w:r>
    </w:p>
    <w:p>
      <w:pPr>
        <w:pStyle w:val="null3"/>
        <w:ind w:firstLine="960"/>
      </w:pPr>
      <w:r>
        <w:rPr/>
        <w:t>详见附件：七、技术响应</w:t>
      </w:r>
    </w:p>
    <w:p>
      <w:pPr>
        <w:pStyle w:val="null3"/>
        <w:ind w:firstLine="960"/>
      </w:pPr>
      <w:r>
        <w:rPr/>
        <w:t>详见附件：八、承诺书</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详见附件：拟签订政府采购合同格式.docx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