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right="-922" w:rightChars="-439"/>
        <w:jc w:val="center"/>
        <w:rPr>
          <w:rFonts w:hint="eastAsia" w:ascii="仿宋" w:hAnsi="仿宋" w:eastAsia="仿宋" w:cs="仿宋"/>
          <w:b/>
          <w:bCs/>
          <w:kern w:val="0"/>
          <w:sz w:val="24"/>
        </w:rPr>
      </w:pPr>
      <w:r>
        <w:rPr>
          <w:rFonts w:hint="eastAsia" w:ascii="仿宋" w:hAnsi="仿宋" w:eastAsia="仿宋" w:cs="仿宋"/>
          <w:b/>
          <w:bCs/>
          <w:kern w:val="0"/>
          <w:sz w:val="24"/>
        </w:rPr>
        <w:t>西安市食品药品检验所</w:t>
      </w:r>
    </w:p>
    <w:p>
      <w:pPr>
        <w:spacing w:line="640" w:lineRule="exact"/>
        <w:ind w:left="-630" w:leftChars="-300" w:right="-922" w:rightChars="-439"/>
        <w:jc w:val="center"/>
        <w:rPr>
          <w:rFonts w:hint="eastAsia" w:ascii="仿宋" w:hAnsi="仿宋" w:eastAsia="仿宋" w:cs="仿宋"/>
          <w:b/>
          <w:bCs/>
          <w:kern w:val="0"/>
          <w:sz w:val="24"/>
        </w:rPr>
      </w:pPr>
      <w:r>
        <w:rPr>
          <w:rFonts w:hint="eastAsia" w:ascii="仿宋" w:hAnsi="仿宋" w:eastAsia="仿宋" w:cs="仿宋"/>
          <w:b/>
          <w:bCs/>
          <w:kern w:val="0"/>
          <w:sz w:val="24"/>
        </w:rPr>
        <w:t>采购合同</w:t>
      </w:r>
    </w:p>
    <w:p>
      <w:pPr>
        <w:kinsoku w:val="0"/>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w:t>
      </w:r>
      <w:r>
        <w:rPr>
          <w:rFonts w:hint="eastAsia" w:ascii="仿宋" w:hAnsi="仿宋" w:eastAsia="仿宋" w:cs="仿宋"/>
          <w:kern w:val="0"/>
          <w:sz w:val="24"/>
          <w:u w:val="single"/>
        </w:rPr>
        <w:t>西安市食品药品检验所采购</w:t>
      </w:r>
      <w:r>
        <w:rPr>
          <w:rFonts w:hint="eastAsia" w:ascii="仿宋" w:hAnsi="仿宋" w:eastAsia="仿宋" w:cs="仿宋"/>
          <w:kern w:val="0"/>
          <w:sz w:val="24"/>
        </w:rPr>
        <w:t>”(项目编号</w:t>
      </w:r>
      <w:r>
        <w:rPr>
          <w:rFonts w:hint="eastAsia" w:ascii="仿宋" w:hAnsi="仿宋" w:eastAsia="仿宋" w:cs="仿宋"/>
          <w:kern w:val="0"/>
          <w:sz w:val="24"/>
          <w:u w:val="single"/>
        </w:rPr>
        <w:t>：</w:t>
      </w:r>
      <w:r>
        <w:rPr>
          <w:rFonts w:hint="eastAsia" w:ascii="仿宋" w:hAnsi="仿宋" w:eastAsia="仿宋" w:cs="仿宋"/>
          <w:kern w:val="0"/>
          <w:sz w:val="24"/>
        </w:rPr>
        <w:t xml:space="preserve"> )，通过</w:t>
      </w:r>
      <w:r>
        <w:rPr>
          <w:rFonts w:hint="eastAsia" w:ascii="仿宋" w:hAnsi="仿宋" w:eastAsia="仿宋" w:cs="仿宋"/>
          <w:kern w:val="0"/>
          <w:sz w:val="24"/>
          <w:u w:val="single"/>
        </w:rPr>
        <w:t xml:space="preserve">      </w:t>
      </w:r>
      <w:r>
        <w:rPr>
          <w:rFonts w:hint="eastAsia" w:ascii="仿宋" w:hAnsi="仿宋" w:eastAsia="仿宋" w:cs="仿宋"/>
          <w:kern w:val="0"/>
          <w:sz w:val="24"/>
        </w:rPr>
        <w:t>采购。经评标委员会评审推荐，</w:t>
      </w:r>
      <w:r>
        <w:rPr>
          <w:rFonts w:hint="eastAsia" w:ascii="仿宋" w:hAnsi="仿宋" w:eastAsia="仿宋" w:cs="仿宋"/>
          <w:kern w:val="0"/>
          <w:sz w:val="24"/>
          <w:u w:val="single"/>
        </w:rPr>
        <w:t>西安市食品药品检验所</w:t>
      </w:r>
      <w:r>
        <w:rPr>
          <w:rFonts w:hint="eastAsia" w:ascii="仿宋" w:hAnsi="仿宋" w:eastAsia="仿宋" w:cs="仿宋"/>
          <w:kern w:val="0"/>
          <w:sz w:val="24"/>
        </w:rPr>
        <w:t>(以下简称“甲方”)确认</w:t>
      </w:r>
      <w:r>
        <w:rPr>
          <w:rFonts w:hint="eastAsia" w:ascii="仿宋" w:hAnsi="仿宋" w:eastAsia="仿宋" w:cs="仿宋"/>
          <w:bCs/>
          <w:kern w:val="0"/>
          <w:sz w:val="24"/>
        </w:rPr>
        <w:t>（</w:t>
      </w:r>
      <w:r>
        <w:rPr>
          <w:rFonts w:hint="eastAsia" w:ascii="仿宋" w:hAnsi="仿宋" w:eastAsia="仿宋" w:cs="仿宋"/>
          <w:kern w:val="0"/>
          <w:sz w:val="24"/>
        </w:rPr>
        <w:t>以下简称“乙方”）为本项目第</w:t>
      </w:r>
      <w:r>
        <w:rPr>
          <w:rFonts w:hint="eastAsia" w:ascii="仿宋" w:hAnsi="仿宋" w:eastAsia="仿宋" w:cs="仿宋"/>
          <w:kern w:val="0"/>
          <w:sz w:val="24"/>
          <w:u w:val="single"/>
        </w:rPr>
        <w:t>（）</w:t>
      </w:r>
      <w:r>
        <w:rPr>
          <w:rFonts w:hint="eastAsia" w:ascii="仿宋" w:hAnsi="仿宋" w:eastAsia="仿宋" w:cs="仿宋"/>
          <w:kern w:val="0"/>
          <w:sz w:val="24"/>
        </w:rPr>
        <w:t>包中标人。</w:t>
      </w:r>
      <w:r>
        <w:rPr>
          <w:rFonts w:hint="eastAsia" w:ascii="仿宋" w:hAnsi="仿宋" w:eastAsia="仿宋" w:cs="仿宋"/>
          <w:spacing w:val="-4"/>
          <w:kern w:val="0"/>
          <w:sz w:val="24"/>
        </w:rPr>
        <w:t>依据《中华人民共和国民法典》和《中华人民共和国政府采购法》、《中华人民共和国政府采购法实施条例》，</w:t>
      </w:r>
      <w:r>
        <w:rPr>
          <w:rFonts w:hint="eastAsia" w:ascii="仿宋" w:hAnsi="仿宋" w:eastAsia="仿宋" w:cs="仿宋"/>
          <w:sz w:val="24"/>
        </w:rPr>
        <w:t>甲、乙双方在平等自愿的基础上协商一致，达成如下合同条款：</w:t>
      </w:r>
    </w:p>
    <w:p>
      <w:pPr>
        <w:spacing w:line="360" w:lineRule="auto"/>
        <w:rPr>
          <w:rFonts w:hint="eastAsia" w:ascii="仿宋" w:hAnsi="仿宋" w:eastAsia="仿宋" w:cs="仿宋"/>
          <w:sz w:val="24"/>
        </w:rPr>
      </w:pPr>
      <w:r>
        <w:rPr>
          <w:rFonts w:hint="eastAsia" w:ascii="仿宋" w:hAnsi="仿宋" w:eastAsia="仿宋" w:cs="仿宋"/>
          <w:b/>
          <w:bCs/>
          <w:sz w:val="24"/>
        </w:rPr>
        <w:t>一、合同标的物内容及数量、单价、金额（以投标文件正本和澄清表〈函〉为准）</w:t>
      </w:r>
    </w:p>
    <w:tbl>
      <w:tblPr>
        <w:tblStyle w:val="8"/>
        <w:tblpPr w:leftFromText="180" w:rightFromText="180" w:vertAnchor="text" w:horzAnchor="page" w:tblpX="1270" w:tblpY="345"/>
        <w:tblOverlap w:val="never"/>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245"/>
        <w:gridCol w:w="916"/>
        <w:gridCol w:w="1395"/>
        <w:gridCol w:w="2241"/>
        <w:gridCol w:w="1363"/>
        <w:gridCol w:w="1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09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rPr>
            </w:pPr>
            <w:r>
              <w:rPr>
                <w:rFonts w:hint="eastAsia" w:ascii="仿宋" w:hAnsi="仿宋" w:eastAsia="仿宋" w:cs="仿宋"/>
                <w:sz w:val="24"/>
              </w:rPr>
              <w:t>序号</w:t>
            </w:r>
          </w:p>
        </w:tc>
        <w:tc>
          <w:tcPr>
            <w:tcW w:w="12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rPr>
            </w:pPr>
            <w:r>
              <w:rPr>
                <w:rFonts w:hint="eastAsia" w:ascii="仿宋" w:hAnsi="仿宋" w:eastAsia="仿宋" w:cs="仿宋"/>
                <w:sz w:val="24"/>
              </w:rPr>
              <w:t>产品名称</w:t>
            </w:r>
          </w:p>
        </w:tc>
        <w:tc>
          <w:tcPr>
            <w:tcW w:w="9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rPr>
            </w:pPr>
            <w:r>
              <w:rPr>
                <w:rFonts w:hint="eastAsia" w:ascii="仿宋" w:hAnsi="仿宋" w:eastAsia="仿宋" w:cs="仿宋"/>
                <w:sz w:val="24"/>
              </w:rPr>
              <w:t>产地/生产厂家</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rPr>
            </w:pPr>
            <w:r>
              <w:rPr>
                <w:rFonts w:hint="eastAsia" w:ascii="仿宋" w:hAnsi="仿宋" w:eastAsia="仿宋" w:cs="仿宋"/>
                <w:sz w:val="24"/>
              </w:rPr>
              <w:t>规格/型号</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单价</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(万元)</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rPr>
            </w:pPr>
            <w:r>
              <w:rPr>
                <w:rFonts w:hint="eastAsia" w:ascii="仿宋" w:hAnsi="仿宋" w:eastAsia="仿宋" w:cs="仿宋"/>
                <w:sz w:val="24"/>
              </w:rPr>
              <w:t>金额</w:t>
            </w:r>
          </w:p>
          <w:p>
            <w:pPr>
              <w:spacing w:line="360" w:lineRule="auto"/>
              <w:jc w:val="left"/>
              <w:rPr>
                <w:rFonts w:hint="eastAsia" w:ascii="仿宋" w:hAnsi="仿宋" w:eastAsia="仿宋" w:cs="仿宋"/>
                <w:sz w:val="24"/>
              </w:rPr>
            </w:pPr>
            <w:r>
              <w:rPr>
                <w:rFonts w:hint="eastAsia" w:ascii="仿宋" w:hAnsi="仿宋" w:eastAsia="仿宋" w:cs="仿宋"/>
                <w:sz w:val="24"/>
              </w:rPr>
              <w:t>(万元)</w:t>
            </w:r>
          </w:p>
        </w:tc>
        <w:tc>
          <w:tcPr>
            <w:tcW w:w="13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09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1</w:t>
            </w:r>
          </w:p>
        </w:tc>
        <w:tc>
          <w:tcPr>
            <w:tcW w:w="1245"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c>
          <w:tcPr>
            <w:tcW w:w="9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c>
          <w:tcPr>
            <w:tcW w:w="1395"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c>
          <w:tcPr>
            <w:tcW w:w="2241"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p>
            <w:pPr>
              <w:spacing w:line="360" w:lineRule="auto"/>
              <w:ind w:firstLine="480" w:firstLineChars="200"/>
              <w:jc w:val="center"/>
              <w:rPr>
                <w:rFonts w:hint="eastAsia" w:ascii="仿宋" w:hAnsi="仿宋" w:eastAsia="仿宋" w:cs="仿宋"/>
                <w:sz w:val="24"/>
              </w:rPr>
            </w:pPr>
          </w:p>
        </w:tc>
        <w:tc>
          <w:tcPr>
            <w:tcW w:w="1363"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p>
            <w:pPr>
              <w:spacing w:line="360" w:lineRule="auto"/>
              <w:ind w:firstLine="480" w:firstLineChars="200"/>
              <w:jc w:val="center"/>
              <w:rPr>
                <w:rFonts w:hint="eastAsia" w:ascii="仿宋" w:hAnsi="仿宋" w:eastAsia="仿宋" w:cs="仿宋"/>
                <w:sz w:val="24"/>
              </w:rPr>
            </w:pPr>
          </w:p>
        </w:tc>
        <w:tc>
          <w:tcPr>
            <w:tcW w:w="1375"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09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2</w:t>
            </w:r>
          </w:p>
        </w:tc>
        <w:tc>
          <w:tcPr>
            <w:tcW w:w="1245"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c>
          <w:tcPr>
            <w:tcW w:w="9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c>
          <w:tcPr>
            <w:tcW w:w="1395"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c>
          <w:tcPr>
            <w:tcW w:w="2241"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c>
          <w:tcPr>
            <w:tcW w:w="1363"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c>
          <w:tcPr>
            <w:tcW w:w="1375"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340" w:type="dxa"/>
            <w:gridSpan w:val="2"/>
            <w:vMerge w:val="restart"/>
            <w:tcBorders>
              <w:top w:val="single" w:color="auto" w:sz="4" w:space="0"/>
              <w:left w:val="single" w:color="auto" w:sz="4" w:space="0"/>
              <w:right w:val="single" w:color="auto" w:sz="4" w:space="0"/>
            </w:tcBorders>
            <w:noWrap w:val="0"/>
            <w:vAlign w:val="center"/>
          </w:tcPr>
          <w:p>
            <w:pPr>
              <w:spacing w:line="360" w:lineRule="auto"/>
              <w:rPr>
                <w:rFonts w:hint="eastAsia" w:ascii="仿宋" w:hAnsi="仿宋" w:eastAsia="仿宋" w:cs="仿宋"/>
                <w:sz w:val="24"/>
              </w:rPr>
            </w:pPr>
            <w:r>
              <w:rPr>
                <w:rFonts w:hint="eastAsia" w:ascii="仿宋" w:hAnsi="仿宋" w:eastAsia="仿宋" w:cs="仿宋"/>
                <w:sz w:val="24"/>
              </w:rPr>
              <w:t>合计（上述所有价格均为含税价）</w:t>
            </w:r>
          </w:p>
        </w:tc>
        <w:tc>
          <w:tcPr>
            <w:tcW w:w="2311" w:type="dxa"/>
            <w:gridSpan w:val="2"/>
            <w:tcBorders>
              <w:top w:val="single" w:color="auto" w:sz="4" w:space="0"/>
              <w:left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大写（人民币）</w:t>
            </w:r>
          </w:p>
        </w:tc>
        <w:tc>
          <w:tcPr>
            <w:tcW w:w="497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340" w:type="dxa"/>
            <w:gridSpan w:val="2"/>
            <w:vMerge w:val="continue"/>
            <w:tcBorders>
              <w:left w:val="single" w:color="auto" w:sz="4" w:space="0"/>
              <w:bottom w:val="single" w:color="auto" w:sz="4" w:space="0"/>
              <w:right w:val="single" w:color="auto" w:sz="4" w:space="0"/>
            </w:tcBorders>
            <w:noWrap w:val="0"/>
            <w:vAlign w:val="center"/>
          </w:tcPr>
          <w:p>
            <w:pPr>
              <w:spacing w:line="360" w:lineRule="auto"/>
              <w:ind w:firstLine="480" w:firstLineChars="200"/>
              <w:jc w:val="center"/>
              <w:rPr>
                <w:rFonts w:hint="eastAsia" w:ascii="仿宋" w:hAnsi="仿宋" w:eastAsia="仿宋" w:cs="仿宋"/>
                <w:sz w:val="24"/>
              </w:rPr>
            </w:pPr>
          </w:p>
        </w:tc>
        <w:tc>
          <w:tcPr>
            <w:tcW w:w="2311" w:type="dxa"/>
            <w:gridSpan w:val="2"/>
            <w:tcBorders>
              <w:left w:val="single" w:color="auto" w:sz="4" w:space="0"/>
              <w:bottom w:val="single" w:color="auto" w:sz="4" w:space="0"/>
              <w:right w:val="single" w:color="auto" w:sz="4" w:space="0"/>
            </w:tcBorders>
            <w:noWrap w:val="0"/>
            <w:vAlign w:val="bottom"/>
          </w:tcPr>
          <w:p>
            <w:pPr>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小写（人民币）</w:t>
            </w:r>
          </w:p>
        </w:tc>
        <w:tc>
          <w:tcPr>
            <w:tcW w:w="4979"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09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hint="eastAsia" w:ascii="仿宋" w:hAnsi="仿宋" w:eastAsia="仿宋" w:cs="仿宋"/>
                <w:sz w:val="24"/>
              </w:rPr>
            </w:pPr>
            <w:r>
              <w:rPr>
                <w:rFonts w:hint="eastAsia" w:ascii="仿宋" w:hAnsi="仿宋" w:eastAsia="仿宋" w:cs="仿宋"/>
                <w:sz w:val="24"/>
              </w:rPr>
              <w:t>说明</w:t>
            </w:r>
          </w:p>
        </w:tc>
        <w:tc>
          <w:tcPr>
            <w:tcW w:w="8535" w:type="dxa"/>
            <w:gridSpan w:val="6"/>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技术指标、服务承诺等见附件。</w:t>
            </w:r>
          </w:p>
        </w:tc>
      </w:tr>
    </w:tbl>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二、合同价款</w:t>
      </w:r>
    </w:p>
    <w:p>
      <w:pPr>
        <w:spacing w:line="360" w:lineRule="auto"/>
        <w:ind w:firstLine="480" w:firstLineChars="200"/>
        <w:rPr>
          <w:rFonts w:hint="eastAsia" w:ascii="仿宋" w:hAnsi="仿宋" w:eastAsia="仿宋" w:cs="仿宋"/>
          <w:b/>
          <w:bCs/>
          <w:sz w:val="24"/>
        </w:rPr>
      </w:pPr>
      <w:r>
        <w:rPr>
          <w:rFonts w:hint="eastAsia" w:ascii="仿宋" w:hAnsi="仿宋" w:eastAsia="仿宋" w:cs="仿宋"/>
          <w:sz w:val="24"/>
        </w:rPr>
        <w:t>（一）合同总价款为人民币（大写）：（¥：）。</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（二）合同总价包括：合同总价为一次性包死，包括所发生的运输费、杂费（含保险）、商检费、搬运费等一切费用。合同总价不可变更，不受市场价格或汇率变化的影响。</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（三）款项结算</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1、合同生效后，乙方按照合同约定时间向甲方供货，第一批次货物送达甲方指定地点并经甲方验收合格后，甲方向乙方支付合同总价的   %，即人民币</w:t>
      </w:r>
      <w:r>
        <w:rPr>
          <w:rFonts w:hint="eastAsia" w:ascii="仿宋" w:hAnsi="仿宋" w:eastAsia="仿宋" w:cs="仿宋"/>
          <w:sz w:val="24"/>
          <w:lang w:val="en-US" w:eastAsia="zh-CN"/>
        </w:rPr>
        <w:t xml:space="preserve">  </w:t>
      </w:r>
      <w:r>
        <w:rPr>
          <w:rFonts w:hint="eastAsia" w:ascii="仿宋" w:hAnsi="仿宋" w:eastAsia="仿宋" w:cs="仿宋"/>
          <w:sz w:val="24"/>
        </w:rPr>
        <w:t>元整。</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2、乙方按照甲方要求完成十次供货且均验收合格后，甲方向乙方支付合同总价款的</w:t>
      </w:r>
      <w:r>
        <w:rPr>
          <w:rFonts w:hint="eastAsia" w:ascii="仿宋" w:hAnsi="仿宋" w:eastAsia="仿宋" w:cs="仿宋"/>
          <w:sz w:val="24"/>
          <w:lang w:val="en-US" w:eastAsia="zh-CN"/>
        </w:rPr>
        <w:t xml:space="preserve"> </w:t>
      </w:r>
      <w:r>
        <w:rPr>
          <w:rFonts w:hint="eastAsia" w:ascii="仿宋" w:hAnsi="仿宋" w:eastAsia="仿宋" w:cs="仿宋"/>
          <w:sz w:val="24"/>
        </w:rPr>
        <w:t xml:space="preserve"> %，即人民币</w:t>
      </w:r>
      <w:r>
        <w:rPr>
          <w:rFonts w:hint="eastAsia" w:ascii="仿宋" w:hAnsi="仿宋" w:eastAsia="仿宋" w:cs="仿宋"/>
          <w:sz w:val="24"/>
          <w:lang w:val="en-US" w:eastAsia="zh-CN"/>
        </w:rPr>
        <w:t xml:space="preserve">   </w:t>
      </w:r>
      <w:r>
        <w:rPr>
          <w:rFonts w:hint="eastAsia" w:ascii="仿宋" w:hAnsi="仿宋" w:eastAsia="仿宋" w:cs="仿宋"/>
          <w:sz w:val="24"/>
        </w:rPr>
        <w:t>元整。</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3、乙方按照甲方要求完成二十次供货且均验收合格后，甲方向乙方支付合同总价款的</w:t>
      </w:r>
      <w:r>
        <w:rPr>
          <w:rFonts w:hint="eastAsia" w:ascii="仿宋" w:hAnsi="仿宋" w:eastAsia="仿宋" w:cs="仿宋"/>
          <w:sz w:val="24"/>
          <w:lang w:val="en-US" w:eastAsia="zh-CN"/>
        </w:rPr>
        <w:t xml:space="preserve"> </w:t>
      </w:r>
      <w:r>
        <w:rPr>
          <w:rFonts w:hint="eastAsia" w:ascii="仿宋" w:hAnsi="仿宋" w:eastAsia="仿宋" w:cs="仿宋"/>
          <w:sz w:val="24"/>
        </w:rPr>
        <w:t xml:space="preserve"> %，即人民币</w:t>
      </w:r>
      <w:r>
        <w:rPr>
          <w:rFonts w:hint="eastAsia" w:ascii="仿宋" w:hAnsi="仿宋" w:eastAsia="仿宋" w:cs="仿宋"/>
          <w:sz w:val="24"/>
          <w:lang w:val="en-US" w:eastAsia="zh-CN"/>
        </w:rPr>
        <w:t xml:space="preserve">   </w:t>
      </w:r>
      <w:r>
        <w:rPr>
          <w:rFonts w:hint="eastAsia" w:ascii="仿宋" w:hAnsi="仿宋" w:eastAsia="仿宋" w:cs="仿宋"/>
          <w:sz w:val="24"/>
        </w:rPr>
        <w:t>元整。</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4、乙方应按照合同约定履行供货义务，直至甲方支付的所有款项使用完毕之日止。</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（四）支付方式：银行转帐。</w:t>
      </w:r>
    </w:p>
    <w:p>
      <w:pPr>
        <w:rPr>
          <w:rFonts w:hint="eastAsia" w:ascii="仿宋" w:hAnsi="仿宋" w:eastAsia="仿宋" w:cs="仿宋"/>
          <w:sz w:val="24"/>
        </w:rPr>
      </w:pPr>
      <w:r>
        <w:rPr>
          <w:rFonts w:hint="eastAsia" w:ascii="仿宋" w:hAnsi="仿宋" w:eastAsia="仿宋" w:cs="仿宋"/>
          <w:sz w:val="24"/>
        </w:rPr>
        <w:t>（五）乙方应向甲方开具等额有效真实的增值税发票，否则甲方有权拒绝付款。</w:t>
      </w:r>
    </w:p>
    <w:p>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三、交货条件</w:t>
      </w:r>
      <w:bookmarkStart w:id="2" w:name="_GoBack"/>
      <w:bookmarkEnd w:id="2"/>
    </w:p>
    <w:p>
      <w:pPr>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（一）交货地点：甲方指定地点，产品交付验收合格前的所有风险均由乙方承担。</w:t>
      </w:r>
    </w:p>
    <w:p>
      <w:pPr>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（二）交货方式：分批次交付，乙方应根据甲方需求分批次交付货物。</w:t>
      </w:r>
    </w:p>
    <w:p>
      <w:pPr>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（二）交货日期：试剂耗材1小时内响应，三个工作日内到货；紧急情况下，接到通知后24小时内到货。标准品1小时内响应，五个工作日内到货；紧急情况下，接到通知后24小时内到货</w:t>
      </w:r>
      <w:r>
        <w:rPr>
          <w:rFonts w:hint="eastAsia" w:ascii="仿宋" w:hAnsi="仿宋" w:eastAsia="仿宋" w:cs="仿宋"/>
          <w:kern w:val="0"/>
          <w:sz w:val="24"/>
        </w:rPr>
        <w:t>。（交货日期是工作日的，换算为日历日）</w:t>
      </w:r>
    </w:p>
    <w:p>
      <w:pPr>
        <w:spacing w:line="360" w:lineRule="auto"/>
        <w:ind w:firstLine="482" w:firstLineChars="200"/>
        <w:rPr>
          <w:rFonts w:hint="eastAsia" w:ascii="仿宋" w:hAnsi="仿宋" w:eastAsia="仿宋" w:cs="仿宋"/>
          <w:sz w:val="24"/>
        </w:rPr>
      </w:pPr>
      <w:r>
        <w:rPr>
          <w:rFonts w:hint="eastAsia" w:ascii="仿宋" w:hAnsi="仿宋" w:eastAsia="仿宋" w:cs="仿宋"/>
          <w:b/>
          <w:sz w:val="24"/>
        </w:rPr>
        <w:t>四、运输方式：</w:t>
      </w:r>
      <w:r>
        <w:rPr>
          <w:rFonts w:hint="eastAsia" w:ascii="仿宋" w:hAnsi="仿宋" w:eastAsia="仿宋" w:cs="仿宋"/>
          <w:sz w:val="24"/>
        </w:rPr>
        <w:t>根据产品特性，由乙方在保证产品质量的前提下，自行选择运输及包装方式，发生的一切费用全部由乙方承担。</w:t>
      </w:r>
    </w:p>
    <w:p>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五、质量保证</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（一）乙方提供的产品必须满足招投标文件及合同约定的技术参数要求。</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保证货物应是全新、未曾使用过的、优质工艺及材料制造的产品，并保证所供产品的完整性（包括产品的技术手册、出厂说明、合格证明等），并确保供应产品在到货验收时剩余使用期限不得少于总使用期限的70%。</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（三）乙方保证所提供的产品质量可靠、进货渠道正规、技术性能完全符合投标文件。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（四）乙方应随产品提供检验报告等证明产品合格的相关材料。</w:t>
      </w:r>
    </w:p>
    <w:p>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sz w:val="24"/>
        </w:rPr>
        <w:t>（五）产品</w:t>
      </w:r>
      <w:r>
        <w:rPr>
          <w:rFonts w:hint="eastAsia" w:ascii="仿宋" w:hAnsi="仿宋" w:eastAsia="仿宋" w:cs="仿宋"/>
          <w:bCs/>
          <w:sz w:val="24"/>
        </w:rPr>
        <w:t>性能未达到投标文件、合同文本技术参数要求的，甲方有权拒绝验收或退货。</w:t>
      </w:r>
    </w:p>
    <w:p>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(六)乙方应采用符合安全标准的包装，确保供应货物安全储存。</w:t>
      </w:r>
    </w:p>
    <w:p>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六、质保期与承诺</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（一）产品的质保期为产品验收合格后  年。</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（二）质保期内，若发生产品质量问题，乙方应在接到甲方通知后48小时内予以解决，产生的所有费用均由乙方承担。乙方未在规定时间内解决的，甲方有权聘请其他第三方解决，产生的费用从</w:t>
      </w:r>
      <w:r>
        <w:rPr>
          <w:rFonts w:hint="eastAsia" w:ascii="仿宋" w:hAnsi="仿宋" w:eastAsia="仿宋" w:cs="仿宋"/>
          <w:sz w:val="24"/>
          <w:lang w:val="en-US" w:eastAsia="zh-CN"/>
        </w:rPr>
        <w:t>合同款</w:t>
      </w:r>
      <w:r>
        <w:rPr>
          <w:rFonts w:hint="eastAsia" w:ascii="仿宋" w:hAnsi="仿宋" w:eastAsia="仿宋" w:cs="仿宋"/>
          <w:sz w:val="24"/>
        </w:rPr>
        <w:t>中扣除，不足的部分由乙方承担。</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（三）超过质保期的维修服务，只收取单程的运保费。乙方应对提供产品有上门更换、终身维护的职责，对其所供产品应能提供质保期外的原厂商技术服务支持。</w:t>
      </w:r>
    </w:p>
    <w:p>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七、供货及技术服务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（一）技术资料包括：出厂检测报告、产品使用说明书、合格证等其它相关资料。</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（二）产品的性能、稳定性等未达到投标文件及合同文本技术参数要求，甲方有权拒绝验收，并有权解除合同。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（三）服务承诺：按投标文件中的服务承诺执行。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（四）运输配送过程中出现的安全责任问题由乙方全权负责，若造成损失由乙方负责赔偿。</w:t>
      </w:r>
    </w:p>
    <w:p>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八、产品验收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（一）乙方应在产品到货后，将货物送达指定地点，书面通知甲方验收。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（二）提供完整的产品使用说明书、合格证等其它相关资料；提供制造厂家的检验测试报告或出厂检测报告。</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（三）甲方根据合同要求对产品进行验收、确认产品的产地、规格、型号和数量。验收依据为</w:t>
      </w:r>
      <w:bookmarkStart w:id="0" w:name="_Toc337393760"/>
      <w:r>
        <w:rPr>
          <w:rFonts w:hint="eastAsia" w:ascii="仿宋" w:hAnsi="仿宋" w:eastAsia="仿宋" w:cs="仿宋"/>
          <w:sz w:val="24"/>
        </w:rPr>
        <w:t>本合同文本、招投标文件和国内相应的标准、规范</w:t>
      </w:r>
      <w:bookmarkEnd w:id="0"/>
      <w:bookmarkStart w:id="1" w:name="_Toc337393761"/>
      <w:r>
        <w:rPr>
          <w:rFonts w:hint="eastAsia" w:ascii="仿宋" w:hAnsi="仿宋" w:eastAsia="仿宋" w:cs="仿宋"/>
          <w:sz w:val="24"/>
        </w:rPr>
        <w:t>。</w:t>
      </w:r>
      <w:bookmarkEnd w:id="1"/>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（四）验收合格后，填写产品验收单，并向甲方提交产品所包含的所有资料，以便使用单位日后管理和维护。</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九、双方的权利和义务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（一）甲方的权利和义务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1、甲方应积极配合乙方，并组织相关专家或技术人员进行产品的验收工作。</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2、产品货物到达甲方后，若发现产品与招投标文件、合同文本不符，甲方有权终止合同。</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3、甲方在乙方货物送达后，并进行验收，验收合格后在规定的时间内及时办理验收手续（政府采购项目验收单）。</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4、甲方在乙方货物送达后若发现存在潜在的产品质量问题，有权终止对产品进行验收，并以书面形式通知乙方，甲方有权要求乙方进行退货或换货处理。造成损失甲方有权要求乙方承担索赔、罚款。</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（二）乙方的权利和义务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1、乙方提供产品必须是满足合同配置的全新产品。国产产品必须符合国家有关质量标准，进口产品必须符合产品的原厂标准及有关的国际标准。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保证所供产品来源渠道合法，产品是全新未使用过、且完全符合合同规定的质量、规格、技术指标等要求，使用的原材料应提供清单，并在质保期内、外应对由于设备设计、工艺或材料的缺陷而产生的质量问题负责。</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技术保障：乙方必须随产品向甲方提供产品使用说明书和相关的资料（包括产品合格证、装箱清单、使用说明书、检验报告、维护手册、服务指南等资料）。乙方应向甲方随同产品提供相应的中文技术文件，如：所供说明书和资料是外文的，乙方应为甲方提供中文版或译成中文文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4、乙方对产品应保证质量，确保能够正常使用。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5、乙方所供产品必须具有合法手续及相关文件。如：涉及知识产权，则必须是自己拥有或合法使用。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6、包装：包装必须适应货物特性和交通运输要求、以及国际、国家标准或企业标准的, 乙方须保证设备配套的完整，货到既能正常安装、调试、使用。如：发生因缺少附备件或因配套不完整而造成甲方不能正常使用，乙方须负全部责任，应完全给予解决。由此产生的一切费用乙方承担。</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7、要求：乙方应承担由于包装、防护措施不妥引起的所有损失的责任和费用。</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十、违约责任</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乙方未能按照合同约定交付货物的，每逾期一日，按照合同总金额的千分之五承担违约责任，逾期超过十五日的，甲方有权解除合同，甲方解除合同的，乙方应在接到甲方解除通知之日起三日内退还所有已收款项，并应按合同总金额的20%承担违约责任。</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（二）乙方未按合同要求提供产品或设备质量不能满足谈判技术或技术参数要求，乙方必须无条件退货，由此产生的一切费用均由乙方承担。</w:t>
      </w:r>
      <w:r>
        <w:rPr>
          <w:rFonts w:hint="eastAsia" w:ascii="仿宋" w:hAnsi="仿宋" w:eastAsia="仿宋" w:cs="仿宋"/>
          <w:bCs/>
          <w:sz w:val="24"/>
        </w:rPr>
        <w:t>甲方要求退货的，乙方应在接到甲方通知后三日内将产品取走，甲方有权要求乙方退还所有已收款项，并有权要求乙方按照合同总金额的10%承担违约责任。</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（三）乙方应保证其交付的产品为合格产品，产品验收合格后30日内出现任何质量问题，甲方均有权要求乙方更换或退货，由此产生的一切费用均由乙方承担，同时，乙方还应按照合同总金额的10%承担违约责任。</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(四)甲方未应按照合同约定支付合同价款，每逾期一日，按照应付未付金额的千分之五承担违约责任。若乙方未按照约定支付质保金的，则甲方有权拒绝支付剩余合同款项且不承担违约责任。</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十一、合同争议解决的方式</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本合同在履行过程中发生的争议，由甲、乙双方当事人协商解决，协商不成的，甲乙双方一致同意，任何一方均可向甲方所在地的人民法院起诉。</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十二、其他事项</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（一）西安市财政局政府采购管理处在合同的履行期间以及履行期后，可以随时检查项目的执行情况，对采购标准、采购内容进行调查核实，并对发现的问题进行处理。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（二）招标文件、投标文件、澄清表（函）、中标通知书、合同附件均成为合同不可分割的部分。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（三）合同未尽事宜，由甲、乙双方协商，作为合同补充，与原合同具有同等法律效力。</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（四）合同一式陆份，甲方持肆份、乙方执壹份，招标代理机构壹份。双方签字盖章后生效，合同执行完毕自动失效。（合同的服务承诺长期有效）。</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（五）本合同附件与本合同具有同等的法律效力。</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附件-1：《产品技术指标》</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附件-2：《售后服务承诺》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附件-3：《人员培训服务承诺》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附件-4：《易损件及耗材报价表》</w:t>
      </w:r>
    </w:p>
    <w:p>
      <w:pPr>
        <w:spacing w:line="360" w:lineRule="auto"/>
        <w:rPr>
          <w:rFonts w:hint="eastAsia" w:ascii="仿宋" w:hAnsi="仿宋" w:eastAsia="仿宋" w:cs="仿宋"/>
          <w:sz w:val="24"/>
        </w:rPr>
      </w:pPr>
    </w:p>
    <w:p>
      <w:pPr>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甲方（公章）：                           乙方(公章)：</w:t>
      </w:r>
    </w:p>
    <w:p>
      <w:pPr>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法定代表人或授权代表人(签字):            法定代表人或授权代表人(签字):</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地址：                                   地址：</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联系人：                                 联系人：</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电话：                                   电话：</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传真：                                   传真：</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邮编：                                   邮编：</w:t>
      </w:r>
    </w:p>
    <w:p>
      <w:pPr>
        <w:ind w:firstLine="360" w:firstLineChars="150"/>
        <w:rPr>
          <w:rFonts w:hint="eastAsia" w:ascii="仿宋" w:hAnsi="仿宋" w:eastAsia="仿宋" w:cs="仿宋"/>
        </w:rPr>
      </w:pPr>
      <w:r>
        <w:rPr>
          <w:rFonts w:hint="eastAsia" w:ascii="仿宋" w:hAnsi="仿宋" w:eastAsia="仿宋" w:cs="仿宋"/>
          <w:sz w:val="24"/>
        </w:rPr>
        <w:t>日期：                                    日期：</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707A38"/>
    <w:rsid w:val="04806B11"/>
    <w:rsid w:val="11E73590"/>
    <w:rsid w:val="186F3C47"/>
    <w:rsid w:val="2A930D9D"/>
    <w:rsid w:val="2D1F486A"/>
    <w:rsid w:val="2E652751"/>
    <w:rsid w:val="3770049A"/>
    <w:rsid w:val="3BAB3E99"/>
    <w:rsid w:val="41E41EB2"/>
    <w:rsid w:val="438A4C0D"/>
    <w:rsid w:val="49192DBB"/>
    <w:rsid w:val="4CD34FFD"/>
    <w:rsid w:val="639826A5"/>
    <w:rsid w:val="694D5CE0"/>
    <w:rsid w:val="72545343"/>
    <w:rsid w:val="7D33726F"/>
    <w:rsid w:val="7F48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rPr>
      <w:color w:val="993300"/>
      <w:sz w:val="24"/>
    </w:rPr>
  </w:style>
  <w:style w:type="paragraph" w:styleId="4">
    <w:name w:val="Plain Text"/>
    <w:basedOn w:val="1"/>
    <w:autoRedefine/>
    <w:qFormat/>
    <w:uiPriority w:val="99"/>
    <w:rPr>
      <w:rFonts w:ascii="宋体" w:hAnsi="Courier New"/>
      <w:szCs w:val="21"/>
    </w:rPr>
  </w:style>
  <w:style w:type="paragraph" w:styleId="5">
    <w:name w:val="footer"/>
    <w:basedOn w:val="1"/>
    <w:next w:val="3"/>
    <w:autoRedefine/>
    <w:qFormat/>
    <w:uiPriority w:val="99"/>
    <w:pPr>
      <w:tabs>
        <w:tab w:val="center" w:pos="4153"/>
        <w:tab w:val="right" w:pos="8306"/>
      </w:tabs>
      <w:snapToGrid w:val="0"/>
      <w:jc w:val="left"/>
    </w:pPr>
    <w:rPr>
      <w:rFonts w:eastAsia="宋体"/>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Subtitle"/>
    <w:basedOn w:val="1"/>
    <w:next w:val="1"/>
    <w:autoRedefine/>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2024-03-20T00:26:00Z</dcterms:created>
  <dc:creator>admin</dc:creator>
  <cp:lastModifiedBy>puppet</cp:lastModifiedBy>
  <dcterms:modified xsi:type="dcterms:W3CDTF">2024-05-20T01:58:26Z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E5E60042A2DF40E0ADD10C5B85CA0E8C_12</vt:lpwstr>
  </property>
</Properties>
</file>