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供应商基本情况表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282"/>
        <w:gridCol w:w="317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响应供应商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名称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注册地址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联系人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法定代表人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lang w:eastAsia="zh-CN"/>
              </w:rPr>
              <w:t>统一信用代码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注册资金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经营范围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企业简介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>
      <w:pPr>
        <w:ind w:firstLine="3600" w:firstLineChars="1500"/>
        <w:rPr>
          <w:rFonts w:ascii="宋体" w:hAnsi="宋体" w:cs="宋体"/>
          <w:color w:val="auto"/>
          <w:szCs w:val="24"/>
        </w:rPr>
      </w:pPr>
    </w:p>
    <w:p>
      <w:pPr>
        <w:ind w:firstLine="3600" w:firstLineChars="1500"/>
        <w:rPr>
          <w:rFonts w:ascii="宋体" w:hAnsi="宋体" w:cs="宋体"/>
          <w:color w:val="auto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jc w:val="right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58064A13"/>
    <w:rsid w:val="5806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2024-05-13T10:11:00Z</dcterms:created>
  <dc:creator>傑。</dc:creator>
  <cp:lastModifiedBy>傑。</cp:lastModifiedBy>
  <dcterms:modified xsi:type="dcterms:W3CDTF">2024-05-13T10:12:06Z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AA7B70AAD2254DF4AF522DEFC273C31A_11</vt:lpwstr>
  </property>
</Properties>
</file>