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单一来源采购文件</w:t>
      </w:r>
      <w:r>
        <w:br/>
      </w:r>
      <w:r>
        <w:br/>
      </w:r>
      <w:r>
        <w:br/>
      </w:r>
    </w:p>
    <w:p>
      <w:pPr>
        <w:pStyle w:val="null3"/>
        <w:jc w:val="center"/>
        <w:outlineLvl w:val="5"/>
      </w:pPr>
      <w:r>
        <w:rPr>
          <w:b/>
          <w:sz w:val="15"/>
        </w:rPr>
        <w:t>（货物类）</w:t>
      </w:r>
      <w:r>
        <w:br/>
      </w:r>
      <w:r>
        <w:br/>
      </w:r>
      <w:r>
        <w:br/>
      </w:r>
      <w:r>
        <w:br/>
      </w:r>
      <w:r>
        <w:br/>
      </w:r>
      <w:r>
        <w:br/>
      </w:r>
      <w:r>
        <w:br/>
      </w:r>
      <w:r>
        <w:br/>
      </w:r>
      <w:r>
        <w:br/>
      </w:r>
      <w:r>
        <w:br/>
      </w:r>
      <w:r>
        <w:br/>
      </w:r>
    </w:p>
    <w:p>
      <w:pPr>
        <w:pStyle w:val="null3"/>
        <w:jc w:val="center"/>
        <w:outlineLvl w:val="5"/>
      </w:pPr>
      <w:r>
        <w:rPr>
          <w:b/>
          <w:sz w:val="15"/>
        </w:rPr>
        <w:t>项目名称：</w:t>
      </w:r>
      <w:r>
        <w:rPr>
          <w:b/>
          <w:sz w:val="15"/>
        </w:rPr>
        <w:t>艾滋病检测试剂采购项目2</w:t>
      </w:r>
    </w:p>
    <w:p>
      <w:pPr>
        <w:pStyle w:val="null3"/>
        <w:jc w:val="center"/>
        <w:outlineLvl w:val="5"/>
      </w:pPr>
      <w:r>
        <w:rPr>
          <w:b/>
          <w:sz w:val="15"/>
        </w:rPr>
        <w:t xml:space="preserve">项目编号: </w:t>
      </w:r>
      <w:r>
        <w:rPr>
          <w:b/>
          <w:sz w:val="15"/>
        </w:rPr>
        <w:t>LZBD2024-040</w:t>
      </w:r>
      <w:r>
        <w:br/>
      </w:r>
      <w:r>
        <w:br/>
      </w:r>
      <w:r>
        <w:br/>
      </w:r>
      <w:r>
        <w:br/>
      </w:r>
      <w:r>
        <w:br/>
      </w:r>
    </w:p>
    <w:p>
      <w:pPr>
        <w:pStyle w:val="null3"/>
        <w:jc w:val="center"/>
        <w:outlineLvl w:val="5"/>
      </w:pPr>
      <w:r>
        <w:rPr>
          <w:b/>
          <w:sz w:val="15"/>
        </w:rPr>
        <w:t>西安市疾病预防控制中心</w:t>
      </w:r>
    </w:p>
    <w:p>
      <w:pPr>
        <w:pStyle w:val="null3"/>
        <w:jc w:val="center"/>
        <w:outlineLvl w:val="5"/>
      </w:pPr>
      <w:r>
        <w:rPr>
          <w:b/>
          <w:sz w:val="15"/>
        </w:rPr>
        <w:t>龙寰项目管理咨询有限公司</w:t>
      </w:r>
      <w:r>
        <w:rPr>
          <w:b/>
          <w:sz w:val="15"/>
        </w:rPr>
        <w:t>共同编制</w:t>
      </w:r>
    </w:p>
    <w:p>
      <w:pPr>
        <w:pStyle w:val="null3"/>
        <w:jc w:val="center"/>
        <w:outlineLvl w:val="5"/>
      </w:pPr>
      <w:r>
        <w:rPr>
          <w:b/>
          <w:sz w:val="15"/>
        </w:rPr>
        <w:t>2024年04月24日</w:t>
      </w:r>
    </w:p>
    <w:p>
      <w:pPr>
        <w:pStyle w:val="null3"/>
      </w:pPr>
      <w:r>
        <w:rPr/>
        <w:t xml:space="preserve"> </w:t>
        <w:br/>
        <w:br w:type="page"/>
      </w:r>
    </w:p>
    <w:p>
      <w:pPr>
        <w:pStyle w:val="null3"/>
        <w:jc w:val="center"/>
        <w:outlineLvl w:val="1"/>
      </w:pPr>
      <w:r>
        <w:rPr>
          <w:b/>
          <w:sz w:val="36"/>
        </w:rPr>
        <w:t>第一章 协商邀请</w:t>
      </w:r>
    </w:p>
    <w:p>
      <w:pPr>
        <w:pStyle w:val="null3"/>
        <w:outlineLvl w:val="2"/>
      </w:pPr>
      <w:r>
        <w:rPr>
          <w:b/>
          <w:sz w:val="28"/>
        </w:rPr>
        <w:t>单一来源受邀供应商：</w:t>
      </w:r>
    </w:p>
    <w:p>
      <w:pPr>
        <w:pStyle w:val="null3"/>
        <w:ind w:firstLine="480"/>
      </w:pPr>
      <w:r>
        <w:rPr/>
        <w:t>龙寰项目管理咨询有限公司</w:t>
      </w:r>
      <w:r>
        <w:rPr/>
        <w:t>（以下简称“代理机构”）受</w:t>
      </w:r>
      <w:r>
        <w:rPr/>
        <w:t>西安市疾病预防控制中心</w:t>
      </w:r>
      <w:r>
        <w:rPr/>
        <w:t>委托，拟对</w:t>
      </w:r>
      <w:r>
        <w:rPr/>
        <w:t>艾滋病检测试剂采购项目2</w:t>
      </w:r>
      <w:r>
        <w:rPr/>
        <w:t>采用单一来源方式进行采购，现邀请贵公司参加该项目的协商。</w:t>
      </w:r>
    </w:p>
    <w:p>
      <w:pPr>
        <w:pStyle w:val="null3"/>
        <w:outlineLvl w:val="2"/>
      </w:pPr>
      <w:r>
        <w:rPr>
          <w:b/>
          <w:sz w:val="28"/>
        </w:rPr>
        <w:t>一、采购项目编号：</w:t>
      </w:r>
      <w:r>
        <w:rPr>
          <w:b/>
          <w:sz w:val="28"/>
        </w:rPr>
        <w:t>LZBD2024-040</w:t>
      </w:r>
    </w:p>
    <w:p>
      <w:pPr>
        <w:pStyle w:val="null3"/>
        <w:outlineLvl w:val="2"/>
      </w:pPr>
      <w:r>
        <w:rPr>
          <w:b/>
          <w:sz w:val="28"/>
        </w:rPr>
        <w:t>二、采购项目名称：</w:t>
      </w:r>
      <w:r>
        <w:rPr>
          <w:b/>
          <w:sz w:val="28"/>
        </w:rPr>
        <w:t>艾滋病检测试剂采购项目2</w:t>
      </w:r>
    </w:p>
    <w:p>
      <w:pPr>
        <w:pStyle w:val="null3"/>
        <w:outlineLvl w:val="2"/>
      </w:pPr>
      <w:r>
        <w:rPr>
          <w:b/>
          <w:sz w:val="28"/>
        </w:rPr>
        <w:t>三、协商项目简介：</w:t>
      </w:r>
    </w:p>
    <w:p>
      <w:pPr>
        <w:pStyle w:val="null3"/>
        <w:ind w:firstLine="480"/>
      </w:pPr>
      <w:r>
        <w:rPr/>
        <w:t>西安市疾病预防控制中心艾滋病防治检测试剂采购</w:t>
      </w:r>
    </w:p>
    <w:p>
      <w:pPr>
        <w:pStyle w:val="null3"/>
        <w:outlineLvl w:val="2"/>
      </w:pPr>
      <w:r>
        <w:rPr>
          <w:b/>
          <w:sz w:val="28"/>
        </w:rPr>
        <w:t>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1、法人或者其他组织的营业执照等证明文件，自然人的身份证明。：供应商应是独立承担民事责任能力的法人、其 他组织或自然人，法人、其他组织须提供合法 有效的营业执照（或事业单位法人证书）等证 明资料， 自然人须提供身份证明。注：供应商需在项目电子化交易系统中按要求上传相应证明文件并进行电子签章。</w:t>
      </w:r>
    </w:p>
    <w:p>
      <w:pPr>
        <w:pStyle w:val="null3"/>
      </w:pPr>
      <w:r>
        <w:rPr/>
        <w:t>2、信用记录：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当天在网站的查询结果为准（截图留存），如相关失信记录已失效，需提供相关证明资料。</w:t>
      </w:r>
    </w:p>
    <w:p>
      <w:pPr>
        <w:pStyle w:val="null3"/>
      </w:pPr>
      <w:r>
        <w:rPr/>
        <w:t>采购包2：</w:t>
      </w:r>
    </w:p>
    <w:p>
      <w:pPr>
        <w:pStyle w:val="null3"/>
      </w:pPr>
      <w:r>
        <w:rPr/>
        <w:t>1、法人或者其他组织的营业执照等证明文件，自然人的身份证明。：供应商应是独立承担民事责任能力的法人、其 他组织或自然人，法人、其他组织须提供合法 有效的营业执照（或事业单位法人证书）等证 明资料， 自然人须提供身份证明。注：供应商需在项目电子化交易系统中按要求上传相应证明文件并进行电子签章。</w:t>
      </w:r>
    </w:p>
    <w:p>
      <w:pPr>
        <w:pStyle w:val="null3"/>
      </w:pPr>
      <w:r>
        <w:rPr/>
        <w:t>2、允许进口产品参与：允许进口产品参与，提供进口产品授权书（提供制造商对授权产品的完整授权链，英文授权须提供中文翻译版）。</w:t>
      </w:r>
    </w:p>
    <w:p>
      <w:pPr>
        <w:pStyle w:val="null3"/>
      </w:pPr>
      <w:r>
        <w:rPr/>
        <w:t>3、信用记录：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当天在网站的查询结果为准（截图留存），如相关失信记录已失效，需提供相关证明资料。</w:t>
      </w:r>
    </w:p>
    <w:p>
      <w:pPr>
        <w:pStyle w:val="null3"/>
      </w:pPr>
      <w:r>
        <w:rPr/>
        <w:t>采购包3：</w:t>
      </w:r>
    </w:p>
    <w:p>
      <w:pPr>
        <w:pStyle w:val="null3"/>
      </w:pPr>
      <w:r>
        <w:rPr/>
        <w:t>1、法人或者其他组织的营业执照等证明文件，自然人的身份证明。：供应商应是独立承担民事责任能力的法人、其 他组织或自然人，法人、其他组织须提供合法 有效的营业执照（或事业单位法人证书）等证 明资料， 自然人须提供身份证明。注：供应商需在项目电子化交易系统中按要求上传相应证明文件并进行电子签章。</w:t>
      </w:r>
    </w:p>
    <w:p>
      <w:pPr>
        <w:pStyle w:val="null3"/>
      </w:pPr>
      <w:r>
        <w:rPr/>
        <w:t>2、信用记录：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当天在网站的查询结果为准（截图留存），如相关失信记录已失效，需提供相关证明资料。</w:t>
      </w:r>
    </w:p>
    <w:p>
      <w:pPr>
        <w:pStyle w:val="null3"/>
      </w:pPr>
      <w:r>
        <w:rPr/>
        <w:t>采购包4：</w:t>
      </w:r>
    </w:p>
    <w:p>
      <w:pPr>
        <w:pStyle w:val="null3"/>
      </w:pPr>
      <w:r>
        <w:rPr/>
        <w:t>1、法人或者其他组织的营业执照等证明文件，自然人的身份证明。：供应商应是独立承担民事责任能力的法人、其 他组织或自然人，法人、其他组织须提供合法 有效的营业执照（或事业单位法人证书）等证 明资料， 自然人须提供身份证明。注：供应商需在项目电子化交易系统中按要求上传相应证明文件并进行电子签章。</w:t>
      </w:r>
    </w:p>
    <w:p>
      <w:pPr>
        <w:pStyle w:val="null3"/>
      </w:pPr>
      <w:r>
        <w:rPr/>
        <w:t>2、信用记录：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当天在网站的查询结果为准（截图留存），如相关失信记录已失效，需提供相关证明资料。</w:t>
      </w:r>
    </w:p>
    <w:p>
      <w:pPr>
        <w:pStyle w:val="null3"/>
        <w:ind w:firstLine="480"/>
      </w:pPr>
      <w:r>
        <w:rPr/>
        <w:t>说明：邀请参加该项目协商的供应商为采购人资格审查合格的供应商。</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t xml:space="preserve"> 注：获取的单一来源采购文件主体格式包括pdf、word两种格式版本，其中以pdf格式为准。</w:t>
      </w:r>
    </w:p>
    <w:p>
      <w:pPr>
        <w:pStyle w:val="null3"/>
        <w:outlineLvl w:val="2"/>
      </w:pPr>
      <w:r>
        <w:rPr>
          <w:b/>
          <w:sz w:val="28"/>
        </w:rPr>
        <w:t>七、 响应文件提交截止时间及开启时间、方式、地点</w:t>
      </w:r>
    </w:p>
    <w:p>
      <w:pPr>
        <w:pStyle w:val="null3"/>
        <w:ind w:firstLine="480"/>
      </w:pPr>
      <w:r>
        <w:rPr/>
        <w:t>（一）响应文件提交截止时间及开启时间：详见邀请书。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（三）本项目采取网上开标，即采购人或代理机构通过项目电子化交易系统“开标/开启大厅”组织在线开启。</w:t>
      </w:r>
    </w:p>
    <w:p>
      <w:pPr>
        <w:pStyle w:val="null3"/>
        <w:outlineLvl w:val="2"/>
      </w:pPr>
      <w:r>
        <w:rPr>
          <w:b/>
          <w:sz w:val="28"/>
        </w:rPr>
        <w:t>八、本次协商邀请由代理机构通过项目电子化交易系统发送邀请书和单一来源采购文件。</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西安市疾病预防控制中心</w:t>
      </w:r>
    </w:p>
    <w:p>
      <w:pPr>
        <w:pStyle w:val="null3"/>
      </w:pPr>
      <w:r>
        <w:rPr/>
        <w:t xml:space="preserve"> 地址： </w:t>
      </w:r>
      <w:r>
        <w:rPr/>
        <w:t>西安市西影路599号</w:t>
      </w:r>
    </w:p>
    <w:p>
      <w:pPr>
        <w:pStyle w:val="null3"/>
      </w:pPr>
      <w:r>
        <w:rPr/>
        <w:t xml:space="preserve"> 邮编： </w:t>
      </w:r>
      <w:r>
        <w:rPr/>
        <w:t>710065</w:t>
      </w:r>
    </w:p>
    <w:p>
      <w:pPr>
        <w:pStyle w:val="null3"/>
      </w:pPr>
      <w:r>
        <w:rPr/>
        <w:t xml:space="preserve"> 联系人： </w:t>
      </w:r>
      <w:r>
        <w:rPr/>
        <w:t>刘宇龙</w:t>
      </w:r>
    </w:p>
    <w:p>
      <w:pPr>
        <w:pStyle w:val="null3"/>
      </w:pPr>
      <w:r>
        <w:rPr/>
        <w:t xml:space="preserve"> 联系电话： </w:t>
      </w:r>
      <w:r>
        <w:rPr/>
        <w:t>029-85535673</w:t>
      </w:r>
    </w:p>
    <w:p>
      <w:pPr>
        <w:pStyle w:val="null3"/>
        <w:outlineLvl w:val="2"/>
      </w:pPr>
      <w:r>
        <w:rPr>
          <w:b/>
          <w:sz w:val="28"/>
        </w:rPr>
        <w:t>代理机构：</w:t>
      </w:r>
      <w:r>
        <w:rPr>
          <w:b/>
          <w:sz w:val="28"/>
        </w:rPr>
        <w:t>龙寰项目管理咨询有限公司</w:t>
      </w:r>
    </w:p>
    <w:p>
      <w:pPr>
        <w:pStyle w:val="null3"/>
      </w:pPr>
      <w:r>
        <w:rPr/>
        <w:t xml:space="preserve"> 地址： </w:t>
      </w:r>
      <w:r>
        <w:rPr/>
        <w:t>陕西省西安市市辖区陕西省西安市高新区太白南路181号A座</w:t>
      </w:r>
    </w:p>
    <w:p>
      <w:pPr>
        <w:pStyle w:val="null3"/>
      </w:pPr>
      <w:r>
        <w:rPr/>
        <w:t xml:space="preserve"> 邮编： </w:t>
      </w:r>
      <w:r>
        <w:rPr/>
        <w:t>710065</w:t>
      </w:r>
    </w:p>
    <w:p>
      <w:pPr>
        <w:pStyle w:val="null3"/>
      </w:pPr>
      <w:r>
        <w:rPr/>
        <w:t xml:space="preserve"> 联系人： </w:t>
      </w:r>
      <w:r>
        <w:rPr/>
        <w:t>李敏、徐小宁</w:t>
      </w:r>
    </w:p>
    <w:p>
      <w:pPr>
        <w:pStyle w:val="null3"/>
      </w:pPr>
      <w:r>
        <w:rPr/>
        <w:t xml:space="preserve"> 联系电话： </w:t>
      </w:r>
      <w:r>
        <w:rPr/>
        <w:t>029-88228899-647</w:t>
      </w:r>
    </w:p>
    <w:p>
      <w:pPr>
        <w:pStyle w:val="null3"/>
        <w:outlineLvl w:val="2"/>
      </w:pPr>
      <w:r>
        <w:rPr>
          <w:b/>
          <w:sz w:val="28"/>
        </w:rPr>
        <w:t>采购监督机构：</w:t>
      </w:r>
      <w:r>
        <w:rPr>
          <w:b/>
          <w:sz w:val="28"/>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本项目各包预算金额如下：</w:t>
            </w:r>
          </w:p>
          <w:p>
            <w:pPr>
              <w:pStyle w:val="null3"/>
            </w:pPr>
            <w:r>
              <w:rPr/>
              <w:t>采购包1：1,753,900.00元</w:t>
            </w:r>
          </w:p>
          <w:p>
            <w:pPr>
              <w:pStyle w:val="null3"/>
            </w:pPr>
            <w:r>
              <w:rPr/>
              <w:t>采购包2：757,300.00元</w:t>
            </w:r>
          </w:p>
          <w:p>
            <w:pPr>
              <w:pStyle w:val="null3"/>
            </w:pPr>
            <w:r>
              <w:rPr/>
              <w:t>采购包3：251,000.00元</w:t>
            </w:r>
          </w:p>
          <w:p>
            <w:pPr>
              <w:pStyle w:val="null3"/>
            </w:pPr>
            <w:r>
              <w:rPr/>
              <w:t>采购包4：300,000.00元</w:t>
            </w:r>
            <w:r>
              <w:rPr/>
              <w:t>供应商的包件采购报价高于包件采购预算的，其响应文件将按无效处理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r>
              <w:rPr/>
              <w:t>采购包1：1,753,900.00元</w:t>
            </w:r>
          </w:p>
          <w:p>
            <w:pPr>
              <w:pStyle w:val="null3"/>
            </w:pPr>
            <w:r>
              <w:rPr/>
              <w:t>采购包2：757,300.00元</w:t>
            </w:r>
          </w:p>
          <w:p>
            <w:pPr>
              <w:pStyle w:val="null3"/>
            </w:pPr>
            <w:r>
              <w:rPr/>
              <w:t>采购包3：251,000.00元</w:t>
            </w:r>
          </w:p>
          <w:p>
            <w:pPr>
              <w:pStyle w:val="null3"/>
            </w:pPr>
            <w:r>
              <w:rPr/>
              <w:t>采购包4：300,000.00元</w:t>
            </w:r>
            <w:r>
              <w:rPr/>
              <w:t xml:space="preserve"> 供应商的包件报价高于最高限价的，其响应文件将按无效处理。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tc>
      </w:tr>
      <w:tr>
        <w:tc>
          <w:tcPr>
            <w:tcW w:type="dxa" w:w="1051"/>
          </w:tcPr>
          <w:p>
            <w:pPr>
              <w:pStyle w:val="null3"/>
            </w:pPr>
            <w:r>
              <w:rPr/>
              <w:t>7</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8</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供应商依据成交金额向代理交纳招标代理服务费，交费金额参照国家计委颁布的《招标代理服务收费管理暂行办法》（计价格【2002】1980号）及发改办价格【2003】857号中的规定计取，采用差额定律累进法计算。 2、成交人在取得成交通知书时，向采购代理机构缴付成交服务费。 3、服务费以转账或现金形式交纳，服务费缴纳帐号如下： 收款单位：龙寰项目管理咨询有限公司 开 户 行：平安银行西安高新路支行 账 号：30201278014480</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w:t>
            </w:r>
          </w:p>
          <w:p>
            <w:pPr>
              <w:pStyle w:val="null3"/>
            </w:pPr>
            <w:r>
              <w:rPr/>
              <w:t>可以待上述情形消除后继续组织采购活动；影响或者可能影响采购公平、公正的，采购人或代理机构应当依法终止采购活动。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西安市疾病预防控制中心</w:t>
      </w:r>
      <w:r>
        <w:rPr/>
        <w:t>和</w:t>
      </w:r>
      <w:r>
        <w:rPr/>
        <w:t>龙寰项目管理咨询有限公司</w:t>
      </w:r>
      <w:r>
        <w:rPr/>
        <w:t>享有。对采购文件中供应商参加本次政府采购活动应当具备的条件、项目技术、服务、商务及其他要求，评审标准由采购人负责解释。除上述采购文件内容，其他内容由</w:t>
      </w:r>
      <w:r>
        <w:rPr/>
        <w:t>龙寰项目管理咨询有限公司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一、“采购人”是指依法进行政府采购的各级国家机关、事业单位、团体组织。本次协商的采购人是</w:t>
      </w:r>
      <w:r>
        <w:rPr/>
        <w:t>西安市疾病预防控制中心</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龙寰项目管理咨询有限公司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b/>
          <w:sz w:val="28"/>
        </w:rPr>
        <w:t>2.3采购文件</w:t>
      </w:r>
    </w:p>
    <w:p>
      <w:pPr>
        <w:pStyle w:val="null3"/>
        <w:outlineLvl w:val="3"/>
      </w:pPr>
      <w:r>
        <w:rPr>
          <w:b/>
          <w:sz w:val="24"/>
        </w:rPr>
        <w:t xml:space="preserve"> 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（四）资格审查</w:t>
      </w:r>
    </w:p>
    <w:p>
      <w:pPr>
        <w:pStyle w:val="null3"/>
        <w:ind w:firstLine="480"/>
      </w:pPr>
      <w:r>
        <w:rPr/>
        <w:t>（五）协商办法</w:t>
      </w:r>
    </w:p>
    <w:p>
      <w:pPr>
        <w:pStyle w:val="null3"/>
        <w:ind w:firstLine="480"/>
      </w:pPr>
      <w:r>
        <w:rPr/>
        <w:t>（六）响应文件格式</w:t>
      </w:r>
    </w:p>
    <w:p>
      <w:pPr>
        <w:pStyle w:val="null3"/>
        <w:ind w:firstLine="480"/>
      </w:pPr>
      <w:r>
        <w:rPr/>
        <w:t>（七）拟签订采购的合同文本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b/>
          <w:sz w:val="24"/>
        </w:rPr>
        <w:t>2.3.2采购文件的澄清和修改</w:t>
      </w:r>
    </w:p>
    <w:p>
      <w:pPr>
        <w:pStyle w:val="null3"/>
        <w:ind w:firstLine="480"/>
      </w:pPr>
      <w:r>
        <w:rPr/>
        <w:t>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除采购文件中另有规定外，本项目均采用国家法定的计量单位。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三、若采用成交供应商所不拥有的知识产权，则在响应报价中必须包括合法使用该知识产权的相关费用。</w:t>
      </w:r>
    </w:p>
    <w:p>
      <w:pPr>
        <w:pStyle w:val="null3"/>
        <w:outlineLvl w:val="3"/>
      </w:pPr>
      <w:r>
        <w:rPr>
          <w:b/>
          <w:sz w:val="24"/>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b/>
          <w:sz w:val="24"/>
        </w:rPr>
        <w:t xml:space="preserve"> 2.4.6响应文件格式</w:t>
      </w:r>
    </w:p>
    <w:p>
      <w:pPr>
        <w:pStyle w:val="null3"/>
        <w:ind w:firstLine="480"/>
      </w:pPr>
      <w:r>
        <w:rPr/>
        <w:t>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b/>
          <w:sz w:val="24"/>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b/>
          <w:sz w:val="24"/>
        </w:rPr>
        <w:t>2.4.10响应文件的提交</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b/>
          <w:sz w:val="24"/>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2.5.开启、资格审查、协商和成交</w:t>
      </w:r>
    </w:p>
    <w:p>
      <w:pPr>
        <w:pStyle w:val="null3"/>
        <w:outlineLvl w:val="3"/>
      </w:pPr>
      <w:r>
        <w:rPr>
          <w:b/>
          <w:sz w:val="24"/>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详见单一来源采购文件第四章。</w:t>
      </w:r>
    </w:p>
    <w:p>
      <w:pPr>
        <w:pStyle w:val="null3"/>
        <w:outlineLvl w:val="3"/>
      </w:pPr>
      <w:r>
        <w:rPr>
          <w:b/>
          <w:sz w:val="24"/>
        </w:rPr>
        <w:t>2.5.4协商</w:t>
      </w:r>
    </w:p>
    <w:p>
      <w:pPr>
        <w:pStyle w:val="null3"/>
        <w:ind w:firstLine="480"/>
      </w:pPr>
      <w:r>
        <w:rPr/>
        <w:t>详见单一来源采购文件第五章。</w:t>
      </w:r>
    </w:p>
    <w:p>
      <w:pPr>
        <w:pStyle w:val="null3"/>
        <w:outlineLvl w:val="3"/>
      </w:pPr>
      <w:r>
        <w:rPr>
          <w:b/>
          <w:sz w:val="24"/>
        </w:rPr>
        <w:t xml:space="preserve"> 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二、采购人和成交供应商签订的采购合同不得对采购文件确定的事项以及成交供应商的响应文件作实质性修改。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w:t>
      </w:r>
    </w:p>
    <w:p>
      <w:pPr>
        <w:pStyle w:val="null3"/>
      </w:pPr>
      <w:r>
        <w:rPr/>
        <w:t>采购包2：</w:t>
      </w:r>
    </w:p>
    <w:p>
      <w:pPr>
        <w:pStyle w:val="null3"/>
      </w:pPr>
      <w:r>
        <w:rPr/>
        <w:t>/</w:t>
      </w:r>
    </w:p>
    <w:p>
      <w:pPr>
        <w:pStyle w:val="null3"/>
      </w:pPr>
      <w:r>
        <w:rPr/>
        <w:t>采购包3：</w:t>
      </w:r>
    </w:p>
    <w:p>
      <w:pPr>
        <w:pStyle w:val="null3"/>
      </w:pPr>
      <w:r>
        <w:rPr/>
        <w:t>/</w:t>
      </w:r>
    </w:p>
    <w:p>
      <w:pPr>
        <w:pStyle w:val="null3"/>
      </w:pPr>
      <w:r>
        <w:rPr/>
        <w:t>采购包4：</w:t>
      </w:r>
    </w:p>
    <w:p>
      <w:pPr>
        <w:pStyle w:val="null3"/>
      </w:pPr>
      <w:r>
        <w:rPr/>
        <w:t>/</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（九）拒绝有关部门的监督检查或者向监督检查部门提供虚假情况；</w:t>
      </w:r>
    </w:p>
    <w:p>
      <w:pPr>
        <w:pStyle w:val="null3"/>
        <w:ind w:firstLine="480"/>
      </w:pPr>
      <w:r>
        <w:rPr/>
        <w:t>（十）法律法规规定的其他禁止情形。</w:t>
      </w:r>
    </w:p>
    <w:p>
      <w:pPr>
        <w:pStyle w:val="null3"/>
        <w:ind w:firstLine="480"/>
      </w:pPr>
      <w:r>
        <w:rPr/>
        <w:t>供应商有上述情形的，按照规定追究法律责任，具备一至十条情形之一的，其响应文件无效。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龙寰项目管理咨询有限公司</w:t>
      </w:r>
      <w:r>
        <w:rPr/>
        <w:t xml:space="preserve"> 负责答复；供应商对除采购需求外的采购文件的询问、质疑由</w:t>
      </w:r>
      <w:r>
        <w:rPr/>
        <w:t>龙寰项目管理咨询有限公司</w:t>
      </w:r>
      <w:r>
        <w:rPr/>
        <w:t xml:space="preserve"> 负责答复；供应商对采购过程、采购结果的询问、质疑由 </w:t>
      </w:r>
      <w:r>
        <w:rPr/>
        <w:t>龙寰项目管理咨询有限公司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3.1项目概况</w:t>
      </w:r>
    </w:p>
    <w:p>
      <w:pPr>
        <w:pStyle w:val="null3"/>
        <w:ind w:firstLine="480"/>
      </w:pPr>
      <w:r>
        <w:rPr/>
        <w:t>西安市疾病预防控制中心艾滋病防治检测试剂采购</w:t>
      </w:r>
    </w:p>
    <w:p>
      <w:pPr>
        <w:pStyle w:val="null3"/>
        <w:outlineLvl w:val="2"/>
      </w:pPr>
      <w:r>
        <w:rPr>
          <w:b/>
          <w:sz w:val="28"/>
        </w:rPr>
        <w:t>3.2采购内容</w:t>
      </w:r>
    </w:p>
    <w:p>
      <w:pPr>
        <w:pStyle w:val="null3"/>
      </w:pPr>
      <w:r>
        <w:rPr/>
        <w:t>采购包1：</w:t>
      </w:r>
    </w:p>
    <w:p>
      <w:pPr>
        <w:pStyle w:val="null3"/>
      </w:pPr>
      <w:r>
        <w:rPr/>
        <w:t>采购包预算金额（元）: 1,753,900.00</w:t>
      </w:r>
    </w:p>
    <w:p>
      <w:pPr>
        <w:pStyle w:val="null3"/>
      </w:pPr>
      <w:r>
        <w:rPr/>
        <w:t>采购包最高限价（元）: 1,753,900.00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HIV-1病毒载量检测试剂</w:t>
            </w:r>
          </w:p>
        </w:tc>
        <w:tc>
          <w:tcPr>
            <w:tcW w:type="dxa" w:w="831"/>
          </w:tcPr>
          <w:p>
            <w:pPr>
              <w:pStyle w:val="null3"/>
              <w:jc w:val="right"/>
            </w:pPr>
            <w:r>
              <w:rPr/>
              <w:t>5,040.00</w:t>
            </w:r>
          </w:p>
        </w:tc>
        <w:tc>
          <w:tcPr>
            <w:tcW w:type="dxa" w:w="831"/>
          </w:tcPr>
          <w:p>
            <w:pPr>
              <w:pStyle w:val="null3"/>
              <w:jc w:val="right"/>
            </w:pPr>
            <w:r>
              <w:rPr/>
              <w:t>1,753,900.00</w:t>
            </w:r>
          </w:p>
        </w:tc>
        <w:tc>
          <w:tcPr>
            <w:tcW w:type="dxa" w:w="831"/>
          </w:tcPr>
          <w:p>
            <w:pPr>
              <w:pStyle w:val="null3"/>
            </w:pPr>
            <w:r>
              <w:rPr/>
              <w:t>人份</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757,300.00</w:t>
      </w:r>
    </w:p>
    <w:p>
      <w:pPr>
        <w:pStyle w:val="null3"/>
      </w:pPr>
      <w:r>
        <w:rPr/>
        <w:t>采购包最高限价（元）: 757,300.00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CD4+T淋巴细胞检测试剂</w:t>
            </w:r>
          </w:p>
        </w:tc>
        <w:tc>
          <w:tcPr>
            <w:tcW w:type="dxa" w:w="831"/>
          </w:tcPr>
          <w:p>
            <w:pPr>
              <w:pStyle w:val="null3"/>
              <w:jc w:val="right"/>
            </w:pPr>
            <w:r>
              <w:rPr/>
              <w:t>8,800.00</w:t>
            </w:r>
          </w:p>
        </w:tc>
        <w:tc>
          <w:tcPr>
            <w:tcW w:type="dxa" w:w="831"/>
          </w:tcPr>
          <w:p>
            <w:pPr>
              <w:pStyle w:val="null3"/>
              <w:jc w:val="right"/>
            </w:pPr>
            <w:r>
              <w:rPr/>
              <w:t>757,300.00</w:t>
            </w:r>
          </w:p>
        </w:tc>
        <w:tc>
          <w:tcPr>
            <w:tcW w:type="dxa" w:w="831"/>
          </w:tcPr>
          <w:p>
            <w:pPr>
              <w:pStyle w:val="null3"/>
            </w:pPr>
            <w:r>
              <w:rPr/>
              <w:t>人份</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251,000.00</w:t>
      </w:r>
    </w:p>
    <w:p>
      <w:pPr>
        <w:pStyle w:val="null3"/>
      </w:pPr>
      <w:r>
        <w:rPr/>
        <w:t>采购包最高限价（元）: 251,000.00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HIV/HCV/TP抗体快检三联试剂</w:t>
            </w:r>
          </w:p>
        </w:tc>
        <w:tc>
          <w:tcPr>
            <w:tcW w:type="dxa" w:w="831"/>
          </w:tcPr>
          <w:p>
            <w:pPr>
              <w:pStyle w:val="null3"/>
              <w:jc w:val="right"/>
            </w:pPr>
            <w:r>
              <w:rPr/>
              <w:t>14,001.00</w:t>
            </w:r>
          </w:p>
        </w:tc>
        <w:tc>
          <w:tcPr>
            <w:tcW w:type="dxa" w:w="831"/>
          </w:tcPr>
          <w:p>
            <w:pPr>
              <w:pStyle w:val="null3"/>
              <w:jc w:val="right"/>
            </w:pPr>
            <w:r>
              <w:rPr/>
              <w:t>251,000.00</w:t>
            </w:r>
          </w:p>
        </w:tc>
        <w:tc>
          <w:tcPr>
            <w:tcW w:type="dxa" w:w="831"/>
          </w:tcPr>
          <w:p>
            <w:pPr>
              <w:pStyle w:val="null3"/>
            </w:pPr>
            <w:r>
              <w:rPr/>
              <w:t>人份</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尿液HIV抗体快速检测试剂</w:t>
            </w:r>
          </w:p>
        </w:tc>
        <w:tc>
          <w:tcPr>
            <w:tcW w:type="dxa" w:w="831"/>
          </w:tcPr>
          <w:p>
            <w:pPr>
              <w:pStyle w:val="null3"/>
              <w:jc w:val="right"/>
            </w:pPr>
            <w:r>
              <w:rPr/>
              <w:t>10,000.00</w:t>
            </w:r>
          </w:p>
        </w:tc>
        <w:tc>
          <w:tcPr>
            <w:tcW w:type="dxa" w:w="831"/>
          </w:tcPr>
          <w:p>
            <w:pPr>
              <w:pStyle w:val="null3"/>
              <w:jc w:val="right"/>
            </w:pPr>
            <w:r>
              <w:rPr/>
              <w:t>300,000.00</w:t>
            </w:r>
          </w:p>
        </w:tc>
        <w:tc>
          <w:tcPr>
            <w:tcW w:type="dxa" w:w="831"/>
          </w:tcPr>
          <w:p>
            <w:pPr>
              <w:pStyle w:val="null3"/>
            </w:pPr>
            <w:r>
              <w:rPr/>
              <w:t>人份</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标的名称：HIV-1病毒载量检测试剂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384"/>
              <w:jc w:val="center"/>
            </w:pPr>
            <w:r>
              <w:rPr>
                <w:rFonts w:ascii="宋体" w:hAnsi="宋体" w:cs="宋体" w:eastAsia="宋体"/>
                <w:sz w:val="21"/>
              </w:rPr>
              <w:t>1.</w:t>
            </w:r>
            <w:r>
              <w:rPr>
                <w:rFonts w:ascii="宋体" w:hAnsi="宋体" w:cs="宋体" w:eastAsia="宋体"/>
                <w:sz w:val="21"/>
              </w:rPr>
              <w:t>检测方法：磁珠分离纯化技术和</w:t>
            </w:r>
            <w:r>
              <w:rPr>
                <w:rFonts w:ascii="宋体" w:hAnsi="宋体" w:cs="宋体" w:eastAsia="宋体"/>
                <w:sz w:val="21"/>
              </w:rPr>
              <w:t>Taqman RT-PCR技术进行病毒载量检测。</w:t>
            </w:r>
          </w:p>
          <w:p>
            <w:pPr>
              <w:pStyle w:val="null3"/>
              <w:jc w:val="both"/>
            </w:pPr>
            <w:r>
              <w:rPr>
                <w:rFonts w:ascii="宋体" w:hAnsi="宋体" w:cs="宋体" w:eastAsia="宋体"/>
                <w:sz w:val="21"/>
              </w:rPr>
              <w:t>2.</w:t>
            </w:r>
            <w:r>
              <w:rPr>
                <w:rFonts w:ascii="宋体" w:hAnsi="宋体" w:cs="宋体" w:eastAsia="宋体"/>
                <w:sz w:val="21"/>
              </w:rPr>
              <w:t>样本类型：血清或者血浆。</w:t>
            </w:r>
          </w:p>
          <w:p>
            <w:pPr>
              <w:pStyle w:val="null3"/>
              <w:jc w:val="both"/>
            </w:pPr>
            <w:r>
              <w:rPr>
                <w:rFonts w:ascii="宋体" w:hAnsi="宋体" w:cs="宋体" w:eastAsia="宋体"/>
                <w:sz w:val="21"/>
              </w:rPr>
              <w:t>3.试</w:t>
            </w:r>
            <w:r>
              <w:rPr>
                <w:rFonts w:ascii="宋体" w:hAnsi="宋体" w:cs="宋体" w:eastAsia="宋体"/>
                <w:sz w:val="21"/>
              </w:rPr>
              <w:t>剂基因亚型覆盖：试剂可检测</w:t>
            </w:r>
            <w:r>
              <w:rPr>
                <w:rFonts w:ascii="宋体" w:hAnsi="宋体" w:cs="宋体" w:eastAsia="宋体"/>
                <w:sz w:val="21"/>
              </w:rPr>
              <w:t xml:space="preserve">HIV </w:t>
            </w:r>
            <w:r>
              <w:rPr>
                <w:rFonts w:ascii="宋体" w:hAnsi="宋体" w:cs="宋体" w:eastAsia="宋体"/>
                <w:sz w:val="21"/>
              </w:rPr>
              <w:t>的A</w:t>
            </w:r>
            <w:r>
              <w:rPr>
                <w:rFonts w:ascii="宋体" w:hAnsi="宋体" w:cs="宋体" w:eastAsia="宋体"/>
                <w:sz w:val="21"/>
              </w:rPr>
              <w:t>型、B</w:t>
            </w:r>
            <w:r>
              <w:rPr>
                <w:rFonts w:ascii="宋体" w:hAnsi="宋体" w:cs="宋体" w:eastAsia="宋体"/>
                <w:sz w:val="21"/>
              </w:rPr>
              <w:t>型、C</w:t>
            </w:r>
            <w:r>
              <w:rPr>
                <w:rFonts w:ascii="宋体" w:hAnsi="宋体" w:cs="宋体" w:eastAsia="宋体"/>
                <w:sz w:val="21"/>
              </w:rPr>
              <w:t>型以及AB</w:t>
            </w:r>
            <w:r>
              <w:rPr>
                <w:rFonts w:ascii="宋体" w:hAnsi="宋体" w:cs="宋体" w:eastAsia="宋体"/>
                <w:sz w:val="21"/>
              </w:rPr>
              <w:t>重组型、N</w:t>
            </w:r>
            <w:r>
              <w:rPr>
                <w:rFonts w:ascii="宋体" w:hAnsi="宋体" w:cs="宋体" w:eastAsia="宋体"/>
                <w:sz w:val="21"/>
              </w:rPr>
              <w:t>组和O</w:t>
            </w:r>
            <w:r>
              <w:rPr>
                <w:rFonts w:ascii="宋体" w:hAnsi="宋体" w:cs="宋体" w:eastAsia="宋体"/>
                <w:sz w:val="21"/>
              </w:rPr>
              <w:t>组基因型。</w:t>
            </w:r>
          </w:p>
          <w:p>
            <w:pPr>
              <w:pStyle w:val="null3"/>
              <w:jc w:val="both"/>
            </w:pPr>
            <w:r>
              <w:rPr>
                <w:rFonts w:ascii="宋体" w:hAnsi="宋体" w:cs="宋体" w:eastAsia="宋体"/>
                <w:sz w:val="21"/>
              </w:rPr>
              <w:t>4.</w:t>
            </w:r>
            <w:r>
              <w:rPr>
                <w:rFonts w:ascii="宋体" w:hAnsi="宋体" w:cs="宋体" w:eastAsia="宋体"/>
                <w:sz w:val="21"/>
              </w:rPr>
              <w:t>特异性：双靶标检测，含有</w:t>
            </w:r>
            <w:r>
              <w:rPr>
                <w:rFonts w:ascii="宋体" w:hAnsi="宋体" w:cs="宋体" w:eastAsia="宋体"/>
                <w:sz w:val="21"/>
              </w:rPr>
              <w:t>HIV-1 pol</w:t>
            </w:r>
            <w:r>
              <w:rPr>
                <w:rFonts w:ascii="宋体" w:hAnsi="宋体" w:cs="宋体" w:eastAsia="宋体"/>
                <w:sz w:val="21"/>
              </w:rPr>
              <w:t>基因和LTR</w:t>
            </w:r>
            <w:r>
              <w:rPr>
                <w:rFonts w:ascii="宋体" w:hAnsi="宋体" w:cs="宋体" w:eastAsia="宋体"/>
                <w:sz w:val="21"/>
              </w:rPr>
              <w:t>区域，与其它病原体无交叉反应，结果不受药物及其它物质干扰。</w:t>
            </w:r>
          </w:p>
          <w:p>
            <w:pPr>
              <w:pStyle w:val="null3"/>
              <w:jc w:val="both"/>
            </w:pPr>
            <w:r>
              <w:rPr>
                <w:rFonts w:ascii="宋体" w:hAnsi="宋体" w:cs="宋体" w:eastAsia="宋体"/>
                <w:sz w:val="21"/>
              </w:rPr>
              <w:t xml:space="preserve">5. </w:t>
            </w:r>
            <w:r>
              <w:rPr>
                <w:rFonts w:ascii="宋体" w:hAnsi="宋体" w:cs="宋体" w:eastAsia="宋体"/>
                <w:sz w:val="21"/>
              </w:rPr>
              <w:t>定量方法：内标定量，精确定量，结果可溯源。</w:t>
            </w:r>
          </w:p>
          <w:p>
            <w:pPr>
              <w:pStyle w:val="null3"/>
              <w:jc w:val="both"/>
            </w:pPr>
            <w:r>
              <w:rPr>
                <w:rFonts w:ascii="宋体" w:hAnsi="宋体" w:cs="宋体" w:eastAsia="宋体"/>
                <w:sz w:val="21"/>
              </w:rPr>
              <w:t xml:space="preserve">6. </w:t>
            </w:r>
            <w:r>
              <w:rPr>
                <w:rFonts w:ascii="宋体" w:hAnsi="宋体" w:cs="宋体" w:eastAsia="宋体"/>
                <w:sz w:val="21"/>
              </w:rPr>
              <w:t>试剂上样量≤1000ul</w:t>
            </w:r>
            <w:r>
              <w:rPr>
                <w:rFonts w:ascii="宋体" w:hAnsi="宋体" w:cs="宋体" w:eastAsia="宋体"/>
                <w:sz w:val="21"/>
              </w:rPr>
              <w:t>。</w:t>
            </w:r>
          </w:p>
          <w:p>
            <w:pPr>
              <w:pStyle w:val="null3"/>
              <w:jc w:val="both"/>
            </w:pPr>
            <w:r>
              <w:rPr>
                <w:rFonts w:ascii="宋体" w:hAnsi="宋体" w:cs="宋体" w:eastAsia="宋体"/>
                <w:sz w:val="21"/>
              </w:rPr>
              <w:t xml:space="preserve">7. </w:t>
            </w:r>
            <w:r>
              <w:rPr>
                <w:rFonts w:ascii="宋体" w:hAnsi="宋体" w:cs="宋体" w:eastAsia="宋体"/>
                <w:sz w:val="21"/>
              </w:rPr>
              <w:t>线性范围：涵盖30</w:t>
            </w:r>
            <w:r>
              <w:rPr>
                <w:sz w:val="21"/>
              </w:rPr>
              <w:t xml:space="preserve"> IU/mL</w:t>
            </w:r>
            <w:r>
              <w:rPr>
                <w:rFonts w:ascii="宋体" w:hAnsi="宋体" w:cs="宋体" w:eastAsia="宋体"/>
                <w:sz w:val="21"/>
              </w:rPr>
              <w:t>～</w:t>
            </w:r>
            <w:r>
              <w:rPr>
                <w:rFonts w:ascii="宋体" w:hAnsi="宋体" w:cs="宋体" w:eastAsia="宋体"/>
                <w:sz w:val="21"/>
              </w:rPr>
              <w:t>1.0</w:t>
            </w:r>
            <w:r>
              <w:rPr>
                <w:rFonts w:ascii="宋体" w:hAnsi="宋体" w:cs="宋体" w:eastAsia="宋体"/>
                <w:sz w:val="21"/>
              </w:rPr>
              <w:t>×10</w:t>
            </w:r>
            <w:r>
              <w:rPr>
                <w:rFonts w:ascii="宋体" w:hAnsi="宋体" w:cs="宋体" w:eastAsia="宋体"/>
                <w:sz w:val="21"/>
                <w:vertAlign w:val="superscript"/>
              </w:rPr>
              <w:t xml:space="preserve">7 </w:t>
            </w:r>
            <w:r>
              <w:rPr>
                <w:sz w:val="21"/>
              </w:rPr>
              <w:t>IU/</w:t>
            </w:r>
            <w:r>
              <w:rPr>
                <w:rFonts w:ascii="宋体" w:hAnsi="宋体" w:cs="宋体" w:eastAsia="宋体"/>
                <w:sz w:val="21"/>
              </w:rPr>
              <w:t>m</w:t>
            </w:r>
            <w:r>
              <w:rPr>
                <w:sz w:val="21"/>
              </w:rPr>
              <w:t>L</w:t>
            </w:r>
            <w:r>
              <w:rPr>
                <w:rFonts w:ascii="宋体" w:hAnsi="宋体" w:cs="宋体" w:eastAsia="宋体"/>
                <w:sz w:val="21"/>
              </w:rPr>
              <w:t xml:space="preserve"> </w:t>
            </w:r>
            <w:r>
              <w:rPr>
                <w:rFonts w:ascii="宋体" w:hAnsi="宋体" w:cs="宋体" w:eastAsia="宋体"/>
                <w:sz w:val="21"/>
              </w:rPr>
              <w:t>。</w:t>
            </w:r>
          </w:p>
          <w:p>
            <w:pPr>
              <w:pStyle w:val="null3"/>
              <w:jc w:val="both"/>
            </w:pPr>
            <w:r>
              <w:rPr>
                <w:rFonts w:ascii="宋体" w:hAnsi="宋体" w:cs="宋体" w:eastAsia="宋体"/>
                <w:sz w:val="21"/>
              </w:rPr>
              <w:t xml:space="preserve">8. </w:t>
            </w:r>
            <w:r>
              <w:rPr>
                <w:rFonts w:ascii="宋体" w:hAnsi="宋体" w:cs="宋体" w:eastAsia="宋体"/>
                <w:sz w:val="21"/>
              </w:rPr>
              <w:t>试剂盒规格：≥48</w:t>
            </w:r>
            <w:r>
              <w:rPr>
                <w:rFonts w:ascii="宋体" w:hAnsi="宋体" w:cs="宋体" w:eastAsia="宋体"/>
                <w:sz w:val="21"/>
              </w:rPr>
              <w:t>人份/</w:t>
            </w:r>
            <w:r>
              <w:rPr>
                <w:rFonts w:ascii="宋体" w:hAnsi="宋体" w:cs="宋体" w:eastAsia="宋体"/>
                <w:sz w:val="21"/>
              </w:rPr>
              <w:t>盒。</w:t>
            </w:r>
          </w:p>
          <w:p>
            <w:pPr>
              <w:pStyle w:val="null3"/>
              <w:jc w:val="both"/>
            </w:pPr>
            <w:r>
              <w:rPr>
                <w:rFonts w:ascii="宋体" w:hAnsi="宋体" w:cs="宋体" w:eastAsia="宋体"/>
                <w:sz w:val="21"/>
              </w:rPr>
              <w:t xml:space="preserve">9. </w:t>
            </w:r>
            <w:r>
              <w:rPr>
                <w:rFonts w:ascii="宋体" w:hAnsi="宋体" w:cs="宋体" w:eastAsia="宋体"/>
                <w:sz w:val="21"/>
              </w:rPr>
              <w:t>质控品：试剂盒自带阴性对照、阳性对照、临界阳性对照。</w:t>
            </w:r>
          </w:p>
          <w:p>
            <w:pPr>
              <w:pStyle w:val="null3"/>
              <w:jc w:val="both"/>
            </w:pPr>
            <w:r>
              <w:rPr>
                <w:rFonts w:ascii="宋体" w:hAnsi="宋体" w:cs="宋体" w:eastAsia="宋体"/>
                <w:sz w:val="21"/>
              </w:rPr>
              <w:t xml:space="preserve">10. </w:t>
            </w:r>
            <w:r>
              <w:rPr>
                <w:rFonts w:ascii="宋体" w:hAnsi="宋体" w:cs="宋体" w:eastAsia="宋体"/>
                <w:sz w:val="21"/>
              </w:rPr>
              <w:t>试剂盒保质期：≥12</w:t>
            </w:r>
            <w:r>
              <w:rPr>
                <w:rFonts w:ascii="宋体" w:hAnsi="宋体" w:cs="宋体" w:eastAsia="宋体"/>
                <w:sz w:val="21"/>
              </w:rPr>
              <w:t>个月。</w:t>
            </w:r>
          </w:p>
          <w:p>
            <w:pPr>
              <w:pStyle w:val="null3"/>
              <w:jc w:val="both"/>
            </w:pPr>
            <w:r>
              <w:rPr>
                <w:rFonts w:ascii="宋体" w:hAnsi="宋体" w:cs="宋体" w:eastAsia="宋体"/>
                <w:sz w:val="21"/>
              </w:rPr>
              <w:t>11.</w:t>
            </w:r>
            <w:r>
              <w:rPr>
                <w:sz w:val="21"/>
              </w:rPr>
              <w:t xml:space="preserve"> </w:t>
            </w:r>
            <w:r>
              <w:rPr>
                <w:rFonts w:ascii="宋体" w:hAnsi="宋体" w:cs="宋体" w:eastAsia="宋体"/>
                <w:sz w:val="21"/>
              </w:rPr>
              <w:t>试剂性能：试剂参加</w:t>
            </w:r>
            <w:r>
              <w:rPr>
                <w:rFonts w:ascii="宋体" w:hAnsi="宋体" w:cs="宋体" w:eastAsia="宋体"/>
                <w:sz w:val="21"/>
              </w:rPr>
              <w:t>HIV-1 RNA</w:t>
            </w:r>
            <w:r>
              <w:rPr>
                <w:rFonts w:ascii="宋体" w:hAnsi="宋体" w:cs="宋体" w:eastAsia="宋体"/>
                <w:sz w:val="21"/>
              </w:rPr>
              <w:t>国家参考品的检测，结果稳定可靠。</w:t>
            </w:r>
          </w:p>
          <w:p>
            <w:pPr>
              <w:pStyle w:val="null3"/>
              <w:jc w:val="both"/>
            </w:pPr>
            <w:r>
              <w:rPr>
                <w:rFonts w:ascii="宋体" w:hAnsi="宋体" w:cs="宋体" w:eastAsia="宋体"/>
                <w:sz w:val="21"/>
              </w:rPr>
              <w:t>12.</w:t>
            </w:r>
            <w:r>
              <w:rPr>
                <w:sz w:val="21"/>
              </w:rPr>
              <w:t xml:space="preserve"> </w:t>
            </w:r>
            <w:r>
              <w:rPr>
                <w:rFonts w:ascii="宋体" w:hAnsi="宋体" w:cs="宋体" w:eastAsia="宋体"/>
                <w:sz w:val="21"/>
              </w:rPr>
              <w:t>试剂可配套丽珠</w:t>
            </w:r>
            <w:r>
              <w:rPr>
                <w:rFonts w:ascii="宋体" w:hAnsi="宋体" w:cs="宋体" w:eastAsia="宋体"/>
                <w:sz w:val="21"/>
              </w:rPr>
              <w:t>HIV-1</w:t>
            </w:r>
            <w:r>
              <w:rPr>
                <w:rFonts w:ascii="宋体" w:hAnsi="宋体" w:cs="宋体" w:eastAsia="宋体"/>
                <w:sz w:val="21"/>
              </w:rPr>
              <w:t>病毒载量核酸测定系统使用。</w:t>
            </w:r>
          </w:p>
          <w:p>
            <w:pPr>
              <w:pStyle w:val="null3"/>
              <w:jc w:val="both"/>
            </w:pPr>
            <w:r>
              <w:rPr>
                <w:rFonts w:ascii="宋体" w:hAnsi="宋体" w:cs="宋体" w:eastAsia="宋体"/>
                <w:sz w:val="21"/>
              </w:rPr>
              <w:t>13.</w:t>
            </w:r>
            <w:r>
              <w:rPr>
                <w:sz w:val="21"/>
              </w:rPr>
              <w:t xml:space="preserve"> </w:t>
            </w:r>
            <w:r>
              <w:rPr>
                <w:rFonts w:ascii="宋体" w:hAnsi="宋体" w:cs="宋体" w:eastAsia="宋体"/>
                <w:sz w:val="21"/>
              </w:rPr>
              <w:t>试剂</w:t>
            </w:r>
            <w:r>
              <w:rPr>
                <w:rFonts w:ascii="宋体" w:hAnsi="宋体" w:cs="宋体" w:eastAsia="宋体"/>
                <w:color w:val="000000"/>
                <w:sz w:val="21"/>
                <w:shd w:fill="FFFFFF" w:val="clear"/>
              </w:rPr>
              <w:t>获得国家食品药品监督管理局注册证。</w:t>
            </w:r>
          </w:p>
          <w:p>
            <w:pPr>
              <w:pStyle w:val="null3"/>
              <w:jc w:val="both"/>
            </w:pPr>
            <w:r>
              <w:rPr>
                <w:rFonts w:ascii="宋体" w:hAnsi="宋体" w:cs="宋体" w:eastAsia="宋体"/>
                <w:color w:val="000000"/>
                <w:sz w:val="21"/>
                <w:shd w:fill="FFFFFF" w:val="clear"/>
              </w:rPr>
              <w:t>14.</w:t>
            </w:r>
            <w:r>
              <w:rPr>
                <w:sz w:val="21"/>
              </w:rPr>
              <w:t xml:space="preserve"> </w:t>
            </w:r>
            <w:r>
              <w:rPr>
                <w:rFonts w:ascii="宋体" w:hAnsi="宋体" w:cs="宋体" w:eastAsia="宋体"/>
                <w:color w:val="000000"/>
                <w:sz w:val="21"/>
                <w:shd w:fill="FFFFFF" w:val="clear"/>
              </w:rPr>
              <w:t>试剂经</w:t>
            </w:r>
            <w:r>
              <w:rPr>
                <w:rFonts w:ascii="宋体" w:hAnsi="宋体" w:cs="宋体" w:eastAsia="宋体"/>
                <w:sz w:val="21"/>
              </w:rPr>
              <w:t>中国药品生物制品检定所批检合格，经国家参比实验室评比结果稳定。</w:t>
            </w:r>
          </w:p>
          <w:p>
            <w:pPr>
              <w:pStyle w:val="null3"/>
              <w:jc w:val="both"/>
            </w:pP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标的名称：CD4+T淋巴细胞检测试剂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05" w:after="105"/>
              <w:jc w:val="both"/>
            </w:pPr>
            <w:r>
              <w:rPr>
                <w:rFonts w:ascii="宋体" w:hAnsi="宋体" w:cs="宋体" w:eastAsia="宋体"/>
                <w:sz w:val="21"/>
              </w:rPr>
              <w:t>1.检测原理：流式细胞仪微球法检测，免洗法，样品为全血细胞，用于检测白细胞上CD4、CD8、CD3分子；仪器能自动报告CD4+T、CD8+T和CD3+T淋巴细胞绝对计数及百分比率。</w:t>
            </w:r>
          </w:p>
          <w:p>
            <w:pPr>
              <w:pStyle w:val="null3"/>
              <w:jc w:val="both"/>
            </w:pPr>
            <w:r>
              <w:rPr>
                <w:rFonts w:ascii="宋体" w:hAnsi="宋体" w:cs="宋体" w:eastAsia="宋体"/>
                <w:sz w:val="21"/>
              </w:rPr>
              <w:t>2.试剂内容：荧光素FITC、PE、PerCP标记的CD4/CD8/CD3抗体和裂解红细胞专用溶血素。</w:t>
            </w:r>
          </w:p>
          <w:p>
            <w:pPr>
              <w:pStyle w:val="null3"/>
              <w:jc w:val="both"/>
            </w:pPr>
            <w:r>
              <w:rPr>
                <w:rFonts w:ascii="宋体" w:hAnsi="宋体" w:cs="宋体" w:eastAsia="宋体"/>
                <w:sz w:val="21"/>
              </w:rPr>
              <w:t>3.配套同品牌单人份包装绝对计数微球管，并获得国家食品药品监督管理局注册证。</w:t>
            </w:r>
          </w:p>
          <w:p>
            <w:pPr>
              <w:pStyle w:val="null3"/>
              <w:jc w:val="both"/>
            </w:pPr>
            <w:r>
              <w:rPr>
                <w:rFonts w:ascii="宋体" w:hAnsi="宋体" w:cs="宋体" w:eastAsia="宋体"/>
                <w:sz w:val="21"/>
              </w:rPr>
              <w:t>4.配套同品牌三色FITC/PE/PerCP自动化校准微球，可匹配FACSComp自动化校准软件，可实现对仪器电压、补偿、阈值等试验参数的自动调节，自动形成质控报告和LJ质控文件，校准微球获得国家食品药品监督管理局的注册证。</w:t>
            </w:r>
          </w:p>
          <w:p>
            <w:pPr>
              <w:pStyle w:val="null3"/>
              <w:jc w:val="both"/>
            </w:pPr>
            <w:r>
              <w:rPr>
                <w:rFonts w:ascii="宋体" w:hAnsi="宋体" w:cs="宋体" w:eastAsia="宋体"/>
                <w:sz w:val="21"/>
              </w:rPr>
              <w:t>5.上述试剂和校准微球配合FACSCalibur仪器使用，匹配该仪器的质控软件及淋巴细胞自动化分析软件。</w:t>
            </w:r>
          </w:p>
          <w:p>
            <w:pPr>
              <w:pStyle w:val="null3"/>
              <w:jc w:val="both"/>
            </w:pPr>
            <w:r>
              <w:rPr>
                <w:rFonts w:ascii="宋体" w:hAnsi="宋体" w:cs="宋体" w:eastAsia="宋体"/>
                <w:sz w:val="21"/>
              </w:rPr>
              <w:t>6.试剂到交货地点的有效期≥12月。</w:t>
            </w:r>
          </w:p>
          <w:p>
            <w:pPr>
              <w:pStyle w:val="null3"/>
              <w:jc w:val="both"/>
            </w:pPr>
            <w:r>
              <w:rPr>
                <w:rFonts w:ascii="宋体" w:hAnsi="宋体" w:cs="宋体" w:eastAsia="宋体"/>
                <w:sz w:val="21"/>
              </w:rPr>
              <w:t>7.试剂获得国家食品药品监督管理局注册证。</w:t>
            </w:r>
          </w:p>
          <w:p>
            <w:pPr>
              <w:pStyle w:val="null3"/>
              <w:jc w:val="both"/>
            </w:pPr>
            <w:r>
              <w:rPr>
                <w:rFonts w:ascii="宋体" w:hAnsi="宋体" w:cs="宋体" w:eastAsia="宋体"/>
                <w:sz w:val="21"/>
              </w:rPr>
              <w:t>8.试剂经中国药品生物制品检定所批检合格，经国家参比实验室评比结果稳定。</w:t>
            </w:r>
          </w:p>
          <w:p>
            <w:pPr>
              <w:pStyle w:val="null3"/>
              <w:spacing w:before="105" w:after="105"/>
              <w:jc w:val="left"/>
            </w:pP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标的名称：HIV/HCV/TP抗体快检三联试剂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1"/>
              </w:rPr>
              <w:t>1.</w:t>
            </w:r>
            <w:r>
              <w:rPr>
                <w:rFonts w:ascii="宋体" w:hAnsi="宋体" w:cs="宋体" w:eastAsia="宋体"/>
                <w:sz w:val="21"/>
              </w:rPr>
              <w:t>包装规格：单人份包装</w:t>
            </w:r>
            <w:r>
              <w:rPr>
                <w:rFonts w:ascii="宋体" w:hAnsi="宋体" w:cs="宋体" w:eastAsia="宋体"/>
                <w:sz w:val="21"/>
              </w:rPr>
              <w:t>。</w:t>
            </w:r>
          </w:p>
          <w:p>
            <w:pPr>
              <w:pStyle w:val="null3"/>
            </w:pPr>
            <w:r>
              <w:rPr>
                <w:rFonts w:ascii="宋体" w:hAnsi="宋体" w:cs="宋体" w:eastAsia="宋体"/>
                <w:sz w:val="21"/>
              </w:rPr>
              <w:t>2.</w:t>
            </w:r>
            <w:r>
              <w:rPr>
                <w:rFonts w:ascii="宋体" w:hAnsi="宋体" w:cs="宋体" w:eastAsia="宋体"/>
                <w:sz w:val="21"/>
              </w:rPr>
              <w:t>检测原理：胶体金法。</w:t>
            </w:r>
            <w:r>
              <w:rPr>
                <w:rFonts w:ascii="宋体" w:hAnsi="宋体" w:cs="宋体" w:eastAsia="宋体"/>
                <w:sz w:val="21"/>
              </w:rPr>
              <w:t>定性检测人类免疫缺陷病毒抗体、梅毒螺旋体抗体、丙型肝炎病毒抗体，测试结果应在</w:t>
            </w:r>
            <w:r>
              <w:rPr>
                <w:sz w:val="21"/>
              </w:rPr>
              <w:t>30</w:t>
            </w:r>
            <w:r>
              <w:rPr>
                <w:rFonts w:ascii="宋体" w:hAnsi="宋体" w:cs="宋体" w:eastAsia="宋体"/>
                <w:sz w:val="21"/>
              </w:rPr>
              <w:t>分钟内读取</w:t>
            </w:r>
            <w:r>
              <w:rPr>
                <w:rFonts w:ascii="宋体" w:hAnsi="宋体" w:cs="宋体" w:eastAsia="宋体"/>
                <w:sz w:val="21"/>
              </w:rPr>
              <w:t>。</w:t>
            </w:r>
          </w:p>
          <w:p>
            <w:pPr>
              <w:pStyle w:val="null3"/>
            </w:pPr>
            <w:r>
              <w:rPr>
                <w:rFonts w:ascii="宋体" w:hAnsi="宋体" w:cs="宋体" w:eastAsia="宋体"/>
                <w:sz w:val="21"/>
              </w:rPr>
              <w:t>3.</w:t>
            </w:r>
            <w:r>
              <w:rPr>
                <w:sz w:val="21"/>
              </w:rPr>
              <w:t>HIV/HCV/TP</w:t>
            </w:r>
            <w:r>
              <w:rPr>
                <w:rFonts w:ascii="宋体" w:hAnsi="宋体" w:cs="宋体" w:eastAsia="宋体"/>
                <w:sz w:val="21"/>
              </w:rPr>
              <w:t>三条带分别包被各自抗原，分别显色。</w:t>
            </w:r>
          </w:p>
          <w:p>
            <w:pPr>
              <w:pStyle w:val="null3"/>
            </w:pPr>
            <w:r>
              <w:rPr>
                <w:rFonts w:ascii="宋体" w:hAnsi="宋体" w:cs="宋体" w:eastAsia="宋体"/>
                <w:sz w:val="21"/>
              </w:rPr>
              <w:t>4.</w:t>
            </w:r>
            <w:r>
              <w:rPr>
                <w:rFonts w:ascii="宋体" w:hAnsi="宋体" w:cs="宋体" w:eastAsia="宋体"/>
                <w:sz w:val="21"/>
              </w:rPr>
              <w:t>检测板上设有质控带，能清晰显色。</w:t>
            </w:r>
          </w:p>
          <w:p>
            <w:pPr>
              <w:pStyle w:val="null3"/>
            </w:pPr>
            <w:r>
              <w:rPr>
                <w:rFonts w:ascii="宋体" w:hAnsi="宋体" w:cs="宋体" w:eastAsia="宋体"/>
                <w:sz w:val="21"/>
              </w:rPr>
              <w:t>5.</w:t>
            </w:r>
            <w:r>
              <w:rPr>
                <w:rFonts w:ascii="宋体" w:hAnsi="宋体" w:cs="宋体" w:eastAsia="宋体"/>
                <w:sz w:val="21"/>
              </w:rPr>
              <w:t>能够检测血清、血浆、全血标本</w:t>
            </w:r>
            <w:r>
              <w:rPr>
                <w:rFonts w:ascii="宋体" w:hAnsi="宋体" w:cs="宋体" w:eastAsia="宋体"/>
                <w:sz w:val="21"/>
              </w:rPr>
              <w:t>。</w:t>
            </w:r>
          </w:p>
          <w:p>
            <w:pPr>
              <w:pStyle w:val="null3"/>
            </w:pPr>
            <w:r>
              <w:rPr>
                <w:rFonts w:ascii="宋体" w:hAnsi="宋体" w:cs="宋体" w:eastAsia="宋体"/>
                <w:sz w:val="21"/>
              </w:rPr>
              <w:t>6.</w:t>
            </w:r>
            <w:r>
              <w:rPr>
                <w:rFonts w:ascii="宋体" w:hAnsi="宋体" w:cs="宋体" w:eastAsia="宋体"/>
                <w:sz w:val="21"/>
              </w:rPr>
              <w:t>敏感性和特异性均</w:t>
            </w:r>
            <w:r>
              <w:rPr>
                <w:rFonts w:ascii="宋体" w:hAnsi="宋体" w:cs="宋体" w:eastAsia="宋体"/>
                <w:sz w:val="21"/>
              </w:rPr>
              <w:t>≥</w:t>
            </w:r>
            <w:r>
              <w:rPr>
                <w:sz w:val="21"/>
              </w:rPr>
              <w:t>97%</w:t>
            </w:r>
            <w:r>
              <w:rPr>
                <w:rFonts w:ascii="宋体" w:hAnsi="宋体" w:cs="宋体" w:eastAsia="宋体"/>
                <w:sz w:val="21"/>
              </w:rPr>
              <w:t>。</w:t>
            </w:r>
          </w:p>
          <w:p>
            <w:pPr>
              <w:pStyle w:val="null3"/>
            </w:pPr>
            <w:r>
              <w:rPr>
                <w:rFonts w:ascii="宋体" w:hAnsi="宋体" w:cs="宋体" w:eastAsia="宋体"/>
                <w:sz w:val="21"/>
              </w:rPr>
              <w:t>7.</w:t>
            </w:r>
            <w:r>
              <w:rPr>
                <w:rFonts w:ascii="宋体" w:hAnsi="宋体" w:cs="宋体" w:eastAsia="宋体"/>
                <w:sz w:val="21"/>
              </w:rPr>
              <w:t>可在常温（</w:t>
            </w:r>
            <w:r>
              <w:rPr>
                <w:sz w:val="21"/>
              </w:rPr>
              <w:t>4</w:t>
            </w:r>
            <w:r>
              <w:rPr>
                <w:rFonts w:ascii="宋体" w:hAnsi="宋体" w:cs="宋体" w:eastAsia="宋体"/>
                <w:sz w:val="21"/>
              </w:rPr>
              <w:t>～30℃</w:t>
            </w:r>
            <w:r>
              <w:rPr>
                <w:rFonts w:ascii="宋体" w:hAnsi="宋体" w:cs="宋体" w:eastAsia="宋体"/>
                <w:sz w:val="21"/>
              </w:rPr>
              <w:t>）下保存</w:t>
            </w:r>
            <w:r>
              <w:rPr>
                <w:rFonts w:ascii="宋体" w:hAnsi="宋体" w:cs="宋体" w:eastAsia="宋体"/>
                <w:sz w:val="21"/>
              </w:rPr>
              <w:t>。</w:t>
            </w:r>
          </w:p>
          <w:p>
            <w:pPr>
              <w:pStyle w:val="null3"/>
            </w:pPr>
            <w:r>
              <w:rPr>
                <w:rFonts w:ascii="宋体" w:hAnsi="宋体" w:cs="宋体" w:eastAsia="宋体"/>
                <w:sz w:val="21"/>
              </w:rPr>
              <w:t>8.</w:t>
            </w:r>
            <w:r>
              <w:rPr>
                <w:rFonts w:ascii="宋体" w:hAnsi="宋体" w:cs="宋体" w:eastAsia="宋体"/>
                <w:sz w:val="21"/>
              </w:rPr>
              <w:t>产品</w:t>
            </w:r>
            <w:r>
              <w:rPr>
                <w:rFonts w:ascii="宋体" w:hAnsi="宋体" w:cs="宋体" w:eastAsia="宋体"/>
                <w:sz w:val="21"/>
              </w:rPr>
              <w:t>到交货地点的有效期</w:t>
            </w:r>
            <w:r>
              <w:rPr>
                <w:rFonts w:ascii="宋体" w:hAnsi="宋体" w:cs="宋体" w:eastAsia="宋体"/>
                <w:sz w:val="21"/>
              </w:rPr>
              <w:t>≥</w:t>
            </w:r>
            <w:r>
              <w:rPr>
                <w:sz w:val="21"/>
              </w:rPr>
              <w:t>1</w:t>
            </w:r>
            <w:r>
              <w:rPr>
                <w:rFonts w:ascii="宋体" w:hAnsi="宋体" w:cs="宋体" w:eastAsia="宋体"/>
                <w:sz w:val="21"/>
              </w:rPr>
              <w:t>2</w:t>
            </w:r>
            <w:r>
              <w:rPr>
                <w:rFonts w:ascii="宋体" w:hAnsi="宋体" w:cs="宋体" w:eastAsia="宋体"/>
                <w:sz w:val="21"/>
              </w:rPr>
              <w:t>个月</w:t>
            </w:r>
            <w:r>
              <w:rPr>
                <w:rFonts w:ascii="宋体" w:hAnsi="宋体" w:cs="宋体" w:eastAsia="宋体"/>
                <w:sz w:val="21"/>
              </w:rPr>
              <w:t>。</w:t>
            </w:r>
          </w:p>
          <w:p>
            <w:pPr>
              <w:pStyle w:val="null3"/>
            </w:pPr>
            <w:r>
              <w:rPr>
                <w:rFonts w:ascii="宋体" w:hAnsi="宋体" w:cs="宋体" w:eastAsia="宋体"/>
                <w:sz w:val="21"/>
              </w:rPr>
              <w:t>9.</w:t>
            </w:r>
            <w:r>
              <w:rPr>
                <w:rFonts w:ascii="宋体" w:hAnsi="宋体" w:cs="宋体" w:eastAsia="宋体"/>
                <w:sz w:val="21"/>
              </w:rPr>
              <w:t>试剂</w:t>
            </w:r>
            <w:r>
              <w:rPr>
                <w:rFonts w:ascii="宋体" w:hAnsi="宋体" w:cs="宋体" w:eastAsia="宋体"/>
                <w:sz w:val="21"/>
              </w:rPr>
              <w:t>获得国家食品药品监督管理局注册证。</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标的名称：尿液HIV抗体快速检测试剂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1.</w:t>
            </w:r>
            <w:r>
              <w:rPr>
                <w:rFonts w:ascii="宋体" w:hAnsi="宋体" w:cs="宋体" w:eastAsia="宋体"/>
                <w:sz w:val="21"/>
              </w:rPr>
              <w:t>检测目的：体外定性检测人尿液样本中的HIV-1</w:t>
            </w:r>
            <w:r>
              <w:rPr>
                <w:rFonts w:ascii="宋体" w:hAnsi="宋体" w:cs="宋体" w:eastAsia="宋体"/>
                <w:sz w:val="21"/>
              </w:rPr>
              <w:t>抗体，可用于普通人群自检。</w:t>
            </w:r>
          </w:p>
          <w:p>
            <w:pPr>
              <w:pStyle w:val="null3"/>
              <w:jc w:val="both"/>
            </w:pPr>
            <w:r>
              <w:rPr>
                <w:rFonts w:ascii="宋体" w:hAnsi="宋体" w:cs="宋体" w:eastAsia="宋体"/>
                <w:sz w:val="21"/>
              </w:rPr>
              <w:t>2.</w:t>
            </w:r>
            <w:r>
              <w:rPr>
                <w:rFonts w:ascii="宋体" w:hAnsi="宋体" w:cs="宋体" w:eastAsia="宋体"/>
                <w:sz w:val="21"/>
              </w:rPr>
              <w:t>检测方法：胶体金法；</w:t>
            </w:r>
          </w:p>
          <w:p>
            <w:pPr>
              <w:pStyle w:val="null3"/>
              <w:jc w:val="both"/>
            </w:pPr>
            <w:r>
              <w:rPr>
                <w:rFonts w:ascii="宋体" w:hAnsi="宋体" w:cs="宋体" w:eastAsia="宋体"/>
                <w:sz w:val="21"/>
              </w:rPr>
              <w:t>3.</w:t>
            </w:r>
            <w:r>
              <w:rPr>
                <w:rFonts w:ascii="宋体" w:hAnsi="宋体" w:cs="宋体" w:eastAsia="宋体"/>
                <w:sz w:val="21"/>
              </w:rPr>
              <w:t>储存条件及有效期：2-30</w:t>
            </w:r>
            <w:r>
              <w:rPr>
                <w:rFonts w:ascii="宋体" w:hAnsi="宋体" w:cs="宋体" w:eastAsia="宋体"/>
                <w:sz w:val="21"/>
              </w:rPr>
              <w:t>℃干燥处保存时，有效期≥12</w:t>
            </w:r>
            <w:r>
              <w:rPr>
                <w:rFonts w:ascii="宋体" w:hAnsi="宋体" w:cs="宋体" w:eastAsia="宋体"/>
                <w:sz w:val="21"/>
              </w:rPr>
              <w:t>个月；</w:t>
            </w:r>
          </w:p>
          <w:p>
            <w:pPr>
              <w:pStyle w:val="null3"/>
              <w:jc w:val="both"/>
            </w:pPr>
            <w:r>
              <w:rPr>
                <w:rFonts w:ascii="宋体" w:hAnsi="宋体" w:cs="宋体" w:eastAsia="宋体"/>
                <w:sz w:val="21"/>
              </w:rPr>
              <w:t>4.</w:t>
            </w:r>
            <w:r>
              <w:rPr>
                <w:rFonts w:ascii="宋体" w:hAnsi="宋体" w:cs="宋体" w:eastAsia="宋体"/>
                <w:sz w:val="21"/>
              </w:rPr>
              <w:t>判定时间：15min</w:t>
            </w:r>
            <w:r>
              <w:rPr>
                <w:rFonts w:ascii="宋体" w:hAnsi="宋体" w:cs="宋体" w:eastAsia="宋体"/>
                <w:sz w:val="21"/>
              </w:rPr>
              <w:t>内可以进行结果判定；</w:t>
            </w:r>
          </w:p>
          <w:p>
            <w:pPr>
              <w:pStyle w:val="null3"/>
              <w:jc w:val="both"/>
            </w:pPr>
            <w:r>
              <w:rPr>
                <w:rFonts w:ascii="宋体" w:hAnsi="宋体" w:cs="宋体" w:eastAsia="宋体"/>
                <w:sz w:val="21"/>
              </w:rPr>
              <w:t>5.</w:t>
            </w:r>
            <w:r>
              <w:rPr>
                <w:rFonts w:ascii="宋体" w:hAnsi="宋体" w:cs="宋体" w:eastAsia="宋体"/>
                <w:sz w:val="21"/>
              </w:rPr>
              <w:t>灵敏度：检出率98%</w:t>
            </w:r>
            <w:r>
              <w:rPr>
                <w:rFonts w:ascii="宋体" w:hAnsi="宋体" w:cs="宋体" w:eastAsia="宋体"/>
                <w:sz w:val="21"/>
              </w:rPr>
              <w:t>以上；最低检出限为0.2NCU/mL</w:t>
            </w:r>
            <w:r>
              <w:rPr>
                <w:rFonts w:ascii="宋体" w:hAnsi="宋体" w:cs="宋体" w:eastAsia="宋体"/>
                <w:sz w:val="21"/>
              </w:rPr>
              <w:t>。</w:t>
            </w:r>
          </w:p>
          <w:p>
            <w:pPr>
              <w:pStyle w:val="null3"/>
              <w:jc w:val="both"/>
            </w:pPr>
            <w:r>
              <w:rPr>
                <w:rFonts w:ascii="宋体" w:hAnsi="宋体" w:cs="宋体" w:eastAsia="宋体"/>
                <w:sz w:val="21"/>
              </w:rPr>
              <w:t>6.</w:t>
            </w:r>
            <w:r>
              <w:rPr>
                <w:rFonts w:ascii="宋体" w:hAnsi="宋体" w:cs="宋体" w:eastAsia="宋体"/>
                <w:sz w:val="21"/>
              </w:rPr>
              <w:t>特异性：有较高的特异性，与其他病毒以及类风湿因子、系统性红斑狼疮、抗核抗体阳性样本无交叉反应。</w:t>
            </w:r>
          </w:p>
          <w:p>
            <w:pPr>
              <w:pStyle w:val="null3"/>
              <w:jc w:val="both"/>
            </w:pPr>
            <w:r>
              <w:rPr>
                <w:rFonts w:ascii="宋体" w:hAnsi="宋体" w:cs="宋体" w:eastAsia="宋体"/>
                <w:sz w:val="21"/>
              </w:rPr>
              <w:t>7.</w:t>
            </w:r>
            <w:r>
              <w:rPr>
                <w:rFonts w:ascii="宋体" w:hAnsi="宋体" w:cs="宋体" w:eastAsia="宋体"/>
                <w:sz w:val="21"/>
              </w:rPr>
              <w:t>产品性能：阳性符合率≥99%</w:t>
            </w:r>
            <w:r>
              <w:rPr>
                <w:rFonts w:ascii="宋体" w:hAnsi="宋体" w:cs="宋体" w:eastAsia="宋体"/>
                <w:sz w:val="21"/>
              </w:rPr>
              <w:t>，阴性符合率≥99%</w:t>
            </w:r>
            <w:r>
              <w:rPr>
                <w:rFonts w:ascii="宋体" w:hAnsi="宋体" w:cs="宋体" w:eastAsia="宋体"/>
                <w:sz w:val="21"/>
              </w:rPr>
              <w:t>，总符合率≥99%</w:t>
            </w:r>
            <w:r>
              <w:rPr>
                <w:rFonts w:ascii="宋体" w:hAnsi="宋体" w:cs="宋体" w:eastAsia="宋体"/>
                <w:sz w:val="21"/>
              </w:rPr>
              <w:t>。</w:t>
            </w:r>
          </w:p>
          <w:p>
            <w:pPr>
              <w:pStyle w:val="null3"/>
              <w:jc w:val="both"/>
            </w:pPr>
            <w:r>
              <w:rPr>
                <w:rFonts w:ascii="宋体" w:hAnsi="宋体" w:cs="宋体" w:eastAsia="宋体"/>
                <w:sz w:val="21"/>
              </w:rPr>
              <w:t>8.</w:t>
            </w:r>
            <w:r>
              <w:rPr>
                <w:rFonts w:ascii="宋体" w:hAnsi="宋体" w:cs="宋体" w:eastAsia="宋体"/>
                <w:sz w:val="21"/>
              </w:rPr>
              <w:t>需取得国家食品药品监督管理局注册证，具有国食药监医疗器械注册证书编号，以注册证为准。</w:t>
            </w:r>
          </w:p>
        </w:tc>
      </w:tr>
    </w:tbl>
    <w:p>
      <w:pPr>
        <w:pStyle w:val="null3"/>
        <w:outlineLvl w:val="2"/>
      </w:pPr>
      <w:r>
        <w:rPr>
          <w:b/>
          <w:sz w:val="28"/>
        </w:rPr>
        <w:t>3.4商务要求</w:t>
      </w:r>
    </w:p>
    <w:p>
      <w:pPr>
        <w:pStyle w:val="null3"/>
        <w:outlineLvl w:val="3"/>
      </w:pPr>
      <w:r>
        <w:rPr>
          <w:b/>
          <w:sz w:val="24"/>
        </w:rPr>
        <w:t>3.4.1交货时间</w:t>
      </w:r>
    </w:p>
    <w:p>
      <w:pPr>
        <w:pStyle w:val="null3"/>
      </w:pPr>
      <w:r>
        <w:rPr/>
        <w:t>采购包1：</w:t>
      </w:r>
    </w:p>
    <w:p>
      <w:pPr>
        <w:pStyle w:val="null3"/>
      </w:pPr>
      <w:r>
        <w:rPr/>
        <w:t>合同签订后30天内完成供货及验收</w:t>
      </w:r>
    </w:p>
    <w:p>
      <w:pPr>
        <w:pStyle w:val="null3"/>
      </w:pPr>
      <w:r>
        <w:rPr/>
        <w:t>采购包2：</w:t>
      </w:r>
    </w:p>
    <w:p>
      <w:pPr>
        <w:pStyle w:val="null3"/>
      </w:pPr>
      <w:r>
        <w:rPr/>
        <w:t>合同签订后30天内完成供货及验收</w:t>
      </w:r>
    </w:p>
    <w:p>
      <w:pPr>
        <w:pStyle w:val="null3"/>
      </w:pPr>
      <w:r>
        <w:rPr/>
        <w:t>采购包3：</w:t>
      </w:r>
    </w:p>
    <w:p>
      <w:pPr>
        <w:pStyle w:val="null3"/>
      </w:pPr>
      <w:r>
        <w:rPr/>
        <w:t>合同签订后30天内完成供货及验收</w:t>
      </w:r>
    </w:p>
    <w:p>
      <w:pPr>
        <w:pStyle w:val="null3"/>
      </w:pPr>
      <w:r>
        <w:rPr/>
        <w:t>采购包4：</w:t>
      </w:r>
    </w:p>
    <w:p>
      <w:pPr>
        <w:pStyle w:val="null3"/>
      </w:pPr>
      <w:r>
        <w:rPr/>
        <w:t>合同签订后30天内完成供货及验收</w:t>
      </w:r>
    </w:p>
    <w:p>
      <w:pPr>
        <w:pStyle w:val="null3"/>
        <w:outlineLvl w:val="3"/>
      </w:pPr>
      <w:r>
        <w:rPr>
          <w:b/>
          <w:sz w:val="24"/>
        </w:rPr>
        <w:t>3.4.2交货地点</w:t>
      </w:r>
    </w:p>
    <w:p>
      <w:pPr>
        <w:pStyle w:val="null3"/>
      </w:pPr>
      <w:r>
        <w:rPr/>
        <w:t>采购包1：</w:t>
      </w:r>
    </w:p>
    <w:p>
      <w:pPr>
        <w:pStyle w:val="null3"/>
      </w:pPr>
      <w:r>
        <w:rPr/>
        <w:t>西安市疾病预防控制中心指定地点</w:t>
      </w:r>
    </w:p>
    <w:p>
      <w:pPr>
        <w:pStyle w:val="null3"/>
      </w:pPr>
      <w:r>
        <w:rPr/>
        <w:t>采购包2：</w:t>
      </w:r>
    </w:p>
    <w:p>
      <w:pPr>
        <w:pStyle w:val="null3"/>
      </w:pPr>
      <w:r>
        <w:rPr/>
        <w:t>西安市疾病预防控制中心指定地点</w:t>
      </w:r>
    </w:p>
    <w:p>
      <w:pPr>
        <w:pStyle w:val="null3"/>
      </w:pPr>
      <w:r>
        <w:rPr/>
        <w:t>采购包3：</w:t>
      </w:r>
    </w:p>
    <w:p>
      <w:pPr>
        <w:pStyle w:val="null3"/>
      </w:pPr>
      <w:r>
        <w:rPr/>
        <w:t>西安市疾病预防控制中心指定地点</w:t>
      </w:r>
    </w:p>
    <w:p>
      <w:pPr>
        <w:pStyle w:val="null3"/>
      </w:pPr>
      <w:r>
        <w:rPr/>
        <w:t>采购包4：</w:t>
      </w:r>
    </w:p>
    <w:p>
      <w:pPr>
        <w:pStyle w:val="null3"/>
      </w:pPr>
      <w:r>
        <w:rPr/>
        <w:t>西安市疾病预防控制中心指定地点</w:t>
      </w:r>
    </w:p>
    <w:p>
      <w:pPr>
        <w:pStyle w:val="null3"/>
        <w:outlineLvl w:val="3"/>
      </w:pPr>
      <w:r>
        <w:rPr>
          <w:b/>
          <w:sz w:val="24"/>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合同签订后，乙方须按其投标文件中响应的供货期按时交货并提供全额合规发票，保证“货票同行”。货物到达甲方指定地点，验收合格后</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合同签订后，乙方须按其投标文件中响应的供货期按时交货并提供全额合规发票，保证“货票同行”。货物到达甲方指定地点，验收合格后</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合同签订后，乙方须按其投标文件中响应的供货期按时交货并提供全额合规发票，保证“货票同行”。货物到达甲方指定地点，验收合格后</w:t>
      </w:r>
      <w:r>
        <w:rPr/>
        <w:t xml:space="preserve"> ，达到付款条件起 </w:t>
      </w:r>
      <w:r>
        <w:rPr/>
        <w:t>30</w:t>
      </w:r>
      <w:r>
        <w:rPr/>
        <w:t xml:space="preserve"> 日内，支付合同总金额的 </w:t>
      </w:r>
      <w:r>
        <w:rPr/>
        <w:t>100.00</w:t>
      </w:r>
      <w:r>
        <w:rPr/>
        <w:t>%。</w:t>
      </w:r>
    </w:p>
    <w:p>
      <w:pPr>
        <w:pStyle w:val="null3"/>
      </w:pPr>
      <w:r>
        <w:rPr/>
        <w:t>采购包4：</w:t>
      </w:r>
      <w:r>
        <w:rPr/>
        <w:t xml:space="preserve"> 付款条件说明： </w:t>
      </w:r>
      <w:r>
        <w:rPr/>
        <w:t>合同签订后，乙方须按其投标文件中响应的供货期按时交货并提供全额合规发票，保证“货票同行”。货物到达甲方指定地点，验收合格后</w:t>
      </w:r>
      <w:r>
        <w:rPr/>
        <w:t xml:space="preserve"> ，达到付款条件起 </w:t>
      </w:r>
      <w:r>
        <w:rPr/>
        <w:t>30</w:t>
      </w:r>
      <w:r>
        <w:rPr/>
        <w:t xml:space="preserve"> 日内，支付合同总金额的 </w:t>
      </w:r>
      <w:r>
        <w:rPr/>
        <w:t>100.00</w:t>
      </w:r>
      <w:r>
        <w:rPr/>
        <w:t>%。</w:t>
      </w:r>
    </w:p>
    <w:p>
      <w:pPr>
        <w:pStyle w:val="null3"/>
        <w:jc w:val="left"/>
        <w:outlineLvl w:val="3"/>
      </w:pPr>
      <w:r>
        <w:rPr>
          <w:b/>
          <w:sz w:val="24"/>
        </w:rPr>
        <w:t>3.4.5.验收标准和方法</w:t>
      </w:r>
    </w:p>
    <w:p>
      <w:pPr>
        <w:pStyle w:val="null3"/>
      </w:pPr>
      <w:r>
        <w:rPr/>
        <w:t>采购包1：</w:t>
      </w:r>
    </w:p>
    <w:p>
      <w:pPr>
        <w:pStyle w:val="null3"/>
      </w:pPr>
      <w:r>
        <w:rPr/>
        <w:t>由甲方和乙方共同对货物进行验收。其内容包括确认货物的包装、产地、规格、型号和数量，对其货物技术指标、性能参数进行逐项核验。 1.验收货物的指标、性能参数通过验收达到合同要求，或出现甲方不能正常使用的情况，将视为验收不合格，乙方应及时更换或退货。 2.若发现乙方有弄虚作假的，故意或随意夸大货物技术性能，甲方除要求退货外，有权要求乙方赔偿甲方相应的损失。 3.验收标准：按合同文件及澄清等技术指标进行验收。货物的各项指标均应符合验收标准及要求。 4.验收合格后，填写验收单，甲方签字后生效。 5.验收依据： 5.1本合同文本： 5.2国家和行业制定的相应的标准和规范。 5.3验收清单（注明品名、数量、价格、规格型号、产地和生产厂家）。</w:t>
      </w:r>
    </w:p>
    <w:p>
      <w:pPr>
        <w:pStyle w:val="null3"/>
      </w:pPr>
      <w:r>
        <w:rPr/>
        <w:t>采购包2：</w:t>
      </w:r>
    </w:p>
    <w:p>
      <w:pPr>
        <w:pStyle w:val="null3"/>
      </w:pPr>
      <w:r>
        <w:rPr/>
        <w:t>由甲方和乙方共同对货物进行验收。其内容包括确认货物的包装、产地、规格、型号和数量，对其货物技术指标、性能参数进行逐项核验。 1.验收货物的指标、性能参数通过验收达到合同要求，或出现甲方不能正常使用的情况，将视为验收不合格，乙方应及时更换或退货。 2.若发现乙方有弄虚作假的，故意或随意夸大货物技术性能，甲方除要求退货外，有权要求乙方赔偿甲方相应的损失。 3.验收标准：按合同文件及澄清等技术指标进行验收。货物的各项指标均应符合验收标准及要求。 4.验收合格后，填写验收单，甲方签字后生效。 5.验收依据： 5.1本合同文本： 5.2国家和行业制定的相应的标准和规范。 5.3验收清单（注明品名、数量、价格、规格型号、产地和生产厂家）。</w:t>
      </w:r>
    </w:p>
    <w:p>
      <w:pPr>
        <w:pStyle w:val="null3"/>
      </w:pPr>
      <w:r>
        <w:rPr/>
        <w:t>采购包3：</w:t>
      </w:r>
    </w:p>
    <w:p>
      <w:pPr>
        <w:pStyle w:val="null3"/>
      </w:pPr>
      <w:r>
        <w:rPr/>
        <w:t>由甲方和乙方共同对货物进行验收。其内容包括确认货物的包装、产地、规格、型号和数量，对其货物技术指标、性能参数进行逐项核验。 1.验收货物的指标、性能参数通过验收达到合同要求，或出现甲方不能正常使用的情况，将视为验收不合格，乙方应及时更换或退货。 2.若发现乙方有弄虚作假的，故意或随意夸大货物技术性能，甲方除要求退货外，有权要求乙方赔偿甲方相应的损失。 3.验收标准：按合同文件及澄清等技术指标进行验收。货物的各项指标均应符合验收标准及要求。 4.验收合格后，填写验收单，甲方签字后生效。 5.验收依据： 5.1本合同文本： 5.2国家和行业制定的相应的标准和规范。 5.3验收清单（注明品名、数量、价格、规格型号、产地和生产厂家）。</w:t>
      </w:r>
    </w:p>
    <w:p>
      <w:pPr>
        <w:pStyle w:val="null3"/>
      </w:pPr>
      <w:r>
        <w:rPr/>
        <w:t>采购包4：</w:t>
      </w:r>
    </w:p>
    <w:p>
      <w:pPr>
        <w:pStyle w:val="null3"/>
      </w:pPr>
      <w:r>
        <w:rPr/>
        <w:t>由甲方和乙方共同对货物进行验收。其内容包括确认货物的包装、产地、规格、型号和数量，对其货物技术指标、性能参数进行逐项核验。 1.验收货物的指标、性能参数通过验收达到合同要求，或出现甲方不能正常使用的情况，将视为验收不合格，乙方应及时更换或退货。 2.若发现乙方有弄虚作假的，故意或随意夸大货物技术性能，甲方除要求退货外，有权要求乙方赔偿甲方相应的损失。 3.验收标准：按合同文件及澄清等技术指标进行验收。货物的各项指标均应符合验收标准及要求。 4.验收合格后，填写验收单，甲方签字后生效。 5.验收依据： 5.1本合同文本： 5.2国家和行业制定的相应的标准和规范。 5.3验收清单（注明品名、数量、价格、规格型号、产地和生产厂家）。</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采购包4：</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乙方为甲方所供货物须提供以下售后服务： （一）质保期（试剂到交货地点的有效期）：≥12个月。 （二）在质量保证期内，乙方对由于设计、工艺或材料的缺陷或运输、保存而产生的事故负责（负责解决并承担全部费用）。</w:t>
      </w:r>
    </w:p>
    <w:p>
      <w:pPr>
        <w:pStyle w:val="null3"/>
      </w:pPr>
      <w:r>
        <w:rPr/>
        <w:t>采购包2：</w:t>
      </w:r>
    </w:p>
    <w:p>
      <w:pPr>
        <w:pStyle w:val="null3"/>
      </w:pPr>
      <w:r>
        <w:rPr/>
        <w:t>乙方为甲方所供货物须提供以下售后服务： （一）质保期（试剂到交货地点的有效期）：≥12个月。 （二）在质量保证期内，乙方对由于设计、工艺或材料的缺陷或运输、保存而产生的事故负责（负责解决并承担全部费用）。</w:t>
      </w:r>
    </w:p>
    <w:p>
      <w:pPr>
        <w:pStyle w:val="null3"/>
      </w:pPr>
      <w:r>
        <w:rPr/>
        <w:t>采购包3：</w:t>
      </w:r>
    </w:p>
    <w:p>
      <w:pPr>
        <w:pStyle w:val="null3"/>
      </w:pPr>
      <w:r>
        <w:rPr/>
        <w:t>乙方为甲方所供货物须提供以下售后服务： （一）质保期（试剂到交货地点的有效期）：≥12个月。 （二）在质量保证期内，乙方对由于设计、工艺或材料的缺陷或运输、保存而产生的事故负责（负责解决并承担全部费用）。</w:t>
      </w:r>
    </w:p>
    <w:p>
      <w:pPr>
        <w:pStyle w:val="null3"/>
      </w:pPr>
      <w:r>
        <w:rPr/>
        <w:t>采购包4：</w:t>
      </w:r>
    </w:p>
    <w:p>
      <w:pPr>
        <w:pStyle w:val="null3"/>
      </w:pPr>
      <w:r>
        <w:rPr/>
        <w:t>乙方为甲方所供货物须提供以下售后服务： （一）质保期（试剂到交货地点的有效期）：≥12个月。 （二）在质量保证期内，乙方对由于设计、工艺或材料的缺陷或运输、保存而产生的事故负责（负责解决并承担全部费用）。</w:t>
      </w:r>
    </w:p>
    <w:p>
      <w:pPr>
        <w:pStyle w:val="null3"/>
        <w:outlineLvl w:val="3"/>
      </w:pPr>
      <w:r>
        <w:rPr>
          <w:b/>
          <w:sz w:val="24"/>
        </w:rPr>
        <w:t>3.4.8.违约责任与解决争议的方法</w:t>
      </w:r>
    </w:p>
    <w:p>
      <w:pPr>
        <w:pStyle w:val="null3"/>
      </w:pPr>
      <w:r>
        <w:rPr/>
        <w:t>采购包1：</w:t>
      </w:r>
    </w:p>
    <w:p>
      <w:pPr>
        <w:pStyle w:val="null3"/>
      </w:pPr>
      <w:r>
        <w:rPr/>
        <w:t>（一）按《民法典》中的相关条款执行。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1.乙方赔偿甲方解除合同的全部损失（包括但不限于重新采购产生的费用、合同未履行导致货物不能按规划交付使用可能产生的由此造成的甲方对第三方的违约损失）； 2.乙方支付甲方违约金，违约金计算方法：以合同总价为基数，支付甲方合同总价的30%为违约金。同时对乙方的违约行为报监管机构进行相应的处罚。</w:t>
      </w:r>
    </w:p>
    <w:p>
      <w:pPr>
        <w:pStyle w:val="null3"/>
      </w:pPr>
      <w:r>
        <w:rPr/>
        <w:t>采购包2：</w:t>
      </w:r>
    </w:p>
    <w:p>
      <w:pPr>
        <w:pStyle w:val="null3"/>
      </w:pPr>
      <w:r>
        <w:rPr/>
        <w:t>（一）按《民法典》中的相关条款执行。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1.乙方赔偿甲方解除合同的全部损失（包括但不限于重新采购产生的费用、合同未履行导致货物不能按规划交付使用可能产生的由此造成的甲方对第三方的违约损失）； 2.乙方支付甲方违约金，违约金计算方法：以合同总价为基数，支付甲方合同总价的30%为违约金。同时对乙方的违约行为报监管机构进行相应的处罚。</w:t>
      </w:r>
    </w:p>
    <w:p>
      <w:pPr>
        <w:pStyle w:val="null3"/>
      </w:pPr>
      <w:r>
        <w:rPr/>
        <w:t>采购包3：</w:t>
      </w:r>
    </w:p>
    <w:p>
      <w:pPr>
        <w:pStyle w:val="null3"/>
      </w:pPr>
      <w:r>
        <w:rPr/>
        <w:t>（一）按《民法典》中的相关条款执行。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1.乙方赔偿甲方解除合同的全部损失（包括但不限于重新采购产生的费用、合同未履行导致货物不能按规划交付使用可能产生的由此造成的甲方对第三方的违约损失）； 2.乙方支付甲方违约金，违约金计算方法：以合同总价为基数，支付甲方合同总价的30%为违约金。同时对乙方的违约行为报监管机构进行相应的处罚。</w:t>
      </w:r>
    </w:p>
    <w:p>
      <w:pPr>
        <w:pStyle w:val="null3"/>
      </w:pPr>
      <w:r>
        <w:rPr/>
        <w:t>采购包4：</w:t>
      </w:r>
    </w:p>
    <w:p>
      <w:pPr>
        <w:pStyle w:val="null3"/>
      </w:pPr>
      <w:r>
        <w:rPr/>
        <w:t>（一）按《民法典》中的相关条款执行。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1.乙方赔偿甲方解除合同的全部损失（包括但不限于重新采购产生的费用、合同未履行导致货物不能按规划交付使用可能产生的由此造成的甲方对第三方的违约损失）； 2.乙方支付甲方违约金，违约金计算方法：以合同总价为基数，支付甲方合同总价的30%为违约金。同时对乙方的违约行为报监管机构进行相应的处罚。</w:t>
      </w:r>
    </w:p>
    <w:p>
      <w:pPr>
        <w:pStyle w:val="null3"/>
        <w:outlineLvl w:val="2"/>
      </w:pPr>
      <w:r>
        <w:rPr>
          <w:b/>
          <w:sz w:val="28"/>
        </w:rPr>
        <w:t>3.5其他要求</w:t>
      </w:r>
    </w:p>
    <w:p>
      <w:pPr>
        <w:pStyle w:val="null3"/>
      </w:pPr>
      <w:r>
        <w:rPr/>
        <w:t>采购包1：</w:t>
      </w:r>
    </w:p>
    <w:p>
      <w:pPr>
        <w:pStyle w:val="null3"/>
      </w:pPr>
      <w:r>
        <w:rPr/>
        <w:t>1、为顺利推进政府采购电子化交易平台试点应用工作，供应商需要在线提交所有通过电子化交易平台实施的政府采购项目的响应文件，同时，线下提交纸质响应文件正本壹份、副本两份、电子版壹份（U盘壹份）。若电子投标文件与纸质投标文件不一致的，以纸质投标文件为准；若正本和副本不符，以正本为准。 2、 供应商务必在开标截止时间30分钟前，通过项目电子化交易系统进行签到，如未进行签到，产生的一起 后果由供应商自行承担。 3、投标报价包括项目实施过程中产生的所有费用等。包括不限于出厂价、进口关税、运费、装卸费、验收费、企业利润及税金等所有费用。谈判单位应在谈判响应文件中的谈判报价表上标明本合同拟提供本次服务的单价和总价。 4、采购标的对应的中小企业划分标准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5、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t>采购包2：</w:t>
      </w:r>
    </w:p>
    <w:p>
      <w:pPr>
        <w:pStyle w:val="null3"/>
      </w:pPr>
      <w:r>
        <w:rPr/>
        <w:t>1、为顺利推进政府采购电子化交易平台试点应用工作，供应商需要在线提交所有通过电子化交易平台实施的政府采购项目的响应文件，同时，线下提交纸质响应文件正本壹份、副本两份、电子版壹份（U盘壹份）。若电子投标文件与纸质投标文件不一致的，以纸质投标文件为准；若正本和副本不符，以正本为准。 2、 供应商务必在开标截止时间30分钟前，通过项目电子化交易系统进行签到，如未进行签到，产生的一起 后果由供应商自行承担。 3、投标报价包括项目实施过程中产生的所有费用等。包括不限于出厂价、进口关税、运费、装卸费、验收费、企业利润及税金等所有费用。谈判单位应在谈判响应文件中的谈判报价表上标明本合同拟提供本次服务的单价和总价。 4、采购标的对应的中小企业划分标准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5、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t>采购包3：</w:t>
      </w:r>
    </w:p>
    <w:p>
      <w:pPr>
        <w:pStyle w:val="null3"/>
      </w:pPr>
      <w:r>
        <w:rPr/>
        <w:t>1、为顺利推进政府采购电子化交易平台试点应用工作，供应商需要在线提交所有通过电子化交易平台实施的政府采购项目的响应文件，同时，线下提交纸质响应文件正本壹份、副本两份、电子版壹份（U盘壹份）。若电子投标文件与纸质投标文件不一致的，以纸质投标文件为准；若正本和副本不符，以正本为准。 2、 供应商务必在开标截止时间30分钟前，通过项目电子化交易系统进行签到，如未进行签到，产生的一起 后果由供应商自行承担。 3、投标报价包括项目实施过程中产生的所有费用等。包括不限于出厂价、进口关税、运费、装卸费、验收费、企业利润及税金等所有费用。谈判单位应在谈判响应文件中的谈判报价表上标明本合同拟提供本次服务的单价和总价。 4、采购标的对应的中小企业划分标准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5、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t>采购包4：</w:t>
      </w:r>
    </w:p>
    <w:p>
      <w:pPr>
        <w:pStyle w:val="null3"/>
      </w:pPr>
      <w:r>
        <w:rPr/>
        <w:t>1、为顺利推进政府采购电子化交易平台试点应用工作，供应商需要在线提交所有通过电子化交易平台实施的政府采购项目的响应文件，同时，线下提交纸质响应文件正本壹份、副本两份、电子版壹份（U盘壹份）。若电子投标文件与纸质投标文件不一致的，以纸质投标文件为准；若正本和副本不符，以正本为准。 2、 供应商务必在开标截止时间30分钟前，通过项目电子化交易系统进行签到，如未进行签到，产生的一起 后果由供应商自行承担。 3、投标报价包括项目实施过程中产生的所有费用等。包括不限于出厂价、进口关税、运费、装卸费、验收费、企业利润及税金等所有费用。谈判单位应在谈判响应文件中的谈判报价表上标明本合同拟提供本次服务的单价和总价。 4、采购标的对应的中小企业划分标准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5、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t xml:space="preserve"> </w:t>
        <w:br/>
        <w:br w:type="page"/>
      </w:r>
    </w:p>
    <w:p>
      <w:pPr>
        <w:pStyle w:val="null3"/>
        <w:jc w:val="center"/>
        <w:outlineLvl w:val="1"/>
      </w:pPr>
      <w:r>
        <w:rPr>
          <w:b/>
          <w:sz w:val="36"/>
        </w:rPr>
        <w:t>第四章 资格审查</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1.财务状况报告：提供具有财务审计资质单位出具的2022年度财务报告（成立时间至开标时间不足一年的可提供成立后任意时段的资产负债表）或开标前六个月内其基本账户银行出具的资信证明或政府采购信用担保机构出具的担保函；2.税收缴纳证明：提供截止至开标时间前六个月内任意一个月的缴纳凭据；（增值税、企业所得税至少提供一种，依法免税的供应商应提供相关文件证明） 3.社会保障资金缴纳证明：提供截止至开标时间前六个月内任意一个月的社保缴纳凭据或社保机构开具的社会保险参保缴纳情况证明；（依法不需要缴纳社会保障资金的供应商应提供相关证明）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1.财务状况报告：提供具有财务审计资质单位出具的2022年度财务报告（成立时间至开标时间不足一年的可提供成立后任意时段的资产负债表）或开标前六个月内其基本账户银行出具的资信证明或政府采购信用担保机构出具的担保函；2.税收缴纳证明：提供截止至开标时间前六个月内任意一个月的缴纳凭据；（增值税、企业所得税至少提供一种，依法免税的供应商应提供相关文件证明） 3.社会保障资金缴纳证明：提供截止至开标时间前六个月内任意一个月的社保缴纳凭据或社保机构开具的社会保险参保缴纳情况证明；（依法不需要缴纳社会保障资金的供应商应提供相关证明）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1.财务状况报告：提供具有财务审计资质单位出具的2022年度财务报告（成立时间至开标时间不足一年的可提供成立后任意时段的资产负债表）或开标前六个月内其基本账户银行出具的资信证明或政府采购信用担保机构出具的担保函；2.税收缴纳证明：提供截止至开标时间前六个月内任意一个月的缴纳凭据；（增值税、企业所得税至少提供一种，依法免税的供应商应提供相关文件证明） 3.社会保障资金缴纳证明：提供截止至开标时间前六个月内任意一个月的社保缴纳凭据或社保机构开具的社会保险参保缴纳情况证明；（依法不需要缴纳社会保障资金的供应商应提供相关证明）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1.财务状况报告：提供具有财务审计资质单位出具的2022年度财务报告（成立时间至开标时间不足一年的可提供成立后任意时段的资产负债表）或开标前六个月内其基本账户银行出具的资信证明或政府采购信用担保机构出具的担保函；2.税收缴纳证明：提供截止至开标时间前六个月内任意一个月的缴纳凭据；（增值税、企业所得税至少提供一种，依法免税的供应商应提供相关文件证明） 3.社会保障资金缴纳证明：提供截止至开标时间前六个月内任意一个月的社保缴纳凭据或社保机构开具的社会保险参保缴纳情况证明；（依法不需要缴纳社会保障资金的供应商应提供相关证明）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bl>
    <w:p>
      <w:pPr>
        <w:pStyle w:val="null3"/>
        <w:outlineLvl w:val="3"/>
      </w:pPr>
      <w:r>
        <w:rPr>
          <w:b/>
          <w:sz w:val="24"/>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法人或者其他组织的营业执照等证明文件，自然人的身份证明。</w:t>
            </w:r>
          </w:p>
        </w:tc>
        <w:tc>
          <w:tcPr>
            <w:tcW w:type="dxa" w:w="3322"/>
          </w:tcPr>
          <w:p>
            <w:pPr>
              <w:pStyle w:val="null3"/>
            </w:pPr>
            <w:r>
              <w:rPr/>
              <w:t>供应商应是独立承担民事责任能力的法人、其 他组织或自然人，法人、其他组织须提供合法 有效的营业执照（或事业单位法人证书）等证 明资料， 自然人须提供身份证明。注：供应商需在项目电子化交易系统中按要求上传相应证明文件并进行电子签章。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当天在网站的查询结果为准（截图留存），如相关失信记录已失效，需提供相关证明资料。</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法人或者其他组织的营业执照等证明文件，自然人的身份证明。</w:t>
            </w:r>
          </w:p>
        </w:tc>
        <w:tc>
          <w:tcPr>
            <w:tcW w:type="dxa" w:w="3322"/>
          </w:tcPr>
          <w:p>
            <w:pPr>
              <w:pStyle w:val="null3"/>
            </w:pPr>
            <w:r>
              <w:rPr/>
              <w:t>供应商应是独立承担民事责任能力的法人、其 他组织或自然人，法人、其他组织须提供合法 有效的营业执照（或事业单位法人证书）等证 明资料， 自然人须提供身份证明。注：供应商需在项目电子化交易系统中按要求上传相应证明文件并进行电子签章。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允许进口产品参与</w:t>
            </w:r>
          </w:p>
        </w:tc>
        <w:tc>
          <w:tcPr>
            <w:tcW w:type="dxa" w:w="3322"/>
          </w:tcPr>
          <w:p>
            <w:pPr>
              <w:pStyle w:val="null3"/>
            </w:pPr>
            <w:r>
              <w:rPr/>
              <w:t>允许进口产品参与，提供进口产品授权书（提供制造商对授权产品的完整授权链，英文授权须提供中文翻译版）。</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信用记录</w:t>
            </w:r>
          </w:p>
        </w:tc>
        <w:tc>
          <w:tcPr>
            <w:tcW w:type="dxa" w:w="3322"/>
          </w:tcPr>
          <w:p>
            <w:pPr>
              <w:pStyle w:val="null3"/>
            </w:pPr>
            <w:r>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当天在网站的查询结果为准（截图留存），如相关失信记录已失效，需提供相关证明资料。</w:t>
            </w:r>
          </w:p>
        </w:tc>
        <w:tc>
          <w:tcPr>
            <w:tcW w:type="dxa" w:w="1661"/>
          </w:tcPr>
          <w:p>
            <w:pPr>
              <w:pStyle w:val="null3"/>
            </w:pPr>
            <w:r>
              <w:rPr/>
              <w:t>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法人或者其他组织的营业执照等证明文件，自然人的身份证明。</w:t>
            </w:r>
          </w:p>
        </w:tc>
        <w:tc>
          <w:tcPr>
            <w:tcW w:type="dxa" w:w="3322"/>
          </w:tcPr>
          <w:p>
            <w:pPr>
              <w:pStyle w:val="null3"/>
            </w:pPr>
            <w:r>
              <w:rPr/>
              <w:t>供应商应是独立承担民事责任能力的法人、其 他组织或自然人，法人、其他组织须提供合法 有效的营业执照（或事业单位法人证书）等证 明资料， 自然人须提供身份证明。注：供应商需在项目电子化交易系统中按要求上传相应证明文件并进行电子签章。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当天在网站的查询结果为准（截图留存），如相关失信记录已失效，需提供相关证明资料。</w:t>
            </w:r>
          </w:p>
        </w:tc>
        <w:tc>
          <w:tcPr>
            <w:tcW w:type="dxa" w:w="1661"/>
          </w:tcPr>
          <w:p>
            <w:pPr>
              <w:pStyle w:val="null3"/>
            </w:pPr>
            <w:r>
              <w:rPr/>
              <w:t>资格证明文件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法人或者其他组织的营业执照等证明文件，自然人的身份证明。</w:t>
            </w:r>
          </w:p>
        </w:tc>
        <w:tc>
          <w:tcPr>
            <w:tcW w:type="dxa" w:w="3322"/>
          </w:tcPr>
          <w:p>
            <w:pPr>
              <w:pStyle w:val="null3"/>
            </w:pPr>
            <w:r>
              <w:rPr/>
              <w:t>供应商应是独立承担民事责任能力的法人、其 他组织或自然人，法人、其他组织须提供合法 有效的营业执照（或事业单位法人证书）等证 明资料， 自然人须提供身份证明。注：供应商需在项目电子化交易系统中按要求上传相应证明文件并进行电子签章。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当天在网站的查询结果为准（截图留存），如相关失信记录已失效，需提供相关证明资料。</w:t>
            </w:r>
          </w:p>
        </w:tc>
        <w:tc>
          <w:tcPr>
            <w:tcW w:type="dxa" w:w="1661"/>
          </w:tcPr>
          <w:p>
            <w:pPr>
              <w:pStyle w:val="null3"/>
            </w:pPr>
            <w:r>
              <w:rPr/>
              <w:t>资格证明文件</w:t>
            </w:r>
          </w:p>
        </w:tc>
      </w:tr>
    </w:tbl>
    <w:p>
      <w:pPr>
        <w:pStyle w:val="null3"/>
        <w:outlineLvl w:val="3"/>
      </w:pPr>
      <w:r>
        <w:rPr>
          <w:b/>
          <w:sz w:val="24"/>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协商办法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b/>
          <w:sz w:val="28"/>
        </w:rPr>
        <w:t>5.2协商程序</w:t>
      </w:r>
    </w:p>
    <w:p>
      <w:pPr>
        <w:pStyle w:val="null3"/>
        <w:outlineLvl w:val="3"/>
      </w:pPr>
      <w:r>
        <w:rPr>
          <w:b/>
          <w:sz w:val="24"/>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jc w:val="left"/>
      </w:pPr>
      <w:r>
        <w:rPr/>
        <w:t>（一）熟悉和理解单一来源采购文件；</w:t>
      </w:r>
    </w:p>
    <w:p>
      <w:pPr>
        <w:pStyle w:val="null3"/>
        <w:ind w:firstLine="480"/>
        <w:jc w:val="left"/>
      </w:pPr>
      <w:r>
        <w:rPr/>
        <w:t xml:space="preserve"> （二）审查供应商响应文件等是否满足单一来源采购文件要求，并作出评价；</w:t>
      </w:r>
    </w:p>
    <w:p>
      <w:pPr>
        <w:pStyle w:val="null3"/>
        <w:ind w:firstLine="480"/>
        <w:jc w:val="left"/>
      </w:pPr>
      <w:r>
        <w:rPr/>
        <w:t xml:space="preserve"> （三）根据需要要求采购组织单位对单一来源采购文件作出解释；根据需要要求供应商对响应文件有关事项作出澄清、说明或者更正；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（五）起草评审报告并进行签署；</w:t>
      </w:r>
    </w:p>
    <w:p>
      <w:pPr>
        <w:pStyle w:val="null3"/>
        <w:ind w:firstLine="480"/>
        <w:jc w:val="left"/>
      </w:pPr>
      <w:r>
        <w:rPr/>
        <w:t xml:space="preserve"> （六）向采购组织单位、财政部门或者其他监督部门报告非法干预评审工作的行为；</w:t>
      </w:r>
    </w:p>
    <w:p>
      <w:pPr>
        <w:pStyle w:val="null3"/>
        <w:ind w:firstLine="480"/>
        <w:jc w:val="left"/>
      </w:pPr>
      <w:r>
        <w:rPr/>
        <w:t>（七）法律、法规和规章规定的其他职责。</w:t>
      </w:r>
    </w:p>
    <w:p>
      <w:pPr>
        <w:pStyle w:val="null3"/>
        <w:jc w:val="left"/>
        <w:outlineLvl w:val="3"/>
      </w:pPr>
      <w:r>
        <w:rPr>
          <w:b/>
          <w:sz w:val="24"/>
        </w:rPr>
        <w:t>5.2.2.熟悉和理解采购文件和停止评审</w:t>
      </w:r>
    </w:p>
    <w:p>
      <w:pPr>
        <w:pStyle w:val="null3"/>
        <w:ind w:firstLine="480"/>
        <w:jc w:val="left"/>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t>二、本采购文件有下列情形之一的，协商小组应当停止评审：</w:t>
      </w:r>
    </w:p>
    <w:p>
      <w:pPr>
        <w:pStyle w:val="null3"/>
        <w:ind w:firstLine="480"/>
        <w:jc w:val="left"/>
      </w:pPr>
      <w:r>
        <w:rPr/>
        <w:t>（一）采购文件的规定存在歧义、重大缺陷的；</w:t>
      </w:r>
    </w:p>
    <w:p>
      <w:pPr>
        <w:pStyle w:val="null3"/>
        <w:ind w:firstLine="480"/>
        <w:jc w:val="left"/>
      </w:pPr>
      <w:r>
        <w:rPr/>
        <w:t>（二）采购文件明显以不合理条件对供应商实行差别待遇或者歧视待遇的；</w:t>
      </w:r>
    </w:p>
    <w:p>
      <w:pPr>
        <w:pStyle w:val="null3"/>
        <w:ind w:firstLine="480"/>
        <w:jc w:val="left"/>
      </w:pPr>
      <w:r>
        <w:rPr/>
        <w:t xml:space="preserve"> （三）采购项目属于国家规定的优先、强制采购范围，但是采购文件未依法体现优先、强制采购相关规定的；</w:t>
      </w:r>
    </w:p>
    <w:p>
      <w:pPr>
        <w:pStyle w:val="null3"/>
        <w:ind w:firstLine="480"/>
        <w:jc w:val="left"/>
      </w:pPr>
      <w:r>
        <w:rPr/>
        <w:t xml:space="preserve"> （四）采购项目属于政府采购促进中小企业发展的范围，但是采购文件未依法体现促进中小企业发展相关规定的；</w:t>
      </w:r>
    </w:p>
    <w:p>
      <w:pPr>
        <w:pStyle w:val="null3"/>
        <w:ind w:firstLine="480"/>
        <w:jc w:val="left"/>
      </w:pPr>
      <w:r>
        <w:rPr/>
        <w:t>（五）采购文件将供应商的资格条件列为评分因素的；</w:t>
      </w:r>
    </w:p>
    <w:p>
      <w:pPr>
        <w:pStyle w:val="null3"/>
        <w:ind w:firstLine="480"/>
        <w:jc w:val="left"/>
      </w:pPr>
      <w:r>
        <w:rPr/>
        <w:t>（六）采购文件载明的成交原则不合法的；</w:t>
      </w:r>
    </w:p>
    <w:p>
      <w:pPr>
        <w:pStyle w:val="null3"/>
        <w:ind w:firstLine="480"/>
        <w:jc w:val="left"/>
      </w:pPr>
      <w:r>
        <w:rPr/>
        <w:t>（七）采购文件有违反国家其他有关强制性规定的情形。</w:t>
      </w:r>
    </w:p>
    <w:p>
      <w:pPr>
        <w:pStyle w:val="null3"/>
        <w:ind w:firstLine="480"/>
        <w:jc w:val="left"/>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b/>
          <w:sz w:val="24"/>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符合采购文件要求。</w:t>
            </w:r>
          </w:p>
        </w:tc>
        <w:tc>
          <w:tcPr>
            <w:tcW w:type="dxa" w:w="1661"/>
          </w:tcPr>
          <w:p>
            <w:pPr>
              <w:pStyle w:val="null3"/>
            </w:pPr>
            <w:r>
              <w:rPr/>
              <w:t>响应文件封面 产品技术参数表 资格证明文件 授权委托书 商务应答表 标的清单 报价表 项目实施方案 响应函 法定代表人（单位负责人自然人）身份证明</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w:t>
            </w:r>
          </w:p>
        </w:tc>
        <w:tc>
          <w:tcPr>
            <w:tcW w:type="dxa" w:w="1661"/>
          </w:tcPr>
          <w:p>
            <w:pPr>
              <w:pStyle w:val="null3"/>
            </w:pPr>
            <w:r>
              <w:rPr/>
              <w:t>其他材料 中小企业声明函 残疾人福利性单位声明函 监狱企业的证明文件</w:t>
            </w:r>
          </w:p>
        </w:tc>
      </w:tr>
      <w:tr>
        <w:tc>
          <w:tcPr>
            <w:tcW w:type="dxa" w:w="831"/>
          </w:tcPr>
          <w:p>
            <w:pPr>
              <w:pStyle w:val="null3"/>
            </w:pPr>
            <w:r>
              <w:rPr/>
              <w:t>4</w:t>
            </w:r>
          </w:p>
        </w:tc>
        <w:tc>
          <w:tcPr>
            <w:tcW w:type="dxa" w:w="2492"/>
          </w:tcPr>
          <w:p>
            <w:pPr>
              <w:pStyle w:val="null3"/>
            </w:pPr>
            <w:r>
              <w:rPr/>
              <w:t>谈判总价</w:t>
            </w:r>
          </w:p>
        </w:tc>
        <w:tc>
          <w:tcPr>
            <w:tcW w:type="dxa" w:w="3322"/>
          </w:tcPr>
          <w:p>
            <w:pPr>
              <w:pStyle w:val="null3"/>
            </w:pPr>
            <w:r>
              <w:rPr/>
              <w:t>谈判总价不得超过采购预算</w:t>
            </w:r>
          </w:p>
        </w:tc>
        <w:tc>
          <w:tcPr>
            <w:tcW w:type="dxa" w:w="1661"/>
          </w:tcPr>
          <w:p>
            <w:pPr>
              <w:pStyle w:val="null3"/>
            </w:pPr>
            <w:r>
              <w:rPr/>
              <w:t>标的清单 报价表 响应函</w:t>
            </w:r>
          </w:p>
        </w:tc>
      </w:tr>
      <w:tr>
        <w:tc>
          <w:tcPr>
            <w:tcW w:type="dxa" w:w="831"/>
          </w:tcPr>
          <w:p>
            <w:pPr>
              <w:pStyle w:val="null3"/>
            </w:pPr>
            <w:r>
              <w:rPr/>
              <w:t>5</w:t>
            </w:r>
          </w:p>
        </w:tc>
        <w:tc>
          <w:tcPr>
            <w:tcW w:type="dxa" w:w="2492"/>
          </w:tcPr>
          <w:p>
            <w:pPr>
              <w:pStyle w:val="null3"/>
            </w:pPr>
            <w:r>
              <w:rPr/>
              <w:t>谈判有效期</w:t>
            </w:r>
          </w:p>
        </w:tc>
        <w:tc>
          <w:tcPr>
            <w:tcW w:type="dxa" w:w="3322"/>
          </w:tcPr>
          <w:p>
            <w:pPr>
              <w:pStyle w:val="null3"/>
            </w:pPr>
            <w:r>
              <w:rPr/>
              <w:t>谈判有效期符合采购文件的要求：投标截止之日起90日历天。</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文件的签署、盖章。</w:t>
            </w:r>
          </w:p>
        </w:tc>
        <w:tc>
          <w:tcPr>
            <w:tcW w:type="dxa" w:w="3322"/>
          </w:tcPr>
          <w:p>
            <w:pPr>
              <w:pStyle w:val="null3"/>
            </w:pPr>
            <w:r>
              <w:rPr/>
              <w:t>符合采购文件要求。</w:t>
            </w:r>
          </w:p>
        </w:tc>
        <w:tc>
          <w:tcPr>
            <w:tcW w:type="dxa" w:w="1661"/>
          </w:tcPr>
          <w:p>
            <w:pPr>
              <w:pStyle w:val="null3"/>
            </w:pPr>
            <w:r>
              <w:rPr/>
              <w:t>授权委托书 标的清单 报价表 响应函 法定代表人（单位负责人自然人）身份证明</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符合采购文件要求。</w:t>
            </w:r>
          </w:p>
        </w:tc>
        <w:tc>
          <w:tcPr>
            <w:tcW w:type="dxa" w:w="1661"/>
          </w:tcPr>
          <w:p>
            <w:pPr>
              <w:pStyle w:val="null3"/>
            </w:pPr>
            <w:r>
              <w:rPr/>
              <w:t>响应文件封面 产品技术参数表 资格证明文件 授权委托书 商务应答表 标的清单 报价表 项目实施方案 响应函 法定代表人（单位负责人自然人）身份证明</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w:t>
            </w:r>
          </w:p>
        </w:tc>
        <w:tc>
          <w:tcPr>
            <w:tcW w:type="dxa" w:w="1661"/>
          </w:tcPr>
          <w:p>
            <w:pPr>
              <w:pStyle w:val="null3"/>
            </w:pPr>
            <w:r>
              <w:rPr/>
              <w:t>其他材料 中小企业声明函 残疾人福利性单位声明函 监狱企业的证明文件</w:t>
            </w:r>
          </w:p>
        </w:tc>
      </w:tr>
      <w:tr>
        <w:tc>
          <w:tcPr>
            <w:tcW w:type="dxa" w:w="831"/>
          </w:tcPr>
          <w:p>
            <w:pPr>
              <w:pStyle w:val="null3"/>
            </w:pPr>
            <w:r>
              <w:rPr/>
              <w:t>4</w:t>
            </w:r>
          </w:p>
        </w:tc>
        <w:tc>
          <w:tcPr>
            <w:tcW w:type="dxa" w:w="2492"/>
          </w:tcPr>
          <w:p>
            <w:pPr>
              <w:pStyle w:val="null3"/>
            </w:pPr>
            <w:r>
              <w:rPr/>
              <w:t>谈判总价</w:t>
            </w:r>
          </w:p>
        </w:tc>
        <w:tc>
          <w:tcPr>
            <w:tcW w:type="dxa" w:w="3322"/>
          </w:tcPr>
          <w:p>
            <w:pPr>
              <w:pStyle w:val="null3"/>
            </w:pPr>
            <w:r>
              <w:rPr/>
              <w:t>谈判总价不得超过采购预算。</w:t>
            </w:r>
          </w:p>
        </w:tc>
        <w:tc>
          <w:tcPr>
            <w:tcW w:type="dxa" w:w="1661"/>
          </w:tcPr>
          <w:p>
            <w:pPr>
              <w:pStyle w:val="null3"/>
            </w:pPr>
            <w:r>
              <w:rPr/>
              <w:t>标的清单 报价表 响应函</w:t>
            </w:r>
          </w:p>
        </w:tc>
      </w:tr>
      <w:tr>
        <w:tc>
          <w:tcPr>
            <w:tcW w:type="dxa" w:w="831"/>
          </w:tcPr>
          <w:p>
            <w:pPr>
              <w:pStyle w:val="null3"/>
            </w:pPr>
            <w:r>
              <w:rPr/>
              <w:t>5</w:t>
            </w:r>
          </w:p>
        </w:tc>
        <w:tc>
          <w:tcPr>
            <w:tcW w:type="dxa" w:w="2492"/>
          </w:tcPr>
          <w:p>
            <w:pPr>
              <w:pStyle w:val="null3"/>
            </w:pPr>
            <w:r>
              <w:rPr/>
              <w:t>谈判有效期</w:t>
            </w:r>
          </w:p>
        </w:tc>
        <w:tc>
          <w:tcPr>
            <w:tcW w:type="dxa" w:w="3322"/>
          </w:tcPr>
          <w:p>
            <w:pPr>
              <w:pStyle w:val="null3"/>
            </w:pPr>
            <w:r>
              <w:rPr/>
              <w:t>谈判有效期符合采购文件的要求：投标截止之日起90日历天。</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文件的签署、盖章。</w:t>
            </w:r>
          </w:p>
        </w:tc>
        <w:tc>
          <w:tcPr>
            <w:tcW w:type="dxa" w:w="3322"/>
          </w:tcPr>
          <w:p>
            <w:pPr>
              <w:pStyle w:val="null3"/>
            </w:pPr>
            <w:r>
              <w:rPr/>
              <w:t>符合采购文件要求。</w:t>
            </w:r>
          </w:p>
        </w:tc>
        <w:tc>
          <w:tcPr>
            <w:tcW w:type="dxa" w:w="1661"/>
          </w:tcPr>
          <w:p>
            <w:pPr>
              <w:pStyle w:val="null3"/>
            </w:pPr>
            <w:r>
              <w:rPr/>
              <w:t>授权委托书 标的清单 报价表 响应函 法定代表人（单位负责人自然人）身份证明</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符合采购文件要求。</w:t>
            </w:r>
          </w:p>
        </w:tc>
        <w:tc>
          <w:tcPr>
            <w:tcW w:type="dxa" w:w="1661"/>
          </w:tcPr>
          <w:p>
            <w:pPr>
              <w:pStyle w:val="null3"/>
            </w:pPr>
            <w:r>
              <w:rPr/>
              <w:t>响应文件封面 资格证明文件 产品技术参数表 授权委托书 商务应答表 标的清单 报价表 项目实施方案 响应函 法定代表人（单位负责人自然人）身份证明</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w:t>
            </w:r>
          </w:p>
        </w:tc>
        <w:tc>
          <w:tcPr>
            <w:tcW w:type="dxa" w:w="1661"/>
          </w:tcPr>
          <w:p>
            <w:pPr>
              <w:pStyle w:val="null3"/>
            </w:pPr>
            <w:r>
              <w:rPr/>
              <w:t>其他材料 中小企业声明函 残疾人福利性单位声明函 监狱企业的证明文件</w:t>
            </w:r>
          </w:p>
        </w:tc>
      </w:tr>
      <w:tr>
        <w:tc>
          <w:tcPr>
            <w:tcW w:type="dxa" w:w="831"/>
          </w:tcPr>
          <w:p>
            <w:pPr>
              <w:pStyle w:val="null3"/>
            </w:pPr>
            <w:r>
              <w:rPr/>
              <w:t>4</w:t>
            </w:r>
          </w:p>
        </w:tc>
        <w:tc>
          <w:tcPr>
            <w:tcW w:type="dxa" w:w="2492"/>
          </w:tcPr>
          <w:p>
            <w:pPr>
              <w:pStyle w:val="null3"/>
            </w:pPr>
            <w:r>
              <w:rPr/>
              <w:t>谈判总价</w:t>
            </w:r>
          </w:p>
        </w:tc>
        <w:tc>
          <w:tcPr>
            <w:tcW w:type="dxa" w:w="3322"/>
          </w:tcPr>
          <w:p>
            <w:pPr>
              <w:pStyle w:val="null3"/>
            </w:pPr>
            <w:r>
              <w:rPr/>
              <w:t>谈判总价不得超过采购预算</w:t>
            </w:r>
          </w:p>
        </w:tc>
        <w:tc>
          <w:tcPr>
            <w:tcW w:type="dxa" w:w="1661"/>
          </w:tcPr>
          <w:p>
            <w:pPr>
              <w:pStyle w:val="null3"/>
            </w:pPr>
            <w:r>
              <w:rPr/>
              <w:t>标的清单 报价表 响应函</w:t>
            </w:r>
          </w:p>
        </w:tc>
      </w:tr>
      <w:tr>
        <w:tc>
          <w:tcPr>
            <w:tcW w:type="dxa" w:w="831"/>
          </w:tcPr>
          <w:p>
            <w:pPr>
              <w:pStyle w:val="null3"/>
            </w:pPr>
            <w:r>
              <w:rPr/>
              <w:t>5</w:t>
            </w:r>
          </w:p>
        </w:tc>
        <w:tc>
          <w:tcPr>
            <w:tcW w:type="dxa" w:w="2492"/>
          </w:tcPr>
          <w:p>
            <w:pPr>
              <w:pStyle w:val="null3"/>
            </w:pPr>
            <w:r>
              <w:rPr/>
              <w:t>谈判有效期</w:t>
            </w:r>
          </w:p>
        </w:tc>
        <w:tc>
          <w:tcPr>
            <w:tcW w:type="dxa" w:w="3322"/>
          </w:tcPr>
          <w:p>
            <w:pPr>
              <w:pStyle w:val="null3"/>
            </w:pPr>
            <w:r>
              <w:rPr/>
              <w:t>谈判有效期符合采购文件的要求：投标截止之日起90日历天。</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文件的签署、盖章。</w:t>
            </w:r>
          </w:p>
        </w:tc>
        <w:tc>
          <w:tcPr>
            <w:tcW w:type="dxa" w:w="3322"/>
          </w:tcPr>
          <w:p>
            <w:pPr>
              <w:pStyle w:val="null3"/>
            </w:pPr>
            <w:r>
              <w:rPr/>
              <w:t>符合采购文件要求。</w:t>
            </w:r>
          </w:p>
        </w:tc>
        <w:tc>
          <w:tcPr>
            <w:tcW w:type="dxa" w:w="1661"/>
          </w:tcPr>
          <w:p>
            <w:pPr>
              <w:pStyle w:val="null3"/>
            </w:pPr>
            <w:r>
              <w:rPr/>
              <w:t>授权委托书 标的清单 报价表 响应函 法定代表人（单位负责人自然人）身份证明</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符合采购文件要求。</w:t>
            </w:r>
          </w:p>
        </w:tc>
        <w:tc>
          <w:tcPr>
            <w:tcW w:type="dxa" w:w="1661"/>
          </w:tcPr>
          <w:p>
            <w:pPr>
              <w:pStyle w:val="null3"/>
            </w:pPr>
            <w:r>
              <w:rPr/>
              <w:t>响应文件封面 产品技术参数表 资格证明文件 授权委托书 商务应答表 标的清单 报价表 项目实施方案 响应函 法定代表人（单位负责人自然人）身份证明</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w:t>
            </w:r>
          </w:p>
        </w:tc>
        <w:tc>
          <w:tcPr>
            <w:tcW w:type="dxa" w:w="1661"/>
          </w:tcPr>
          <w:p>
            <w:pPr>
              <w:pStyle w:val="null3"/>
            </w:pPr>
            <w:r>
              <w:rPr/>
              <w:t>其他材料 中小企业声明函 残疾人福利性单位声明函 监狱企业的证明文件</w:t>
            </w:r>
          </w:p>
        </w:tc>
      </w:tr>
      <w:tr>
        <w:tc>
          <w:tcPr>
            <w:tcW w:type="dxa" w:w="831"/>
          </w:tcPr>
          <w:p>
            <w:pPr>
              <w:pStyle w:val="null3"/>
            </w:pPr>
            <w:r>
              <w:rPr/>
              <w:t>4</w:t>
            </w:r>
          </w:p>
        </w:tc>
        <w:tc>
          <w:tcPr>
            <w:tcW w:type="dxa" w:w="2492"/>
          </w:tcPr>
          <w:p>
            <w:pPr>
              <w:pStyle w:val="null3"/>
            </w:pPr>
            <w:r>
              <w:rPr/>
              <w:t>谈判总价</w:t>
            </w:r>
          </w:p>
        </w:tc>
        <w:tc>
          <w:tcPr>
            <w:tcW w:type="dxa" w:w="3322"/>
          </w:tcPr>
          <w:p>
            <w:pPr>
              <w:pStyle w:val="null3"/>
            </w:pPr>
            <w:r>
              <w:rPr/>
              <w:t>谈判总价不得超过采购预算</w:t>
            </w:r>
          </w:p>
        </w:tc>
        <w:tc>
          <w:tcPr>
            <w:tcW w:type="dxa" w:w="1661"/>
          </w:tcPr>
          <w:p>
            <w:pPr>
              <w:pStyle w:val="null3"/>
            </w:pPr>
            <w:r>
              <w:rPr/>
              <w:t>标的清单 报价表 响应函</w:t>
            </w:r>
          </w:p>
        </w:tc>
      </w:tr>
      <w:tr>
        <w:tc>
          <w:tcPr>
            <w:tcW w:type="dxa" w:w="831"/>
          </w:tcPr>
          <w:p>
            <w:pPr>
              <w:pStyle w:val="null3"/>
            </w:pPr>
            <w:r>
              <w:rPr/>
              <w:t>5</w:t>
            </w:r>
          </w:p>
        </w:tc>
        <w:tc>
          <w:tcPr>
            <w:tcW w:type="dxa" w:w="2492"/>
          </w:tcPr>
          <w:p>
            <w:pPr>
              <w:pStyle w:val="null3"/>
            </w:pPr>
            <w:r>
              <w:rPr/>
              <w:t>谈判有效期</w:t>
            </w:r>
          </w:p>
        </w:tc>
        <w:tc>
          <w:tcPr>
            <w:tcW w:type="dxa" w:w="3322"/>
          </w:tcPr>
          <w:p>
            <w:pPr>
              <w:pStyle w:val="null3"/>
            </w:pPr>
            <w:r>
              <w:rPr/>
              <w:t>谈判有效期符合采购文件的要求：投标截止之日起90日历天。</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文件的签署、盖章。</w:t>
            </w:r>
          </w:p>
        </w:tc>
        <w:tc>
          <w:tcPr>
            <w:tcW w:type="dxa" w:w="3322"/>
          </w:tcPr>
          <w:p>
            <w:pPr>
              <w:pStyle w:val="null3"/>
            </w:pPr>
            <w:r>
              <w:rPr/>
              <w:t>符合采购文件要求。</w:t>
            </w:r>
          </w:p>
        </w:tc>
        <w:tc>
          <w:tcPr>
            <w:tcW w:type="dxa" w:w="1661"/>
          </w:tcPr>
          <w:p>
            <w:pPr>
              <w:pStyle w:val="null3"/>
            </w:pPr>
            <w:r>
              <w:rPr/>
              <w:t>授权委托书 标的清单 报价表 响应函 法定代表人（单位负责人自然人）身份证明</w:t>
            </w:r>
          </w:p>
        </w:tc>
      </w:tr>
    </w:tbl>
    <w:p>
      <w:pPr>
        <w:pStyle w:val="null3"/>
        <w:outlineLvl w:val="3"/>
      </w:pPr>
      <w:r>
        <w:rPr>
          <w:b/>
          <w:sz w:val="24"/>
        </w:rPr>
        <w:t>5.2.4协商</w:t>
      </w:r>
    </w:p>
    <w:p>
      <w:pPr>
        <w:pStyle w:val="null3"/>
        <w:ind w:firstLine="480"/>
      </w:pPr>
      <w:r>
        <w:rPr/>
        <w:t>一、协商会议在项目电子化交易系统进行。协商会议由代理机构在线主持，供应商代表在线参加。</w:t>
      </w:r>
    </w:p>
    <w:p>
      <w:pPr>
        <w:pStyle w:val="null3"/>
        <w:ind w:firstLine="480"/>
      </w:pPr>
      <w:r>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b/>
          <w:sz w:val="24"/>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七、供应商最后报价无效的，本次采购活动终止，并发布终止公告。</w:t>
      </w:r>
    </w:p>
    <w:p>
      <w:pPr>
        <w:pStyle w:val="null3"/>
        <w:outlineLvl w:val="3"/>
      </w:pPr>
      <w:r>
        <w:rPr>
          <w:b/>
          <w:sz w:val="24"/>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四、协商小组应当积极履行澄清、说明或者更正的职责，不得滥用权力。</w:t>
      </w:r>
    </w:p>
    <w:p>
      <w:pPr>
        <w:pStyle w:val="null3"/>
        <w:outlineLvl w:val="3"/>
      </w:pPr>
      <w:r>
        <w:rPr>
          <w:b/>
          <w:sz w:val="24"/>
        </w:rPr>
        <w:t>5.2.7编写协商报告</w:t>
      </w:r>
    </w:p>
    <w:p>
      <w:pPr>
        <w:pStyle w:val="null3"/>
        <w:ind w:firstLine="480"/>
      </w:pPr>
      <w:r>
        <w:rPr/>
        <w:t>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（三）供应商提供的采购标的成本、同类项目合同价格以及相关专利、专有技术等情况说明；</w:t>
      </w:r>
    </w:p>
    <w:p>
      <w:pPr>
        <w:pStyle w:val="null3"/>
        <w:ind w:firstLine="480"/>
      </w:pPr>
      <w:r>
        <w:rPr/>
        <w:t>（四）合同主要条款及价格商定情况。</w:t>
      </w:r>
    </w:p>
    <w:p>
      <w:pPr>
        <w:pStyle w:val="null3"/>
        <w:ind w:firstLine="480"/>
        <w:jc w:val="left"/>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t>依据本办法第四十三条 出现下列情形之一的，采购人或者采购代理机构应当终止采购活动，发布项目终止公告并说明原因，重新开展采购活动：</w:t>
      </w:r>
    </w:p>
    <w:p>
      <w:pPr>
        <w:pStyle w:val="null3"/>
        <w:jc w:val="left"/>
      </w:pPr>
      <w:r>
        <w:rPr/>
        <w:t>（一）因情况变化，不再符合规定的单一来源采购方式适用情形的；</w:t>
      </w:r>
    </w:p>
    <w:p>
      <w:pPr>
        <w:pStyle w:val="null3"/>
        <w:jc w:val="left"/>
      </w:pPr>
      <w:r>
        <w:rPr/>
        <w:t>（二）出现影响采购公正的违法、违规行为的；</w:t>
      </w:r>
    </w:p>
    <w:p>
      <w:pPr>
        <w:pStyle w:val="null3"/>
        <w:jc w:val="left"/>
      </w:pPr>
      <w:r>
        <w:rPr/>
        <w:t>（三）报价超过采购预算的。</w:t>
      </w:r>
    </w:p>
    <w:p>
      <w:pPr>
        <w:pStyle w:val="null3"/>
        <w:ind w:firstLine="480"/>
      </w:pPr>
      <w:r>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b/>
          <w:sz w:val="24"/>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b/>
          <w:sz w:val="24"/>
        </w:rPr>
        <w:t>5.2.9终止采购活动情形</w:t>
      </w:r>
    </w:p>
    <w:p>
      <w:pPr>
        <w:pStyle w:val="null3"/>
        <w:ind w:firstLine="480"/>
      </w:pPr>
      <w:r>
        <w:rPr/>
        <w:t>出现下列情况之一的，协商小组应当终止采购活动，发布项目终止公告并说明原因，重新开展采购活动：</w:t>
      </w:r>
    </w:p>
    <w:p>
      <w:pPr>
        <w:pStyle w:val="null3"/>
        <w:ind w:firstLine="480"/>
      </w:pPr>
      <w:r>
        <w:rPr/>
        <w:t>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jc w:val="left"/>
        <w:outlineLvl w:val="3"/>
      </w:pPr>
      <w:r>
        <w:rPr>
          <w:b/>
          <w:sz w:val="24"/>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b/>
          <w:sz w:val="24"/>
        </w:rPr>
        <w:t>5.2.11协商小组成员义务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b/>
          <w:sz w:val="24"/>
        </w:rPr>
        <w:t xml:space="preserve"> 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详见附件：法定代表人（单位负责人自然人）身份证明</w:t>
      </w:r>
    </w:p>
    <w:p>
      <w:pPr>
        <w:pStyle w:val="null3"/>
        <w:ind w:firstLine="960"/>
      </w:pPr>
      <w:r>
        <w:rPr/>
        <w:t>详见附件：授权委托书</w:t>
      </w:r>
    </w:p>
    <w:p>
      <w:pPr>
        <w:pStyle w:val="null3"/>
        <w:ind w:firstLine="960"/>
      </w:pPr>
      <w:r>
        <w:rPr/>
        <w:t>详见附件：报价表</w:t>
      </w:r>
    </w:p>
    <w:p>
      <w:pPr>
        <w:pStyle w:val="null3"/>
        <w:ind w:firstLine="960"/>
      </w:pPr>
      <w:r>
        <w:rPr/>
        <w:t>详见附件：标的清单</w:t>
      </w:r>
    </w:p>
    <w:p>
      <w:pPr>
        <w:pStyle w:val="null3"/>
        <w:ind w:firstLine="960"/>
      </w:pPr>
      <w:r>
        <w:rPr/>
        <w:t>详见附件：产品技术参数表</w:t>
      </w:r>
    </w:p>
    <w:p>
      <w:pPr>
        <w:pStyle w:val="null3"/>
        <w:ind w:firstLine="960"/>
      </w:pPr>
      <w:r>
        <w:rPr/>
        <w:t>详见附件：商务应答表</w:t>
      </w:r>
    </w:p>
    <w:p>
      <w:pPr>
        <w:pStyle w:val="null3"/>
        <w:ind w:firstLine="960"/>
      </w:pPr>
      <w:r>
        <w:rPr/>
        <w:t>详见附件：资格证明文件</w:t>
      </w:r>
    </w:p>
    <w:p>
      <w:pPr>
        <w:pStyle w:val="null3"/>
        <w:ind w:firstLine="960"/>
      </w:pPr>
      <w:r>
        <w:rPr/>
        <w:t>详见附件：项目实施方案</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详见附件：其他材料</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详见附件：法定代表人（单位负责人自然人）身份证明</w:t>
      </w:r>
    </w:p>
    <w:p>
      <w:pPr>
        <w:pStyle w:val="null3"/>
        <w:ind w:firstLine="960"/>
      </w:pPr>
      <w:r>
        <w:rPr/>
        <w:t>详见附件：授权委托书</w:t>
      </w:r>
    </w:p>
    <w:p>
      <w:pPr>
        <w:pStyle w:val="null3"/>
        <w:ind w:firstLine="960"/>
      </w:pPr>
      <w:r>
        <w:rPr/>
        <w:t>详见附件：报价表</w:t>
      </w:r>
    </w:p>
    <w:p>
      <w:pPr>
        <w:pStyle w:val="null3"/>
        <w:ind w:firstLine="960"/>
      </w:pPr>
      <w:r>
        <w:rPr/>
        <w:t>详见附件：标的清单</w:t>
      </w:r>
    </w:p>
    <w:p>
      <w:pPr>
        <w:pStyle w:val="null3"/>
        <w:ind w:firstLine="960"/>
      </w:pPr>
      <w:r>
        <w:rPr/>
        <w:t>详见附件：产品技术参数表</w:t>
      </w:r>
    </w:p>
    <w:p>
      <w:pPr>
        <w:pStyle w:val="null3"/>
        <w:ind w:firstLine="960"/>
      </w:pPr>
      <w:r>
        <w:rPr/>
        <w:t>详见附件：商务应答表</w:t>
      </w:r>
    </w:p>
    <w:p>
      <w:pPr>
        <w:pStyle w:val="null3"/>
        <w:ind w:firstLine="960"/>
      </w:pPr>
      <w:r>
        <w:rPr/>
        <w:t>详见附件：资格证明文件</w:t>
      </w:r>
    </w:p>
    <w:p>
      <w:pPr>
        <w:pStyle w:val="null3"/>
        <w:ind w:firstLine="960"/>
      </w:pPr>
      <w:r>
        <w:rPr/>
        <w:t>详见附件：项目实施方案</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详见附件：其他材料</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详见附件：法定代表人（单位负责人自然人）身份证明</w:t>
      </w:r>
    </w:p>
    <w:p>
      <w:pPr>
        <w:pStyle w:val="null3"/>
        <w:ind w:firstLine="960"/>
      </w:pPr>
      <w:r>
        <w:rPr/>
        <w:t>详见附件：授权委托书</w:t>
      </w:r>
    </w:p>
    <w:p>
      <w:pPr>
        <w:pStyle w:val="null3"/>
        <w:ind w:firstLine="960"/>
      </w:pPr>
      <w:r>
        <w:rPr/>
        <w:t>详见附件：报价表</w:t>
      </w:r>
    </w:p>
    <w:p>
      <w:pPr>
        <w:pStyle w:val="null3"/>
        <w:ind w:firstLine="960"/>
      </w:pPr>
      <w:r>
        <w:rPr/>
        <w:t>详见附件：标的清单</w:t>
      </w:r>
    </w:p>
    <w:p>
      <w:pPr>
        <w:pStyle w:val="null3"/>
        <w:ind w:firstLine="960"/>
      </w:pPr>
      <w:r>
        <w:rPr/>
        <w:t>详见附件：产品技术参数表</w:t>
      </w:r>
    </w:p>
    <w:p>
      <w:pPr>
        <w:pStyle w:val="null3"/>
        <w:ind w:firstLine="960"/>
      </w:pPr>
      <w:r>
        <w:rPr/>
        <w:t>详见附件：商务应答表</w:t>
      </w:r>
    </w:p>
    <w:p>
      <w:pPr>
        <w:pStyle w:val="null3"/>
        <w:ind w:firstLine="960"/>
      </w:pPr>
      <w:r>
        <w:rPr/>
        <w:t>详见附件：资格证明文件</w:t>
      </w:r>
    </w:p>
    <w:p>
      <w:pPr>
        <w:pStyle w:val="null3"/>
        <w:ind w:firstLine="960"/>
      </w:pPr>
      <w:r>
        <w:rPr/>
        <w:t>详见附件：项目实施方案</w:t>
      </w:r>
    </w:p>
    <w:p>
      <w:pPr>
        <w:pStyle w:val="null3"/>
        <w:ind w:firstLine="960"/>
      </w:pPr>
      <w:r>
        <w:rPr/>
        <w:t>详见附件：中小企业声明函</w:t>
      </w:r>
    </w:p>
    <w:p>
      <w:pPr>
        <w:pStyle w:val="null3"/>
        <w:ind w:firstLine="960"/>
      </w:pPr>
      <w:r>
        <w:rPr/>
        <w:t>详见附件：监狱企业的证明文件</w:t>
      </w:r>
    </w:p>
    <w:p>
      <w:pPr>
        <w:pStyle w:val="null3"/>
        <w:ind w:firstLine="960"/>
      </w:pPr>
      <w:r>
        <w:rPr/>
        <w:t>详见附件：残疾人福利性单位声明函</w:t>
      </w:r>
    </w:p>
    <w:p>
      <w:pPr>
        <w:pStyle w:val="null3"/>
        <w:ind w:firstLine="960"/>
      </w:pPr>
      <w:r>
        <w:rPr/>
        <w:t>详见附件：其他材料</w:t>
      </w:r>
    </w:p>
    <w:p>
      <w:pPr>
        <w:pStyle w:val="null3"/>
      </w:pPr>
      <w:r>
        <w:rPr/>
        <w:t>采购包4：</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详见附件：法定代表人（单位负责人自然人）身份证明</w:t>
      </w:r>
    </w:p>
    <w:p>
      <w:pPr>
        <w:pStyle w:val="null3"/>
        <w:ind w:firstLine="960"/>
      </w:pPr>
      <w:r>
        <w:rPr/>
        <w:t>详见附件：授权委托书</w:t>
      </w:r>
    </w:p>
    <w:p>
      <w:pPr>
        <w:pStyle w:val="null3"/>
        <w:ind w:firstLine="960"/>
      </w:pPr>
      <w:r>
        <w:rPr/>
        <w:t>详见附件：报价表</w:t>
      </w:r>
    </w:p>
    <w:p>
      <w:pPr>
        <w:pStyle w:val="null3"/>
        <w:ind w:firstLine="960"/>
      </w:pPr>
      <w:r>
        <w:rPr/>
        <w:t>详见附件：标的清单</w:t>
      </w:r>
    </w:p>
    <w:p>
      <w:pPr>
        <w:pStyle w:val="null3"/>
        <w:ind w:firstLine="960"/>
      </w:pPr>
      <w:r>
        <w:rPr/>
        <w:t>详见附件：产品技术参数表</w:t>
      </w:r>
    </w:p>
    <w:p>
      <w:pPr>
        <w:pStyle w:val="null3"/>
        <w:ind w:firstLine="960"/>
      </w:pPr>
      <w:r>
        <w:rPr/>
        <w:t>详见附件：商务应答表</w:t>
      </w:r>
    </w:p>
    <w:p>
      <w:pPr>
        <w:pStyle w:val="null3"/>
        <w:ind w:firstLine="960"/>
      </w:pPr>
      <w:r>
        <w:rPr/>
        <w:t>详见附件：资格证明文件</w:t>
      </w:r>
    </w:p>
    <w:p>
      <w:pPr>
        <w:pStyle w:val="null3"/>
        <w:ind w:firstLine="960"/>
      </w:pPr>
      <w:r>
        <w:rPr/>
        <w:t>详见附件：项目实施方案</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详见附件：其他材料</w:t>
      </w:r>
    </w:p>
    <w:p>
      <w:pPr>
        <w:pStyle w:val="null3"/>
      </w:pPr>
      <w:r>
        <w:rPr/>
        <w:t xml:space="preserve"> </w:t>
        <w:br/>
        <w:br w:type="page"/>
      </w:r>
    </w:p>
    <w:p>
      <w:pPr>
        <w:pStyle w:val="null3"/>
        <w:jc w:val="center"/>
        <w:outlineLvl w:val="1"/>
      </w:pPr>
      <w:r>
        <w:rPr>
          <w:b/>
          <w:sz w:val="36"/>
        </w:rPr>
        <w:t>第七章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