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谈 判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图书馆专业电子资源专项采购项目</w:t>
      </w:r>
    </w:p>
    <w:p>
      <w:pPr>
        <w:pStyle w:val="null3"/>
        <w:jc w:val="center"/>
        <w:outlineLvl w:val="2"/>
      </w:pPr>
      <w:r>
        <w:rPr>
          <w:b/>
          <w:sz w:val="28"/>
        </w:rPr>
        <w:t>采购项目编号：</w:t>
      </w:r>
      <w:r>
        <w:rPr>
          <w:b/>
          <w:sz w:val="28"/>
        </w:rPr>
        <w:t>NBC-2024-ZFTP-H-041</w:t>
      </w:r>
      <w:r>
        <w:br/>
      </w:r>
      <w:r>
        <w:br/>
      </w:r>
      <w:r>
        <w:br/>
      </w:r>
    </w:p>
    <w:p>
      <w:pPr>
        <w:pStyle w:val="null3"/>
        <w:jc w:val="center"/>
        <w:outlineLvl w:val="2"/>
      </w:pPr>
      <w:r>
        <w:rPr>
          <w:b/>
          <w:sz w:val="28"/>
        </w:rPr>
        <w:t>西安铁路职业技术学院</w:t>
      </w:r>
    </w:p>
    <w:p>
      <w:pPr>
        <w:pStyle w:val="null3"/>
        <w:jc w:val="center"/>
        <w:outlineLvl w:val="2"/>
      </w:pPr>
      <w:r>
        <w:rPr>
          <w:b/>
          <w:sz w:val="28"/>
        </w:rPr>
        <w:t>纳百川项目管理咨询有限公司</w:t>
      </w:r>
      <w:r>
        <w:rPr>
          <w:b/>
          <w:sz w:val="28"/>
        </w:rPr>
        <w:t>共同编制</w:t>
      </w:r>
    </w:p>
    <w:p>
      <w:pPr>
        <w:pStyle w:val="null3"/>
        <w:jc w:val="center"/>
        <w:outlineLvl w:val="2"/>
      </w:pPr>
      <w:r>
        <w:rPr>
          <w:b/>
          <w:sz w:val="28"/>
        </w:rPr>
        <w:t>2024年04月10日</w:t>
      </w:r>
    </w:p>
    <w:p>
      <w:pPr>
        <w:pStyle w:val="null3"/>
      </w:pPr>
      <w:r>
        <w:rPr/>
        <w:t xml:space="preserve"> </w:t>
        <w:br/>
        <w:br w:type="page"/>
      </w:r>
    </w:p>
    <w:p>
      <w:pPr>
        <w:pStyle w:val="null3"/>
        <w:jc w:val="center"/>
        <w:outlineLvl w:val="1"/>
      </w:pPr>
      <w:r>
        <w:rPr>
          <w:b/>
          <w:sz w:val="36"/>
        </w:rPr>
        <w:t>第一章 竞争性谈判邀请</w:t>
      </w:r>
    </w:p>
    <w:p>
      <w:pPr>
        <w:pStyle w:val="null3"/>
        <w:ind w:firstLine="480"/>
      </w:pPr>
      <w:r>
        <w:rPr/>
        <w:t>纳百川项目管理咨询有限公司</w:t>
      </w:r>
      <w:r>
        <w:rPr/>
        <w:t>（以下简称“代理机构”）受</w:t>
      </w:r>
      <w:r>
        <w:rPr/>
        <w:t>西安铁路职业技术学院</w:t>
      </w:r>
      <w:r>
        <w:rPr/>
        <w:t>委托，拟对</w:t>
      </w:r>
      <w:r>
        <w:rPr/>
        <w:t>图书馆专业电子资源专项采购项目</w:t>
      </w:r>
      <w:r>
        <w:rPr/>
        <w:t>采用竞争性谈判采购方式进行采购，兹邀请供应商参加本项目的竞争性谈判。</w:t>
      </w:r>
    </w:p>
    <w:p>
      <w:pPr>
        <w:pStyle w:val="null3"/>
        <w:outlineLvl w:val="2"/>
      </w:pPr>
      <w:r>
        <w:rPr>
          <w:b/>
          <w:sz w:val="28"/>
        </w:rPr>
        <w:t>一、项目编号：</w:t>
      </w:r>
      <w:r>
        <w:rPr>
          <w:b/>
          <w:sz w:val="28"/>
        </w:rPr>
        <w:t>NBC-2024-ZFTP-H-041</w:t>
      </w:r>
    </w:p>
    <w:p>
      <w:pPr>
        <w:pStyle w:val="null3"/>
        <w:outlineLvl w:val="2"/>
      </w:pPr>
      <w:r>
        <w:rPr>
          <w:b/>
          <w:sz w:val="28"/>
        </w:rPr>
        <w:t>二、项目名称：</w:t>
      </w:r>
      <w:r>
        <w:rPr>
          <w:b/>
          <w:sz w:val="28"/>
        </w:rPr>
        <w:t>图书馆专业电子资源专项采购项目</w:t>
      </w:r>
    </w:p>
    <w:p>
      <w:pPr>
        <w:pStyle w:val="null3"/>
        <w:outlineLvl w:val="2"/>
      </w:pPr>
      <w:r>
        <w:rPr>
          <w:b/>
          <w:sz w:val="28"/>
        </w:rPr>
        <w:t>三、谈判项目简介：</w:t>
      </w:r>
    </w:p>
    <w:p>
      <w:pPr>
        <w:pStyle w:val="null3"/>
        <w:ind w:firstLine="480"/>
      </w:pPr>
      <w:r>
        <w:rPr/>
        <w:t>根据学校人才培养、“双高计划”、“提质培优”计划、学科建设及教育部办学条件指标要求，提升专业电子资源在资源建设中的比例，形成以铁道运输类、城市轨道交通类为特色的电子文献资源保障体系，满足师生专业建设、教学、科研的需要。根据学院的总体发展规划，购买专业学术期刊、博硕论文、技术标准、专利及年鉴等相关电子资源来丰富馆藏，提高图书馆的信息资源建设质量，满足师生教学、科研和学习需要。</w:t>
      </w:r>
    </w:p>
    <w:p>
      <w:pPr>
        <w:pStyle w:val="null3"/>
        <w:outlineLvl w:val="2"/>
      </w:pPr>
      <w:r>
        <w:rPr>
          <w:b/>
          <w:sz w:val="28"/>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1、法定代表人身份证 或法定代表人授权 委托书：投标供应商应授权合法的人员参加投标全过程，其中法定代表人直接参加投标的，须出具身 份证，并与营业执照上信息一致。法定代表人授权代表参加投标的，须出具法定代表人授权 书及授权代表身份证。</w:t>
      </w:r>
    </w:p>
    <w:p>
      <w:pPr>
        <w:pStyle w:val="null3"/>
      </w:pPr>
      <w:r>
        <w:rPr/>
        <w:t>2、信誉：无重大违法记录，需提供信用中国和中国政府采购网信用记录，被列入失信被执行人、重大 税收违法案件当事人名单或政府采购严重违法失信行为记录名单的供应商，没有资格参加本 项目的采购活动。</w:t>
      </w:r>
    </w:p>
    <w:p>
      <w:pPr>
        <w:pStyle w:val="null3"/>
      </w:pPr>
      <w:r>
        <w:rPr/>
        <w:t>3、资质证书：投标供应商须具备出版物经营许可证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西安铁路职业技术学院</w:t>
      </w:r>
    </w:p>
    <w:p>
      <w:pPr>
        <w:pStyle w:val="null3"/>
      </w:pPr>
      <w:r>
        <w:rPr/>
        <w:t xml:space="preserve"> 地址： </w:t>
      </w:r>
      <w:r>
        <w:rPr/>
        <w:t>西安市国际港务区港务大道396号</w:t>
      </w:r>
    </w:p>
    <w:p>
      <w:pPr>
        <w:pStyle w:val="null3"/>
      </w:pPr>
      <w:r>
        <w:rPr/>
        <w:t xml:space="preserve"> 邮编： </w:t>
      </w:r>
      <w:r>
        <w:rPr/>
        <w:t>710016</w:t>
      </w:r>
    </w:p>
    <w:p>
      <w:pPr>
        <w:pStyle w:val="null3"/>
      </w:pPr>
      <w:r>
        <w:rPr/>
        <w:t xml:space="preserve"> 联系人： </w:t>
      </w:r>
      <w:r>
        <w:rPr/>
        <w:t>西安铁路职业技术学院经办</w:t>
      </w:r>
    </w:p>
    <w:p>
      <w:pPr>
        <w:pStyle w:val="null3"/>
      </w:pPr>
      <w:r>
        <w:rPr/>
        <w:t xml:space="preserve"> 联系电话： </w:t>
      </w:r>
      <w:r>
        <w:rPr/>
        <w:t>029-88092206</w:t>
      </w:r>
    </w:p>
    <w:p>
      <w:pPr>
        <w:pStyle w:val="null3"/>
        <w:outlineLvl w:val="3"/>
      </w:pPr>
      <w:r>
        <w:rPr>
          <w:b/>
          <w:sz w:val="24"/>
        </w:rPr>
        <w:t>代理机构：</w:t>
      </w:r>
      <w:r>
        <w:rPr>
          <w:b/>
          <w:sz w:val="24"/>
        </w:rPr>
        <w:t>纳百川项目管理咨询有限公司</w:t>
      </w:r>
    </w:p>
    <w:p>
      <w:pPr>
        <w:pStyle w:val="null3"/>
      </w:pPr>
      <w:r>
        <w:rPr/>
        <w:t xml:space="preserve"> 地址： </w:t>
      </w:r>
      <w:r>
        <w:rPr/>
        <w:t>陕西省西安市雁塔区西安曲江新区雁翔路旺座曲江K座1701室</w:t>
      </w:r>
    </w:p>
    <w:p>
      <w:pPr>
        <w:pStyle w:val="null3"/>
      </w:pPr>
      <w:r>
        <w:rPr/>
        <w:t xml:space="preserve"> 邮编： </w:t>
      </w:r>
      <w:r>
        <w:rPr/>
        <w:t>710000</w:t>
      </w:r>
    </w:p>
    <w:p>
      <w:pPr>
        <w:pStyle w:val="null3"/>
      </w:pPr>
      <w:r>
        <w:rPr/>
        <w:t xml:space="preserve"> 联系人： </w:t>
      </w:r>
      <w:r>
        <w:rPr/>
        <w:t>谢瑞琳</w:t>
      </w:r>
    </w:p>
    <w:p>
      <w:pPr>
        <w:pStyle w:val="null3"/>
      </w:pPr>
      <w:r>
        <w:rPr/>
        <w:t xml:space="preserve"> 联系电话： </w:t>
      </w:r>
      <w:r>
        <w:rPr/>
        <w:t>029-89120989</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说明：1）成交方在签订合同前须向采购方交纳合同总金额5%的履约保证金。 2）成交方无正当理由不与采购方订立合同，在签订合同时向采购方提出附加条件，或者不按照招标文件要求提交履约保证金的，取消其成交资格，招标保证金不予退还。 3）项目验收合格后，采购方向成交方无息退还履约保证金。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价为基数，招标代理服务费按照国家计委印发《招标代理服务收费管理暂行办法》的通知(计价格[2002]1980号)文件、发改价格[2011]534号文件及国家发改委印发的《关于进一步放开建设项目专业服务价格的通知》[2015]299号文件的收取标准下浮30%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西安铁路职业技术学院</w:t>
      </w:r>
      <w:r>
        <w:rPr/>
        <w:t>和</w:t>
      </w:r>
      <w:r>
        <w:rPr/>
        <w:t>纳百川项目管理咨询有限公司</w:t>
      </w:r>
      <w:r>
        <w:rPr/>
        <w:t>享有。竞争性谈判文件中供应商参加本次政府采购活动应当具备的条件、技术清单、参数、商务及其他要求由</w:t>
      </w:r>
      <w:r>
        <w:rPr/>
        <w:t>西安铁路职业技术学院</w:t>
      </w:r>
      <w:r>
        <w:rPr/>
        <w:t>负责解释。除上述竞争性谈判文件内容，其他内容由</w:t>
      </w:r>
      <w:r>
        <w:rPr/>
        <w:t>纳百川项目管理咨询有限公司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一、“采购人”是指依法进行政府采购的各级国家机关、事业单位、团体组织。本次谈判的采购人是</w:t>
      </w:r>
      <w:r>
        <w:rPr/>
        <w:t>西安铁路职业技术学院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纳百川项目管理咨询有限公司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b/>
          <w:sz w:val="24"/>
        </w:rPr>
        <w:t>2.2.3响应费用（实质性要求）</w:t>
      </w:r>
    </w:p>
    <w:p>
      <w:pPr>
        <w:pStyle w:val="null3"/>
        <w:ind w:firstLine="480"/>
      </w:pPr>
      <w:r>
        <w:rPr/>
        <w:t>供应商应自行承担参加竞争性谈判采购活动的全部费用。</w:t>
      </w:r>
    </w:p>
    <w:p>
      <w:pPr>
        <w:pStyle w:val="null3"/>
        <w:outlineLvl w:val="2"/>
      </w:pPr>
      <w:r>
        <w:rPr>
          <w:b/>
          <w:sz w:val="28"/>
        </w:rPr>
        <w:t>2.3竞争性谈判文件</w:t>
      </w:r>
    </w:p>
    <w:p>
      <w:pPr>
        <w:pStyle w:val="null3"/>
        <w:outlineLvl w:val="3"/>
      </w:pPr>
      <w:r>
        <w:rPr>
          <w:b/>
          <w:sz w:val="24"/>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b/>
          <w:sz w:val="24"/>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除谈判文件中另有规定外，本项目均采用国家法定的计量单位。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b/>
          <w:sz w:val="24"/>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b/>
          <w:sz w:val="24"/>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一、响应文件应当根据谈判通知书进行编制。供应商应通过陕西省政府采购网-服务专区-CA及签章服务下载投标（响应）客户端，使用客户端编制响应文件。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2.5开启、资格审查、谈判和确定成交供应商</w:t>
      </w:r>
    </w:p>
    <w:p>
      <w:pPr>
        <w:pStyle w:val="null3"/>
        <w:outlineLvl w:val="3"/>
      </w:pPr>
      <w:r>
        <w:rPr>
          <w:b/>
          <w:sz w:val="24"/>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详见谈判文件第四章。</w:t>
      </w:r>
    </w:p>
    <w:p>
      <w:pPr>
        <w:pStyle w:val="null3"/>
        <w:outlineLvl w:val="3"/>
      </w:pPr>
      <w:r>
        <w:rPr>
          <w:b/>
          <w:sz w:val="24"/>
        </w:rPr>
        <w:t>2.5.4谈判</w:t>
      </w:r>
    </w:p>
    <w:p>
      <w:pPr>
        <w:pStyle w:val="null3"/>
        <w:ind w:firstLine="480"/>
      </w:pPr>
      <w:r>
        <w:rPr/>
        <w:t>详见谈判文件第六章。</w:t>
      </w:r>
    </w:p>
    <w:p>
      <w:pPr>
        <w:pStyle w:val="null3"/>
        <w:outlineLvl w:val="3"/>
      </w:pPr>
      <w:r>
        <w:rPr>
          <w:b/>
          <w:sz w:val="24"/>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b/>
          <w:sz w:val="28"/>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b/>
          <w:sz w:val="28"/>
        </w:rPr>
        <w:t>2.6.7履约验收方案</w:t>
      </w:r>
    </w:p>
    <w:p>
      <w:pPr>
        <w:pStyle w:val="null3"/>
      </w:pPr>
      <w:r>
        <w:rPr/>
        <w:t>采购包1：</w:t>
      </w:r>
    </w:p>
    <w:p>
      <w:pPr>
        <w:pStyle w:val="null3"/>
      </w:pPr>
      <w:r>
        <w:rPr/>
        <w:t>/</w:t>
      </w:r>
    </w:p>
    <w:p>
      <w:pPr>
        <w:pStyle w:val="null3"/>
        <w:outlineLvl w:val="2"/>
      </w:pPr>
      <w:r>
        <w:rPr>
          <w:b/>
          <w:sz w:val="28"/>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b/>
          <w:sz w:val="24"/>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纳百川项目管理咨询有限公司</w:t>
      </w:r>
      <w:r>
        <w:rPr/>
        <w:t xml:space="preserve"> 负责答复；供应商对除采购需求外的采购文件的询问、质疑由</w:t>
      </w:r>
      <w:r>
        <w:rPr/>
        <w:t>纳百川项目管理咨询有限公司</w:t>
      </w:r>
      <w:r>
        <w:rPr/>
        <w:t xml:space="preserve"> 负责答复；供应商对采购过程、采购结果的询问、质疑由 </w:t>
      </w:r>
      <w:r>
        <w:rPr/>
        <w:t>纳百川项目管理咨询有限公司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联系人：谢瑞琳</w:t>
      </w:r>
    </w:p>
    <w:p>
      <w:pPr>
        <w:pStyle w:val="null3"/>
      </w:pPr>
      <w:r>
        <w:rPr/>
        <w:t>联系电话：15339116411</w:t>
      </w:r>
    </w:p>
    <w:p>
      <w:pPr>
        <w:pStyle w:val="null3"/>
      </w:pPr>
      <w:r>
        <w:rPr/>
        <w:t>地址：西安市曲江新区旺座曲江 K 座 1701 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b/>
          <w:sz w:val="36"/>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根据学校人才培养、“双高计划”、“提质培优”计划、学科建设及教育部办学条件指标要求，提升专业电子资源在资源建设中的比例，形成以铁道运输类、城市轨道交通类为特色的电子文献资源保障体系，满足师生专业建设、教学、科研的需要。根据学院的总体发展规划，购买专业学术期刊、博硕论文、技术标准、专利及年鉴等相关电子资源来丰富馆藏，提高图书馆的信息资源建设质量，满足师生教学、科研和学习需要。</w:t>
      </w:r>
    </w:p>
    <w:p>
      <w:pPr>
        <w:pStyle w:val="null3"/>
        <w:outlineLvl w:val="2"/>
      </w:pPr>
      <w:r>
        <w:rPr>
          <w:b/>
          <w:sz w:val="28"/>
        </w:rPr>
        <w:t>3.2采购内容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图书馆专业电子资源专项采购项目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标的名称：图书馆专业电子资源专项采购项目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600" w:firstLine="560"/>
              <w:jc w:val="both"/>
            </w:pPr>
            <w:r>
              <w:rPr>
                <w:rFonts w:ascii="simsun" w:hAnsi="simsun" w:cs="simsun" w:eastAsia="simsun"/>
                <w:b/>
                <w:sz w:val="24"/>
              </w:rPr>
              <w:t>技术要</w:t>
            </w:r>
            <w:r>
              <w:rPr>
                <w:rFonts w:ascii="simsun" w:hAnsi="simsun" w:cs="simsun" w:eastAsia="simsun"/>
                <w:b/>
                <w:sz w:val="24"/>
              </w:rPr>
              <w:t>求（包括对产品的认证、检验报告等）</w:t>
            </w:r>
          </w:p>
          <w:p>
            <w:pPr>
              <w:pStyle w:val="null3"/>
              <w:ind w:left="600"/>
              <w:jc w:val="both"/>
            </w:pPr>
            <w:r>
              <w:rPr>
                <w:rFonts w:ascii="simsun" w:hAnsi="simsun" w:cs="simsun" w:eastAsia="simsun"/>
                <w:b/>
                <w:sz w:val="24"/>
              </w:rPr>
              <w:t>1-1：</w:t>
            </w:r>
            <w:r>
              <w:rPr>
                <w:rFonts w:ascii="simsun" w:hAnsi="simsun" w:cs="simsun" w:eastAsia="simsun"/>
                <w:b/>
                <w:color w:val="000000"/>
                <w:sz w:val="24"/>
              </w:rPr>
              <w:t>中国学术期刊数据库（含工程科技、社会科学、经管、信息科技）</w:t>
            </w:r>
          </w:p>
          <w:p>
            <w:pPr>
              <w:pStyle w:val="null3"/>
              <w:ind w:left="600"/>
              <w:jc w:val="both"/>
            </w:pPr>
            <w:r>
              <w:rPr>
                <w:rFonts w:ascii="simsun" w:hAnsi="simsun" w:cs="simsun" w:eastAsia="simsun"/>
                <w:sz w:val="24"/>
              </w:rPr>
              <w:t>1）收录的期刊无版权纠纷。</w:t>
            </w:r>
          </w:p>
          <w:p>
            <w:pPr>
              <w:pStyle w:val="null3"/>
              <w:ind w:left="600"/>
              <w:jc w:val="both"/>
            </w:pPr>
            <w:r>
              <w:rPr>
                <w:rFonts w:ascii="simsun" w:hAnsi="simsun" w:cs="simsun" w:eastAsia="simsun"/>
                <w:sz w:val="24"/>
              </w:rPr>
              <w:t>2）期刊文献收录完整率：核心期刊、重要评价性数据库来源期刊完整率高于98%；其它学术期刊完整率高于93%。</w:t>
            </w:r>
          </w:p>
          <w:p>
            <w:pPr>
              <w:pStyle w:val="null3"/>
              <w:ind w:left="600"/>
              <w:jc w:val="both"/>
            </w:pPr>
            <w:r>
              <w:rPr>
                <w:rFonts w:ascii="simsun" w:hAnsi="simsun" w:cs="simsun" w:eastAsia="simsun"/>
                <w:sz w:val="24"/>
              </w:rPr>
              <w:t>3）文献期数、篇数收录完整率：期数完整率高于99％，篇数完整率高于99％。</w:t>
            </w:r>
          </w:p>
          <w:p>
            <w:pPr>
              <w:pStyle w:val="null3"/>
              <w:ind w:left="600"/>
              <w:jc w:val="both"/>
            </w:pPr>
            <w:r>
              <w:rPr>
                <w:rFonts w:ascii="simsun" w:hAnsi="simsun" w:cs="simsun" w:eastAsia="simsun"/>
                <w:sz w:val="24"/>
              </w:rPr>
              <w:t>4）网络数据实时更新。平均不迟于纸质期刊出版之后45天。网络首发的数字出版模式，平均提前75天。</w:t>
            </w:r>
          </w:p>
          <w:p>
            <w:pPr>
              <w:pStyle w:val="null3"/>
              <w:ind w:left="600"/>
              <w:jc w:val="both"/>
            </w:pPr>
            <w:r>
              <w:rPr>
                <w:rFonts w:ascii="simsun" w:hAnsi="simsun" w:cs="simsun" w:eastAsia="simsun"/>
                <w:sz w:val="24"/>
              </w:rPr>
              <w:t>5）网络服务完成后，提供本地镜像数据不少于120万篇。</w:t>
            </w:r>
          </w:p>
          <w:p>
            <w:pPr>
              <w:pStyle w:val="null3"/>
              <w:ind w:left="600"/>
              <w:jc w:val="both"/>
            </w:pPr>
            <w:r>
              <w:rPr>
                <w:rFonts w:ascii="simsun" w:hAnsi="simsun" w:cs="simsun" w:eastAsia="simsun"/>
                <w:b/>
                <w:sz w:val="24"/>
              </w:rPr>
              <w:t>1-2：中国博、硕学位论文数据库（含工程科技、社会科学、信息科技）</w:t>
            </w:r>
          </w:p>
          <w:p>
            <w:pPr>
              <w:pStyle w:val="null3"/>
              <w:ind w:left="600"/>
              <w:jc w:val="both"/>
            </w:pPr>
            <w:r>
              <w:rPr>
                <w:rFonts w:ascii="simsun" w:hAnsi="simsun" w:cs="simsun" w:eastAsia="simsun"/>
                <w:sz w:val="24"/>
              </w:rPr>
              <w:t>1）解决了收录文献的版权，无版权纠纷。</w:t>
            </w:r>
          </w:p>
          <w:p>
            <w:pPr>
              <w:pStyle w:val="null3"/>
              <w:ind w:left="600"/>
              <w:jc w:val="both"/>
            </w:pPr>
            <w:r>
              <w:rPr>
                <w:rFonts w:ascii="simsun" w:hAnsi="simsun" w:cs="simsun" w:eastAsia="simsun"/>
                <w:sz w:val="24"/>
              </w:rPr>
              <w:t>2）收录1984年至今的博、硕士学位论文。</w:t>
            </w:r>
          </w:p>
          <w:p>
            <w:pPr>
              <w:pStyle w:val="null3"/>
              <w:ind w:left="600"/>
              <w:jc w:val="both"/>
            </w:pPr>
            <w:r>
              <w:rPr>
                <w:rFonts w:ascii="simsun" w:hAnsi="simsun" w:cs="simsun" w:eastAsia="simsun"/>
                <w:sz w:val="24"/>
              </w:rPr>
              <w:t>3）博士学位论文来源完整率：收录来自500余家博士培养单位（涉及国家保密的单位除外）的博士学位论文。“双一流”建设高校覆盖率达到100%。国家重点学科覆盖率达98%，收全率达95%。特色学科覆盖率达100%，收全率95%。</w:t>
            </w:r>
          </w:p>
          <w:p>
            <w:pPr>
              <w:pStyle w:val="null3"/>
              <w:ind w:left="600"/>
              <w:jc w:val="both"/>
            </w:pPr>
            <w:r>
              <w:rPr>
                <w:rFonts w:ascii="simsun" w:hAnsi="simsun" w:cs="simsun" w:eastAsia="simsun"/>
                <w:sz w:val="24"/>
              </w:rPr>
              <w:t>4）硕士学位论文来源完整率：收录来自近800家硕士培养单位（涉及国家保密的单位除外）的硕士学位论文。“双一流”建设高校覆盖率达到100%。国家重点学科覆盖率达98%，收全率达95%。特色学科覆盖率达100%，收全率95%。</w:t>
            </w:r>
          </w:p>
          <w:p>
            <w:pPr>
              <w:pStyle w:val="null3"/>
              <w:ind w:left="600"/>
              <w:jc w:val="both"/>
            </w:pPr>
            <w:r>
              <w:rPr>
                <w:rFonts w:ascii="simsun" w:hAnsi="simsun" w:cs="simsun" w:eastAsia="simsun"/>
                <w:sz w:val="24"/>
              </w:rPr>
              <w:t>5）网络服务完成后，提供本地镜像数据不少于18万篇。</w:t>
            </w:r>
          </w:p>
          <w:p>
            <w:pPr>
              <w:pStyle w:val="null3"/>
              <w:ind w:left="600"/>
              <w:jc w:val="both"/>
            </w:pPr>
            <w:r>
              <w:rPr>
                <w:rFonts w:ascii="simsun" w:hAnsi="simsun" w:cs="simsun" w:eastAsia="simsun"/>
                <w:b/>
                <w:sz w:val="24"/>
              </w:rPr>
              <w:t>1-3：中国基础教育文献资源总库</w:t>
            </w:r>
          </w:p>
          <w:p>
            <w:pPr>
              <w:pStyle w:val="null3"/>
              <w:ind w:left="600"/>
              <w:jc w:val="both"/>
            </w:pPr>
            <w:r>
              <w:rPr>
                <w:rFonts w:ascii="simsun" w:hAnsi="simsun" w:cs="simsun" w:eastAsia="simsun"/>
                <w:sz w:val="24"/>
              </w:rPr>
              <w:t>1）全文收录期刊2246种基础教育领域常用期刊，收录年限1994年至今；其中核心期刊不少于480种；可以实现网络日更新，及时将数字资源便捷推送给读者，传递知识服务。文献总量不低于1748万篇。</w:t>
            </w:r>
          </w:p>
          <w:p>
            <w:pPr>
              <w:pStyle w:val="null3"/>
              <w:ind w:left="600"/>
              <w:jc w:val="both"/>
            </w:pPr>
            <w:r>
              <w:rPr>
                <w:rFonts w:ascii="simsun" w:hAnsi="simsun" w:cs="simsun" w:eastAsia="simsun"/>
                <w:sz w:val="24"/>
              </w:rPr>
              <w:t>2）收录2000年至今国内公开发行的480余种基础教育报纸和综合类报纸，网络日更新，文献总量不低于110万篇。</w:t>
            </w:r>
          </w:p>
          <w:p>
            <w:pPr>
              <w:pStyle w:val="null3"/>
              <w:ind w:left="600"/>
              <w:jc w:val="both"/>
            </w:pPr>
            <w:r>
              <w:rPr>
                <w:rFonts w:ascii="simsun" w:hAnsi="simsun" w:cs="simsun" w:eastAsia="simsun"/>
                <w:sz w:val="24"/>
              </w:rPr>
              <w:t>3）收录2000年至今180家以上全国博硕士培养单位有关基础教育领域的优秀博/硕士学位论文，全文收录985，211重点学校学科博硕士论文。文献收录总量不低于26万篇，每年保持持续更新。</w:t>
            </w:r>
          </w:p>
          <w:p>
            <w:pPr>
              <w:pStyle w:val="null3"/>
              <w:ind w:left="600"/>
              <w:jc w:val="both"/>
            </w:pPr>
            <w:r>
              <w:rPr>
                <w:rFonts w:ascii="simsun" w:hAnsi="simsun" w:cs="simsun" w:eastAsia="simsun"/>
                <w:sz w:val="24"/>
              </w:rPr>
              <w:t>4）收录1999年至今，国家二级以上学会、协会举办的重要学术会议、高校重要学术会议、在国内召开的国际会议上发表的有关基础教育领域的文献，文献收录量不低于21万篇。</w:t>
            </w:r>
          </w:p>
          <w:p>
            <w:pPr>
              <w:pStyle w:val="null3"/>
              <w:ind w:left="600"/>
              <w:jc w:val="both"/>
            </w:pPr>
            <w:r>
              <w:rPr>
                <w:rFonts w:ascii="simsun" w:hAnsi="simsun" w:cs="simsun" w:eastAsia="simsun"/>
                <w:sz w:val="24"/>
              </w:rPr>
              <w:t>5）基础教育公开出版期刊收全率达99% ，文献期数收录完整率100%，文献篇数收录完整率100%。</w:t>
            </w:r>
          </w:p>
          <w:p>
            <w:pPr>
              <w:pStyle w:val="null3"/>
              <w:ind w:left="600"/>
              <w:jc w:val="both"/>
            </w:pPr>
            <w:r>
              <w:rPr>
                <w:rFonts w:ascii="simsun" w:hAnsi="simsun" w:cs="simsun" w:eastAsia="simsun"/>
                <w:sz w:val="24"/>
              </w:rPr>
              <w:t>6）网络服务完成后，提供本地镜像数据不少于60万篇。</w:t>
            </w:r>
          </w:p>
          <w:p>
            <w:pPr>
              <w:pStyle w:val="null3"/>
              <w:ind w:left="600"/>
              <w:jc w:val="both"/>
            </w:pPr>
            <w:r>
              <w:rPr>
                <w:rFonts w:ascii="simsun" w:hAnsi="simsun" w:cs="simsun" w:eastAsia="simsun"/>
                <w:b/>
                <w:sz w:val="24"/>
              </w:rPr>
              <w:t>1-4：工程科技类专业资料（年鉴、专利、科技成果、标准）</w:t>
            </w:r>
          </w:p>
          <w:p>
            <w:pPr>
              <w:pStyle w:val="null3"/>
              <w:ind w:left="600"/>
              <w:jc w:val="both"/>
            </w:pPr>
            <w:r>
              <w:rPr>
                <w:rFonts w:ascii="simsun" w:hAnsi="simsun" w:cs="simsun" w:eastAsia="simsun"/>
                <w:sz w:val="24"/>
              </w:rPr>
              <w:t>1）年鉴：经国家主管部门批准、收录中国国内的中央、地方、行业和企业等各类年鉴的全文文献。内容覆盖基本国情、地理历史、政治军事外交、法律、经济、科学技术、教育、文化体育事业、医疗卫生、社会生活等各个领域。收录1949年至今，其中工程科技类专业年鉴种类总计不少于130种，文献量不少于35万篇。年鉴整刊及条目按学科（专辑/专题）、行业、地域分类，所收录年鉴均取得其出版单位授权，网络服务完成后，提供本地镜像数据不少于14万篇。</w:t>
            </w:r>
          </w:p>
          <w:p>
            <w:pPr>
              <w:pStyle w:val="null3"/>
              <w:ind w:left="600"/>
              <w:jc w:val="both"/>
            </w:pPr>
            <w:r>
              <w:rPr>
                <w:rFonts w:ascii="simsun" w:hAnsi="simsun" w:cs="simsun" w:eastAsia="simsun"/>
                <w:sz w:val="24"/>
              </w:rPr>
              <w:t>2）专利：国家知识产权局知识产权出版社合法授权。发明公开、发明授权和实用新型采用国际专利分类法，外观设计采用国际外观设计分类。基于大数据处理，可对全部检索结果和已选检索结果进行总体趋势，文献互引、关键词共现、作者合作关系网络，资源类型、学科、来源、作者、机构分布可视化分析，提供强大的网络化数据服务。可调研发明人与发明机构其他专利、成果发明人与发明机构在各公开出版物上发表的文献，从而可分析判断出该专利的技术创新水平、后续创新潜力和发展空间及其对提高相关产品的附加值及市场竞争力的作用等。网络服务完成后，提供本地镜像数据不少于120万条。</w:t>
            </w:r>
          </w:p>
          <w:p>
            <w:pPr>
              <w:pStyle w:val="null3"/>
              <w:ind w:left="600"/>
              <w:jc w:val="both"/>
            </w:pPr>
            <w:r>
              <w:rPr>
                <w:rFonts w:ascii="simsun" w:hAnsi="simsun" w:cs="simsun" w:eastAsia="simsun"/>
                <w:sz w:val="24"/>
              </w:rPr>
              <w:t>3）科技成果：数据来源是中国化工信息中心有限公司的“国家科技成果数据库”，收录正式登记的中国科技成果，按行业、成果级别、学科领域分类。每条成果信息包含成果概况、立项、评价，知识产权状况及成果应用，成果完成单位、完成人等基本信息。核心数据为登记成果数据，具备正规的采集渠道，权威、准确。依据科技部《科技成果登记表》，科技成果基本信息包括成果概况、立项情况、评价情况、知识产权情况、成果应用情况、成果单位简介、成果采集信息、成果简介等；同时收录部分相应科技成果的鉴定证书，主要包括科技成果推广前景、专家组的鉴定意见、主要技术文件的目录及来源等重要信息。按照《中国图书馆分类法》（第五版）和GB/T13745《学科分类与代码》进行学科分类。网络服务完成后，提供本地镜像数据成果摘要不少于1万条，鉴定意见不少于0.5万条。</w:t>
            </w:r>
          </w:p>
          <w:p>
            <w:pPr>
              <w:pStyle w:val="null3"/>
              <w:ind w:left="600"/>
              <w:jc w:val="both"/>
            </w:pPr>
            <w:r>
              <w:rPr>
                <w:rFonts w:ascii="simsun" w:hAnsi="simsun" w:cs="simsun" w:eastAsia="simsun"/>
                <w:sz w:val="24"/>
              </w:rPr>
              <w:t>4）标准：收录自1980年以来国家标准化管理委员会管理的国家标准，共6.5万余项，现行标准4.4万多项，即将实施标准878项。收录轻工、文化、卫生、物资管理、新闻出版、电子等40余种行业标准。提供一框式检索、高级检索、专业检索等检索方式全方位满足用户的检索需求。分类方法中中标分类法：符合企业用户查询习惯；国标分类法符合国际、国外标准查询用户使用需求；学科导航符合高校、科研院所用户使用习惯。网络服务完成后，提供本地镜像数据不少于0.3万条。</w:t>
            </w:r>
          </w:p>
          <w:p>
            <w:pPr>
              <w:pStyle w:val="null3"/>
              <w:ind w:left="600"/>
              <w:jc w:val="both"/>
            </w:pPr>
            <w:r>
              <w:rPr>
                <w:rFonts w:ascii="simsun" w:hAnsi="simsun" w:cs="simsun" w:eastAsia="simsun"/>
                <w:b/>
                <w:sz w:val="24"/>
              </w:rPr>
              <w:t>1-5：研学平台</w:t>
            </w:r>
          </w:p>
          <w:p>
            <w:pPr>
              <w:pStyle w:val="null3"/>
              <w:ind w:left="600"/>
              <w:jc w:val="both"/>
            </w:pPr>
            <w:r>
              <w:rPr>
                <w:rFonts w:ascii="simsun" w:hAnsi="simsun" w:cs="simsun" w:eastAsia="simsun"/>
                <w:sz w:val="24"/>
              </w:rPr>
              <w:t>1）PC端、Web端和移动端三端使用。</w:t>
            </w:r>
          </w:p>
          <w:p>
            <w:pPr>
              <w:pStyle w:val="null3"/>
              <w:ind w:left="600"/>
              <w:jc w:val="both"/>
            </w:pPr>
            <w:r>
              <w:rPr>
                <w:rFonts w:ascii="simsun" w:hAnsi="simsun" w:cs="simsun" w:eastAsia="simsun"/>
                <w:sz w:val="24"/>
              </w:rPr>
              <w:t>2）全部XML碎片化资源使用权限以及学术期刊、博硕、会议、报纸、年鉴使用权限。</w:t>
            </w:r>
          </w:p>
          <w:p>
            <w:pPr>
              <w:pStyle w:val="null3"/>
              <w:ind w:left="600"/>
              <w:jc w:val="both"/>
            </w:pPr>
            <w:r>
              <w:rPr>
                <w:rFonts w:ascii="simsun" w:hAnsi="simsun" w:cs="simsun" w:eastAsia="simsun"/>
                <w:sz w:val="24"/>
              </w:rPr>
              <w:t>3）具备基础研学功能，个人有20G基础空间外，配备团队空间40G。</w:t>
            </w:r>
          </w:p>
          <w:p>
            <w:pPr>
              <w:pStyle w:val="null3"/>
              <w:ind w:left="600"/>
              <w:jc w:val="both"/>
            </w:pPr>
            <w:r>
              <w:rPr>
                <w:rFonts w:ascii="simsun" w:hAnsi="simsun" w:cs="simsun" w:eastAsia="simsun"/>
                <w:sz w:val="24"/>
              </w:rPr>
              <w:t>4）具有团队讨论、共享功能、自建资源包功能，每月可打印100篇文献；</w:t>
            </w:r>
          </w:p>
          <w:p>
            <w:pPr>
              <w:pStyle w:val="null3"/>
              <w:ind w:left="600"/>
              <w:jc w:val="both"/>
            </w:pPr>
            <w:r>
              <w:rPr>
                <w:rFonts w:ascii="simsun" w:hAnsi="simsun" w:cs="simsun" w:eastAsia="simsun"/>
                <w:sz w:val="24"/>
              </w:rPr>
              <w:t>5）为用户提供100个漫游账号，20个可绑定用户数。</w:t>
            </w:r>
          </w:p>
          <w:p>
            <w:pPr>
              <w:pStyle w:val="null3"/>
              <w:ind w:left="600"/>
              <w:jc w:val="both"/>
            </w:pPr>
            <w:r>
              <w:rPr>
                <w:rFonts w:ascii="simsun" w:hAnsi="simsun" w:cs="simsun" w:eastAsia="simsun"/>
                <w:b/>
                <w:sz w:val="24"/>
              </w:rPr>
              <w:t>1-6：移动阅读听书图书馆</w:t>
            </w:r>
          </w:p>
          <w:p>
            <w:pPr>
              <w:pStyle w:val="null3"/>
              <w:ind w:left="600"/>
              <w:jc w:val="both"/>
            </w:pPr>
            <w:r>
              <w:rPr>
                <w:rFonts w:ascii="simsun" w:hAnsi="simsun" w:cs="simsun" w:eastAsia="simsun"/>
                <w:sz w:val="24"/>
              </w:rPr>
              <w:t>1）电子图书数量不少于10万种，有声图书数量不少于50万集。电子图书年更新量不少于20000种，有声图书不少于6000集。</w:t>
            </w:r>
          </w:p>
          <w:p>
            <w:pPr>
              <w:pStyle w:val="null3"/>
              <w:ind w:left="600"/>
              <w:jc w:val="both"/>
            </w:pPr>
            <w:r>
              <w:rPr>
                <w:rFonts w:ascii="simsun" w:hAnsi="simsun" w:cs="simsun" w:eastAsia="simsun"/>
                <w:sz w:val="24"/>
              </w:rPr>
              <w:t>2）电子图书和有声图书须在同一平台上运行。</w:t>
            </w:r>
          </w:p>
          <w:p>
            <w:pPr>
              <w:pStyle w:val="null3"/>
              <w:ind w:left="600"/>
              <w:jc w:val="both"/>
            </w:pPr>
            <w:r>
              <w:rPr>
                <w:rFonts w:ascii="simsun" w:hAnsi="simsun" w:cs="simsun" w:eastAsia="simsun"/>
                <w:sz w:val="24"/>
              </w:rPr>
              <w:t>3）所有电子图书均须为EPUB格式，有声图书须为MP3格式，以保证图书的阅读体验和阅读质量。</w:t>
            </w:r>
          </w:p>
          <w:p>
            <w:pPr>
              <w:pStyle w:val="null3"/>
              <w:ind w:left="600"/>
              <w:jc w:val="both"/>
            </w:pPr>
            <w:r>
              <w:rPr>
                <w:rFonts w:ascii="simsun" w:hAnsi="simsun" w:cs="simsun" w:eastAsia="simsun"/>
                <w:sz w:val="24"/>
              </w:rPr>
              <w:t>4）电子图书内容应包含小说、文学、艺术、影视原著、社会科学、历史、哲学、心理、法律、医学、青春、传记、生活、“政治/军事”、“科普/互联网+”、“经济/管理”、“运动/养生”等优质电子图书；有声图书应包含人文社科、经管、文学、励志、亲子儿童、国学、广播剧等优质有声资源。</w:t>
            </w:r>
          </w:p>
          <w:p>
            <w:pPr>
              <w:pStyle w:val="null3"/>
              <w:ind w:left="600"/>
              <w:jc w:val="both"/>
            </w:pPr>
            <w:r>
              <w:rPr>
                <w:rFonts w:ascii="simsun" w:hAnsi="simsun" w:cs="simsun" w:eastAsia="simsun"/>
                <w:sz w:val="24"/>
              </w:rPr>
              <w:t>5）电子图书均为正版图书，供应商须提供商务印书馆、上海译文、人民邮电出版社、机械工业出版社、电子工业出版社等主流出版社或版权方授权书。</w:t>
            </w:r>
          </w:p>
          <w:p>
            <w:pPr>
              <w:pStyle w:val="null3"/>
              <w:ind w:left="600"/>
              <w:jc w:val="both"/>
            </w:pPr>
            <w:r>
              <w:rPr>
                <w:rFonts w:ascii="simsun" w:hAnsi="simsun" w:cs="simsun" w:eastAsia="simsun"/>
                <w:sz w:val="24"/>
              </w:rPr>
              <w:t>6）为保障采购人所提供的电子图书的品质，应收录大奖书系作品，包括诺贝尔文学奖、茅盾文学奖、鲁迅文学奖、中国优秀出版物奖、文津图书奖、中国好书。</w:t>
            </w:r>
          </w:p>
          <w:p>
            <w:pPr>
              <w:pStyle w:val="null3"/>
              <w:ind w:left="600"/>
              <w:jc w:val="both"/>
            </w:pPr>
            <w:r>
              <w:rPr>
                <w:rFonts w:ascii="simsun" w:hAnsi="simsun" w:cs="simsun" w:eastAsia="simsun"/>
                <w:sz w:val="24"/>
              </w:rPr>
              <w:t>7）系统平台采用互联网访问模式、无需使用VPN等第三方系统，支持H5、PC、APP、小程序等多终端阅读方式；</w:t>
            </w:r>
          </w:p>
          <w:p>
            <w:pPr>
              <w:pStyle w:val="null3"/>
              <w:ind w:left="600"/>
              <w:jc w:val="both"/>
            </w:pPr>
            <w:r>
              <w:rPr>
                <w:rFonts w:ascii="simsun" w:hAnsi="simsun" w:cs="simsun" w:eastAsia="simsun"/>
                <w:sz w:val="24"/>
              </w:rPr>
              <w:t>8）PC端、微信/H5端、APP端账号体系同步，用户在PC端或微信/H5端注册账号后可在所有服务端口直接登录使用。</w:t>
            </w:r>
          </w:p>
          <w:p>
            <w:pPr>
              <w:pStyle w:val="null3"/>
              <w:ind w:left="600"/>
              <w:jc w:val="both"/>
            </w:pPr>
            <w:r>
              <w:rPr>
                <w:rFonts w:ascii="simsun" w:hAnsi="simsun" w:cs="simsun" w:eastAsia="simsun"/>
                <w:sz w:val="24"/>
              </w:rPr>
              <w:t>9）支持收藏图书、听书功能；收藏记录在PC端、微信/H5端、APP端账号体系同步；</w:t>
            </w:r>
          </w:p>
          <w:p>
            <w:pPr>
              <w:pStyle w:val="null3"/>
              <w:ind w:left="600"/>
              <w:jc w:val="both"/>
            </w:pPr>
            <w:r>
              <w:rPr>
                <w:rFonts w:ascii="simsun" w:hAnsi="simsun" w:cs="simsun" w:eastAsia="simsun"/>
                <w:sz w:val="24"/>
              </w:rPr>
              <w:t>10）支持图书、听书浏览记录功能；浏览记录在PC端、微信/H5端、APP端账号体系同步；</w:t>
            </w:r>
          </w:p>
          <w:p>
            <w:pPr>
              <w:pStyle w:val="null3"/>
              <w:ind w:left="600"/>
              <w:jc w:val="both"/>
            </w:pPr>
            <w:r>
              <w:rPr>
                <w:rFonts w:ascii="simsun" w:hAnsi="simsun" w:cs="simsun" w:eastAsia="simsun"/>
                <w:sz w:val="24"/>
              </w:rPr>
              <w:t>11）支持图书、听书资源检索；支持书名、作者等关键字搜索；支持记录上次阅读位置。</w:t>
            </w:r>
          </w:p>
          <w:p>
            <w:pPr>
              <w:pStyle w:val="null3"/>
              <w:ind w:left="600"/>
              <w:jc w:val="both"/>
            </w:pPr>
            <w:r>
              <w:rPr>
                <w:rFonts w:ascii="simsun" w:hAnsi="simsun" w:cs="simsun" w:eastAsia="simsun"/>
                <w:sz w:val="24"/>
              </w:rPr>
              <w:t>12）支持数据统计，包括但不限于阅读时长、阅读次数、阅读记录、阅读排名；</w:t>
            </w:r>
          </w:p>
          <w:p>
            <w:pPr>
              <w:pStyle w:val="null3"/>
              <w:ind w:left="600"/>
              <w:jc w:val="both"/>
            </w:pPr>
            <w:r>
              <w:rPr>
                <w:rFonts w:ascii="simsun" w:hAnsi="simsun" w:cs="simsun" w:eastAsia="simsun"/>
                <w:sz w:val="24"/>
              </w:rPr>
              <w:t>13）支持机构开展各类运营活动，如：线上线下共读活动、评选阅读之星活动、专题阅读活动、阅读打卡及阅读比赛等。</w:t>
            </w:r>
          </w:p>
          <w:p>
            <w:pPr>
              <w:pStyle w:val="null3"/>
              <w:ind w:left="600"/>
              <w:jc w:val="both"/>
            </w:pPr>
            <w:r>
              <w:rPr>
                <w:rFonts w:ascii="simsun" w:hAnsi="simsun" w:cs="simsun" w:eastAsia="simsun"/>
                <w:b/>
                <w:sz w:val="24"/>
              </w:rPr>
              <w:t>服务要求：</w:t>
            </w:r>
          </w:p>
          <w:p>
            <w:pPr>
              <w:pStyle w:val="null3"/>
              <w:ind w:left="600"/>
              <w:jc w:val="both"/>
            </w:pPr>
            <w:r>
              <w:rPr>
                <w:rFonts w:ascii="simsun" w:hAnsi="simsun" w:cs="simsun" w:eastAsia="simsun"/>
                <w:color w:val="000000"/>
                <w:sz w:val="24"/>
              </w:rPr>
              <w:t>1）</w:t>
            </w:r>
            <w:r>
              <w:rPr>
                <w:rFonts w:ascii="simsun" w:hAnsi="simsun" w:cs="simsun" w:eastAsia="simsun"/>
                <w:color w:val="000000"/>
                <w:sz w:val="24"/>
              </w:rPr>
              <w:t>保证所</w:t>
            </w:r>
            <w:r>
              <w:rPr>
                <w:rFonts w:ascii="simsun" w:hAnsi="simsun" w:cs="simsun" w:eastAsia="simsun"/>
                <w:color w:val="000000"/>
                <w:sz w:val="24"/>
              </w:rPr>
              <w:t>订购</w:t>
            </w:r>
            <w:r>
              <w:rPr>
                <w:rFonts w:ascii="simsun" w:hAnsi="simsun" w:cs="simsun" w:eastAsia="simsun"/>
                <w:color w:val="000000"/>
                <w:sz w:val="24"/>
              </w:rPr>
              <w:t>数字资源按时到货并正常使用，提供必要的技术级应用支持服务；</w:t>
            </w:r>
          </w:p>
          <w:p>
            <w:pPr>
              <w:pStyle w:val="null3"/>
              <w:ind w:left="600"/>
              <w:jc w:val="both"/>
            </w:pPr>
            <w:r>
              <w:rPr>
                <w:rFonts w:ascii="simsun" w:hAnsi="simsun" w:cs="simsun" w:eastAsia="simsun"/>
                <w:color w:val="000000"/>
                <w:sz w:val="24"/>
              </w:rPr>
              <w:t>2）</w:t>
            </w:r>
            <w:r>
              <w:rPr>
                <w:rFonts w:ascii="simsun" w:hAnsi="simsun" w:cs="simsun" w:eastAsia="simsun"/>
                <w:color w:val="000000"/>
                <w:sz w:val="24"/>
              </w:rPr>
              <w:t>提供 7*24 小时电话/网络/邮件/支持和紧急救援服务；</w:t>
            </w:r>
          </w:p>
          <w:p>
            <w:pPr>
              <w:pStyle w:val="null3"/>
              <w:ind w:left="600"/>
              <w:jc w:val="both"/>
            </w:pPr>
            <w:r>
              <w:rPr>
                <w:rFonts w:ascii="simsun" w:hAnsi="simsun" w:cs="simsun" w:eastAsia="simsun"/>
                <w:color w:val="000000"/>
                <w:sz w:val="24"/>
              </w:rPr>
              <w:t>3）</w:t>
            </w:r>
            <w:r>
              <w:rPr>
                <w:rFonts w:ascii="simsun" w:hAnsi="simsun" w:cs="simsun" w:eastAsia="simsun"/>
                <w:color w:val="000000"/>
                <w:sz w:val="24"/>
              </w:rPr>
              <w:t>响应时间</w:t>
            </w:r>
            <w:r>
              <w:rPr>
                <w:rFonts w:ascii="simsun" w:hAnsi="simsun" w:cs="simsun" w:eastAsia="simsun"/>
                <w:color w:val="000000"/>
                <w:sz w:val="24"/>
              </w:rPr>
              <w:t>2小时</w:t>
            </w:r>
            <w:r>
              <w:rPr>
                <w:rFonts w:ascii="simsun" w:hAnsi="simsun" w:cs="simsun" w:eastAsia="simsun"/>
                <w:color w:val="000000"/>
                <w:sz w:val="24"/>
              </w:rPr>
              <w:t>以内，并有专人对接和定期回访。</w:t>
            </w:r>
          </w:p>
          <w:p>
            <w:pPr>
              <w:pStyle w:val="null3"/>
              <w:ind w:left="600"/>
              <w:jc w:val="both"/>
            </w:pPr>
            <w:r>
              <w:rPr>
                <w:rFonts w:ascii="simsun" w:hAnsi="simsun" w:cs="simsun" w:eastAsia="simsun"/>
                <w:color w:val="000000"/>
                <w:sz w:val="24"/>
              </w:rPr>
              <w:t>4）供货期内根据用户需求提供线上培训，每年提供</w:t>
            </w:r>
            <w:r>
              <w:rPr>
                <w:rFonts w:ascii="simsun" w:hAnsi="simsun" w:cs="simsun" w:eastAsia="simsun"/>
                <w:color w:val="000000"/>
                <w:sz w:val="24"/>
              </w:rPr>
              <w:t>不少于</w:t>
            </w:r>
            <w:r>
              <w:rPr>
                <w:rFonts w:ascii="simsun" w:hAnsi="simsun" w:cs="simsun" w:eastAsia="simsun"/>
                <w:color w:val="000000"/>
                <w:sz w:val="24"/>
              </w:rPr>
              <w:t>两次</w:t>
            </w:r>
            <w:r>
              <w:rPr>
                <w:rFonts w:ascii="simsun" w:hAnsi="simsun" w:cs="simsun" w:eastAsia="simsun"/>
                <w:color w:val="000000"/>
                <w:sz w:val="24"/>
              </w:rPr>
              <w:t>的</w:t>
            </w:r>
            <w:r>
              <w:rPr>
                <w:rFonts w:ascii="simsun" w:hAnsi="simsun" w:cs="simsun" w:eastAsia="simsun"/>
                <w:color w:val="000000"/>
                <w:sz w:val="24"/>
              </w:rPr>
              <w:t>线下培训，培训资料和课件免费提供。</w:t>
            </w:r>
          </w:p>
          <w:p>
            <w:pPr>
              <w:pStyle w:val="null3"/>
              <w:ind w:left="600"/>
              <w:jc w:val="both"/>
            </w:pPr>
            <w:r>
              <w:rPr>
                <w:rFonts w:ascii="simsun" w:hAnsi="simsun" w:cs="simsun" w:eastAsia="simsun"/>
                <w:color w:val="000000"/>
                <w:sz w:val="24"/>
              </w:rPr>
              <w:t>5）能够提供产品的紧急备份访问服务，保证用户可持续使用产品。</w:t>
            </w:r>
          </w:p>
          <w:p>
            <w:pPr>
              <w:pStyle w:val="null3"/>
              <w:ind w:left="600"/>
              <w:jc w:val="both"/>
            </w:pPr>
            <w:r>
              <w:rPr>
                <w:rFonts w:ascii="simsun" w:hAnsi="simsun" w:cs="simsun" w:eastAsia="simsun"/>
                <w:color w:val="000000"/>
                <w:sz w:val="24"/>
              </w:rPr>
              <w:t>6）镜像数据丢失后，供应商能够免费提供数据丢失后的恢复服务。</w:t>
            </w:r>
          </w:p>
          <w:p>
            <w:pPr>
              <w:pStyle w:val="null3"/>
              <w:ind w:left="600"/>
              <w:jc w:val="both"/>
            </w:pPr>
            <w:r>
              <w:rPr>
                <w:rFonts w:ascii="simsun" w:hAnsi="simsun" w:cs="simsun" w:eastAsia="simsun"/>
                <w:color w:val="000000"/>
                <w:sz w:val="24"/>
              </w:rPr>
              <w:t>7）免费为学校镜像所购的资源。同时须做好镜像服务器的数据安全和系统（镜像数据系统+服务器操作系统）维护。</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自合同签订后30个日历日供货完毕</w:t>
      </w:r>
    </w:p>
    <w:p>
      <w:pPr>
        <w:pStyle w:val="null3"/>
        <w:outlineLvl w:val="3"/>
      </w:pPr>
      <w:r>
        <w:rPr>
          <w:b/>
          <w:sz w:val="24"/>
        </w:rPr>
        <w:t>3.4.2交货地点和方式</w:t>
      </w:r>
    </w:p>
    <w:p>
      <w:pPr>
        <w:pStyle w:val="null3"/>
      </w:pPr>
      <w:r>
        <w:rPr/>
        <w:t>采购包1：</w:t>
      </w:r>
    </w:p>
    <w:p>
      <w:pPr>
        <w:pStyle w:val="null3"/>
      </w:pPr>
      <w:r>
        <w:rPr/>
        <w:t>采购方指定地点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货物全部运到采购方指定地方，安装调试完毕并经终验合格后30天内，成交方持《终验合格单》原件及全额发票在采购方处办理全部货款的支付手续</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1）合同文本及合同补充文件（条款）。 2）招标文件及中标人的投标文件。 3）货物清单。 4）在规定的 IP 地址范围内，能对所购资源进行正常访问和下载。</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自签订供货合同，验收合格之日起12个月。</w:t>
      </w:r>
    </w:p>
    <w:p>
      <w:pPr>
        <w:pStyle w:val="null3"/>
        <w:outlineLvl w:val="3"/>
      </w:pPr>
      <w:r>
        <w:rPr>
          <w:b/>
          <w:sz w:val="24"/>
        </w:rPr>
        <w:t>3.4.8违约责任及解决争议的方法</w:t>
      </w:r>
    </w:p>
    <w:p>
      <w:pPr>
        <w:pStyle w:val="null3"/>
      </w:pPr>
      <w:r>
        <w:rPr/>
        <w:t>采购包1：</w:t>
      </w:r>
    </w:p>
    <w:p>
      <w:pPr>
        <w:pStyle w:val="null3"/>
      </w:pPr>
      <w:r>
        <w:rPr/>
        <w:t>1）按《中华人民共和国合同法》中的相关条款执行。 2）未按合同要求提供产品或设备质量不能满足技术要求，采购人有权终止合同，并对中标方违约行为进行追究，同时按《政府采购法》的有关规定进行处罚。</w:t>
      </w:r>
    </w:p>
    <w:p>
      <w:pPr>
        <w:pStyle w:val="null3"/>
        <w:jc w:val="left"/>
        <w:outlineLvl w:val="3"/>
      </w:pPr>
      <w:r>
        <w:rPr>
          <w:b/>
          <w:sz w:val="24"/>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 或法定代表人授权 委托书</w:t>
            </w:r>
          </w:p>
        </w:tc>
        <w:tc>
          <w:tcPr>
            <w:tcW w:type="dxa" w:w="3322"/>
          </w:tcPr>
          <w:p>
            <w:pPr>
              <w:pStyle w:val="null3"/>
            </w:pPr>
            <w:r>
              <w:rPr/>
              <w:t>投标供应商应授权合法的人员参加投标全过程，其中法定代表人直接参加投标的，须出具身 份证，并与营业执照上信息一致。法定代表人授权代表参加投标的，须出具法定代表人授权 书及授权代表身份证。</w:t>
            </w:r>
          </w:p>
        </w:tc>
        <w:tc>
          <w:tcPr>
            <w:tcW w:type="dxa" w:w="1661"/>
          </w:tcPr>
          <w:p>
            <w:pPr>
              <w:pStyle w:val="null3"/>
            </w:pPr>
            <w:r>
              <w:rPr/>
              <w:t>供应商认为有必要说明的其他问题 供应商应提交的相关资格证明材料</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无重大违法记录，需提供信用中国和中国政府采购网信用记录，被列入失信被执行人、重大 税收违法案件当事人名单或政府采购严重违法失信行为记录名单的供应商，没有资格参加本 项目的采购活动。</w:t>
            </w:r>
          </w:p>
        </w:tc>
        <w:tc>
          <w:tcPr>
            <w:tcW w:type="dxa" w:w="1661"/>
          </w:tcPr>
          <w:p>
            <w:pPr>
              <w:pStyle w:val="null3"/>
            </w:pPr>
            <w:r>
              <w:rPr/>
              <w:t>供应商认为有必要说明的其他问题 供应商应提交的相关资格证明材料</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投标供应商须具备出版物经营许可证</w:t>
            </w:r>
          </w:p>
        </w:tc>
        <w:tc>
          <w:tcPr>
            <w:tcW w:type="dxa" w:w="1661"/>
          </w:tcPr>
          <w:p>
            <w:pPr>
              <w:pStyle w:val="null3"/>
            </w:pPr>
            <w:r>
              <w:rPr/>
              <w:t>供应商认为有必要说明的其他问题 供应商应提交的相关资格证明材料</w:t>
            </w:r>
          </w:p>
        </w:tc>
      </w:tr>
    </w:tbl>
    <w:p>
      <w:pPr>
        <w:pStyle w:val="null3"/>
      </w:pPr>
      <w:r>
        <w:rPr/>
        <w:t xml:space="preserve"> </w:t>
        <w:br/>
        <w:br w:type="page"/>
      </w:r>
    </w:p>
    <w:p>
      <w:pPr>
        <w:pStyle w:val="null3"/>
        <w:jc w:val="center"/>
        <w:outlineLvl w:val="1"/>
      </w:pPr>
      <w:r>
        <w:rPr>
          <w:b/>
          <w:sz w:val="36"/>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b/>
          <w:sz w:val="36"/>
        </w:rPr>
        <w:t>第六章 谈判办法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响应有效期</w:t>
            </w:r>
          </w:p>
        </w:tc>
        <w:tc>
          <w:tcPr>
            <w:tcW w:type="dxa" w:w="3322"/>
          </w:tcPr>
          <w:p>
            <w:pPr>
              <w:pStyle w:val="null3"/>
            </w:pPr>
            <w:r>
              <w:rPr/>
              <w:t>提交响应文件的截止之日起不少于90天。</w:t>
            </w:r>
          </w:p>
        </w:tc>
        <w:tc>
          <w:tcPr>
            <w:tcW w:type="dxa" w:w="1661"/>
          </w:tcPr>
          <w:p>
            <w:pPr>
              <w:pStyle w:val="null3"/>
            </w:pPr>
            <w:r>
              <w:rPr/>
              <w:t>响应文件封面 商务应答表 供应商应提交的相关资格证明材料</w:t>
            </w:r>
          </w:p>
        </w:tc>
      </w:tr>
      <w:tr>
        <w:tc>
          <w:tcPr>
            <w:tcW w:type="dxa" w:w="831"/>
          </w:tcPr>
          <w:p>
            <w:pPr>
              <w:pStyle w:val="null3"/>
            </w:pPr>
            <w:r>
              <w:rPr/>
              <w:t>3</w:t>
            </w:r>
          </w:p>
        </w:tc>
        <w:tc>
          <w:tcPr>
            <w:tcW w:type="dxa" w:w="2492"/>
          </w:tcPr>
          <w:p>
            <w:pPr>
              <w:pStyle w:val="null3"/>
            </w:pPr>
            <w:r>
              <w:rPr/>
              <w:t>技术参数</w:t>
            </w:r>
          </w:p>
        </w:tc>
        <w:tc>
          <w:tcPr>
            <w:tcW w:type="dxa" w:w="3322"/>
          </w:tcPr>
          <w:p>
            <w:pPr>
              <w:pStyle w:val="null3"/>
            </w:pPr>
            <w:r>
              <w:rPr/>
              <w:t>符合采购需求中的实质性要求和条件</w:t>
            </w:r>
          </w:p>
        </w:tc>
        <w:tc>
          <w:tcPr>
            <w:tcW w:type="dxa" w:w="1661"/>
          </w:tcPr>
          <w:p>
            <w:pPr>
              <w:pStyle w:val="null3"/>
            </w:pPr>
            <w:r>
              <w:rPr/>
              <w:t>响应文件封面 产品技术参数表 商务应答表 供应商认为有必要说明的其他问题 供应商应提交的相关资格证明材料 响应函</w:t>
            </w:r>
          </w:p>
        </w:tc>
      </w:tr>
      <w:tr>
        <w:tc>
          <w:tcPr>
            <w:tcW w:type="dxa" w:w="831"/>
          </w:tcPr>
          <w:p>
            <w:pPr>
              <w:pStyle w:val="null3"/>
            </w:pPr>
            <w:r>
              <w:rPr/>
              <w:t>4</w:t>
            </w:r>
          </w:p>
        </w:tc>
        <w:tc>
          <w:tcPr>
            <w:tcW w:type="dxa" w:w="2492"/>
          </w:tcPr>
          <w:p>
            <w:pPr>
              <w:pStyle w:val="null3"/>
            </w:pPr>
            <w:r>
              <w:rPr/>
              <w:t>最高限价</w:t>
            </w:r>
          </w:p>
        </w:tc>
        <w:tc>
          <w:tcPr>
            <w:tcW w:type="dxa" w:w="3322"/>
          </w:tcPr>
          <w:p>
            <w:pPr>
              <w:pStyle w:val="null3"/>
            </w:pPr>
            <w:r>
              <w:rPr/>
              <w:t>投标报价是否超过预算或最高限价</w:t>
            </w:r>
          </w:p>
        </w:tc>
        <w:tc>
          <w:tcPr>
            <w:tcW w:type="dxa" w:w="1661"/>
          </w:tcPr>
          <w:p>
            <w:pPr>
              <w:pStyle w:val="null3"/>
            </w:pPr>
            <w:r>
              <w:rPr/>
              <w:t>响应文件封面 标的清单 报价表</w:t>
            </w:r>
          </w:p>
        </w:tc>
      </w:tr>
      <w:tr>
        <w:tc>
          <w:tcPr>
            <w:tcW w:type="dxa" w:w="831"/>
          </w:tcPr>
          <w:p>
            <w:pPr>
              <w:pStyle w:val="null3"/>
            </w:pPr>
            <w:r>
              <w:rPr/>
              <w:t>5</w:t>
            </w:r>
          </w:p>
        </w:tc>
        <w:tc>
          <w:tcPr>
            <w:tcW w:type="dxa" w:w="2492"/>
          </w:tcPr>
          <w:p>
            <w:pPr>
              <w:pStyle w:val="null3"/>
            </w:pPr>
            <w:r>
              <w:rPr/>
              <w:t>商务条款</w:t>
            </w:r>
          </w:p>
        </w:tc>
        <w:tc>
          <w:tcPr>
            <w:tcW w:type="dxa" w:w="3322"/>
          </w:tcPr>
          <w:p>
            <w:pPr>
              <w:pStyle w:val="null3"/>
            </w:pPr>
            <w:r>
              <w:rPr/>
              <w:t>与竞争性谈判文件商务要求条款不一致或增加 了采购 人难以接受的条款</w:t>
            </w:r>
          </w:p>
        </w:tc>
        <w:tc>
          <w:tcPr>
            <w:tcW w:type="dxa" w:w="1661"/>
          </w:tcPr>
          <w:p>
            <w:pPr>
              <w:pStyle w:val="null3"/>
            </w:pPr>
            <w:r>
              <w:rPr/>
              <w:t>响应文件封面 商务应答表 供应商认为有必要说明的其他问题 供应商应提交的相关资格证明材料</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是否符合法律法规和竞争性谈判文件规定的其 他实质 性要求</w:t>
            </w:r>
          </w:p>
        </w:tc>
        <w:tc>
          <w:tcPr>
            <w:tcW w:type="dxa" w:w="1661"/>
          </w:tcPr>
          <w:p>
            <w:pPr>
              <w:pStyle w:val="null3"/>
            </w:pPr>
            <w:r>
              <w:rPr/>
              <w:t>响应文件封面 产品技术参数表 商务应答表 供应商认为有必要说明的其他问题 标的清单 供应商应提交的相关资格证明材料 报价表 供应商承诺书 响应函</w:t>
            </w:r>
          </w:p>
        </w:tc>
      </w:tr>
    </w:tbl>
    <w:p>
      <w:pPr>
        <w:pStyle w:val="null3"/>
        <w:outlineLvl w:val="3"/>
      </w:pPr>
      <w:r>
        <w:rPr>
          <w:b/>
          <w:sz w:val="24"/>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供应商认为有必要说明的其他问题 供应商应提交的相关资格证明材料 响应函 监狱企业的证明文件</w:t>
            </w:r>
          </w:p>
        </w:tc>
      </w:tr>
    </w:tbl>
    <w:p>
      <w:pPr>
        <w:pStyle w:val="null3"/>
        <w:outlineLvl w:val="3"/>
      </w:pPr>
      <w:r>
        <w:rPr>
          <w:b/>
          <w:sz w:val="24"/>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b/>
          <w:sz w:val="24"/>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b/>
          <w:sz w:val="24"/>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b/>
          <w:sz w:val="24"/>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b/>
          <w:sz w:val="24"/>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b/>
          <w:sz w:val="28"/>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b/>
          <w:sz w:val="28"/>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详见附件：供应商认为有必要说明的其他问题</w:t>
      </w:r>
    </w:p>
    <w:p>
      <w:pPr>
        <w:pStyle w:val="null3"/>
        <w:ind w:firstLine="960"/>
      </w:pPr>
      <w:r>
        <w:rPr/>
        <w:t>详见附件：供应商承诺书</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详见附件：图书馆专业电子资源专项采购项目拟签订合同.docx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