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2024年春、秋季高层次及急需紧缺人才巡回招聘系列活动服务项目</w:t>
      </w:r>
    </w:p>
    <w:p>
      <w:pPr>
        <w:pStyle w:val="null3"/>
        <w:jc w:val="center"/>
        <w:outlineLvl w:val="2"/>
      </w:pPr>
      <w:r>
        <w:rPr>
          <w:b/>
          <w:sz w:val="28"/>
        </w:rPr>
        <w:t>采购项目编号：</w:t>
      </w:r>
      <w:r>
        <w:rPr>
          <w:b/>
          <w:sz w:val="28"/>
        </w:rPr>
        <w:t>ZX2024-03-31</w:t>
      </w:r>
      <w:r>
        <w:br/>
      </w:r>
      <w:r>
        <w:br/>
      </w:r>
      <w:r>
        <w:br/>
      </w:r>
    </w:p>
    <w:p>
      <w:pPr>
        <w:pStyle w:val="null3"/>
        <w:jc w:val="center"/>
        <w:outlineLvl w:val="2"/>
      </w:pPr>
      <w:r>
        <w:rPr>
          <w:b/>
          <w:sz w:val="28"/>
        </w:rPr>
        <w:t>西安市人才服务中心</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2024年03月22日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陕西正信招标有限公司</w:t>
      </w:r>
      <w:r>
        <w:rPr/>
        <w:t>（以下简称“代理机构”）受</w:t>
      </w:r>
      <w:r>
        <w:rPr/>
        <w:t>西安市人才服务中心</w:t>
      </w:r>
      <w:r>
        <w:rPr/>
        <w:t>委托，拟对</w:t>
      </w:r>
      <w:r>
        <w:rPr/>
        <w:t>2024年春、秋季高层次及急需紧缺人才巡回招聘系列活动服务项目</w:t>
      </w:r>
      <w:r>
        <w:rPr/>
        <w:t>采用竞争性磋商采购方式进行采购，兹邀请供应商参加本项目的竞争性磋商。</w:t>
      </w:r>
    </w:p>
    <w:p>
      <w:pPr>
        <w:pStyle w:val="null3"/>
        <w:outlineLvl w:val="2"/>
      </w:pPr>
      <w:r>
        <w:rPr>
          <w:b/>
          <w:sz w:val="28"/>
        </w:rPr>
        <w:t>一、项目编号：</w:t>
      </w:r>
      <w:r>
        <w:rPr>
          <w:b/>
          <w:sz w:val="28"/>
        </w:rPr>
        <w:t>ZX2024-03-31</w:t>
      </w:r>
    </w:p>
    <w:p>
      <w:pPr>
        <w:pStyle w:val="null3"/>
        <w:outlineLvl w:val="2"/>
      </w:pPr>
      <w:r>
        <w:rPr>
          <w:b/>
          <w:sz w:val="28"/>
        </w:rPr>
        <w:t>二、项目名称：</w:t>
      </w:r>
      <w:r>
        <w:rPr>
          <w:b/>
          <w:sz w:val="28"/>
        </w:rPr>
        <w:t>2024年春、秋季高层次及急需紧缺人才巡回招聘系列活动服务项目</w:t>
      </w:r>
    </w:p>
    <w:p>
      <w:pPr>
        <w:pStyle w:val="null3"/>
        <w:outlineLvl w:val="2"/>
      </w:pPr>
      <w:r>
        <w:rPr>
          <w:b/>
          <w:sz w:val="28"/>
        </w:rPr>
        <w:t>三、磋商项目简介</w:t>
      </w:r>
    </w:p>
    <w:p>
      <w:pPr>
        <w:pStyle w:val="null3"/>
        <w:ind w:firstLine="480"/>
      </w:pPr>
      <w:r>
        <w:rPr/>
        <w:t>2024年春、秋季高层次及急需紧缺人才巡回招聘系列活动服务项目，1项，具体详见采购文件第三章。</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采购包1（2024年春、秋季高层次及急需紧缺人才巡回招聘系列活动服务项目）：属于专门面向中小企业采购。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磋商的，须出示身份证；法定代表人授权他人参加磋商的，须提供法定代表人授权委托书、被授权人提交自2023年9月1日以来任意一个月的社会保障资金（养老保险或医疗保险）的缴纳证明或有效期内的劳动合同及被授权人身份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西安市人才服务中心</w:t>
      </w:r>
    </w:p>
    <w:p>
      <w:pPr>
        <w:pStyle w:val="null3"/>
      </w:pPr>
      <w:r>
        <w:rPr/>
        <w:t xml:space="preserve"> 地址： </w:t>
      </w:r>
      <w:r>
        <w:rPr/>
        <w:t>陕西省西安市小寨路街道南二环西段88号老三届世纪星大厦4层</w:t>
      </w:r>
    </w:p>
    <w:p>
      <w:pPr>
        <w:pStyle w:val="null3"/>
      </w:pPr>
      <w:r>
        <w:rPr/>
        <w:t xml:space="preserve"> 邮编： </w:t>
      </w:r>
      <w:r>
        <w:rPr/>
        <w:t xml:space="preserve"> 710000</w:t>
      </w:r>
    </w:p>
    <w:p>
      <w:pPr>
        <w:pStyle w:val="null3"/>
      </w:pPr>
      <w:r>
        <w:rPr/>
        <w:t xml:space="preserve"> 联系人： </w:t>
      </w:r>
      <w:r>
        <w:rPr/>
        <w:t>邓老师</w:t>
      </w:r>
    </w:p>
    <w:p>
      <w:pPr>
        <w:pStyle w:val="null3"/>
      </w:pPr>
      <w:r>
        <w:rPr/>
        <w:t xml:space="preserve"> 联系电话： </w:t>
      </w:r>
      <w:r>
        <w:rPr/>
        <w:t>029-88360286</w:t>
      </w:r>
    </w:p>
    <w:p>
      <w:pPr>
        <w:pStyle w:val="null3"/>
        <w:outlineLvl w:val="3"/>
      </w:pPr>
      <w:r>
        <w:rPr>
          <w:b/>
          <w:sz w:val="24"/>
        </w:rPr>
        <w:t>代理机构：</w:t>
      </w:r>
      <w:r>
        <w:rPr>
          <w:b/>
          <w:sz w:val="24"/>
        </w:rPr>
        <w:t>陕西正信招标有限公司</w:t>
      </w:r>
    </w:p>
    <w:p>
      <w:pPr>
        <w:pStyle w:val="null3"/>
      </w:pPr>
      <w:r>
        <w:rPr/>
        <w:t xml:space="preserve"> 地址： </w:t>
      </w:r>
      <w:r>
        <w:rPr/>
        <w:t>西安市红缨路南口6号均明拍卖广场4层</w:t>
      </w:r>
    </w:p>
    <w:p>
      <w:pPr>
        <w:pStyle w:val="null3"/>
      </w:pPr>
      <w:r>
        <w:rPr/>
        <w:t xml:space="preserve"> 邮编： </w:t>
      </w:r>
      <w:r>
        <w:rPr/>
        <w:t xml:space="preserve"> 710000</w:t>
      </w:r>
    </w:p>
    <w:p>
      <w:pPr>
        <w:pStyle w:val="null3"/>
      </w:pPr>
      <w:r>
        <w:rPr/>
        <w:t xml:space="preserve"> 联系人： </w:t>
      </w:r>
      <w:r>
        <w:rPr/>
        <w:t>罗永山 张浥清 马演 蔡丹 王琦</w:t>
      </w:r>
    </w:p>
    <w:p>
      <w:pPr>
        <w:pStyle w:val="null3"/>
      </w:pPr>
      <w:r>
        <w:rPr/>
        <w:t xml:space="preserve"> 联系电话： </w:t>
      </w:r>
      <w:r>
        <w:rPr/>
        <w:t>029-88411508/88411169转8030</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代理服务费收费标准：1、参照国家计委计价格[2002]1980号及发改办价格[2003]857号通知规定，由成交供应商支付代理服务费。 2、支付方式：成交供应商应在领取通知书的同时，支付本项目代理服务费。收款账户如下：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西安市人才服务中心</w:t>
      </w:r>
      <w:r>
        <w:rPr/>
        <w:t>和</w:t>
      </w:r>
      <w:r>
        <w:rPr/>
        <w:t>陕西正信招标有限公司</w:t>
      </w:r>
      <w:r>
        <w:rPr/>
        <w:t>享有。对磋商文件中供应商参加本次政府采购活动应当具备的条件，磋商项目技术、服务、商务及其他要求，评审细则及标准由</w:t>
      </w:r>
      <w:r>
        <w:rPr/>
        <w:t>西安市人才服务中心</w:t>
      </w:r>
      <w:r>
        <w:rPr/>
        <w:t>负责解释。除上述磋商文件内容，其他内容由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西安市人才服务中心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依据招标文件、投标文件及合同内容</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联系人：张浥清 罗永山</w:t>
      </w:r>
    </w:p>
    <w:p>
      <w:pPr>
        <w:pStyle w:val="null3"/>
      </w:pPr>
      <w:r>
        <w:rPr/>
        <w:t>联系电话：029-88411508转8030</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全面落实全市“八个新突破”重点工作要求，进一步推进实施人才强市战略，吸引高层次及急需紧缺人才来西安创新发展，为加快西安国家中心城市建设提供坚强人才智力支撑，计划举办2024年春、秋季高层次及急需紧缺人才巡回招聘系列活动</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530,000.00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举办2024年春、秋季高层次及急需紧缺人才巡回招聘系列活动</w:t>
            </w:r>
          </w:p>
        </w:tc>
        <w:tc>
          <w:tcPr>
            <w:tcW w:type="dxa" w:w="831"/>
          </w:tcPr>
          <w:p>
            <w:pPr>
              <w:pStyle w:val="null3"/>
              <w:jc w:val="right"/>
            </w:pPr>
            <w:r>
              <w:rPr/>
              <w:t>1.00</w:t>
            </w:r>
          </w:p>
        </w:tc>
        <w:tc>
          <w:tcPr>
            <w:tcW w:type="dxa" w:w="831"/>
          </w:tcPr>
          <w:p>
            <w:pPr>
              <w:pStyle w:val="null3"/>
              <w:jc w:val="right"/>
            </w:pPr>
            <w:r>
              <w:rPr/>
              <w:t>530,000.00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标的名称：举办2024年春、秋季高层次及急需紧缺人才巡回招聘系列活动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rPr>
              <w:t>一、项目概况：</w:t>
            </w:r>
          </w:p>
          <w:p>
            <w:pPr>
              <w:pStyle w:val="null3"/>
              <w:ind w:firstLine="400"/>
              <w:jc w:val="both"/>
            </w:pPr>
            <w:r>
              <w:rPr>
                <w:rFonts w:ascii="宋体" w:hAnsi="宋体" w:cs="宋体" w:eastAsia="宋体"/>
              </w:rPr>
              <w:t>为</w:t>
            </w:r>
            <w:r>
              <w:rPr>
                <w:rFonts w:ascii="宋体" w:hAnsi="宋体" w:cs="宋体" w:eastAsia="宋体"/>
              </w:rPr>
              <w:t>全面落实全市“八个新突破”重点工作要求，进一步推进实施人才强市战略，吸引高层次及急需紧缺人才来西安创新发展，为加快西安国家中心城市建设提供坚强人才智力支撑，计划举办</w:t>
            </w:r>
            <w:r>
              <w:rPr>
                <w:rFonts w:ascii="calibri" w:hAnsi="calibri" w:cs="calibri" w:eastAsia="calibri"/>
              </w:rPr>
              <w:t>2024</w:t>
            </w:r>
            <w:r>
              <w:rPr>
                <w:rFonts w:ascii="宋体" w:hAnsi="宋体" w:cs="宋体" w:eastAsia="宋体"/>
              </w:rPr>
              <w:t>年春、秋季高层次及急需紧缺人才巡回招聘系列活动，为保证活动顺利进行，特制定方案如下：</w:t>
            </w:r>
          </w:p>
          <w:p>
            <w:pPr>
              <w:pStyle w:val="null3"/>
              <w:jc w:val="both"/>
            </w:pPr>
            <w:r>
              <w:rPr>
                <w:rFonts w:ascii="宋体" w:hAnsi="宋体" w:cs="宋体" w:eastAsia="宋体"/>
              </w:rPr>
              <w:t>（一）活动主题</w:t>
            </w:r>
          </w:p>
          <w:p>
            <w:pPr>
              <w:pStyle w:val="null3"/>
              <w:ind w:firstLine="400"/>
              <w:jc w:val="both"/>
            </w:pPr>
            <w:r>
              <w:rPr>
                <w:rFonts w:ascii="calibri" w:hAnsi="calibri" w:cs="calibri" w:eastAsia="calibri"/>
              </w:rPr>
              <w:t>2024</w:t>
            </w:r>
            <w:r>
              <w:rPr>
                <w:rFonts w:ascii="宋体" w:hAnsi="宋体" w:cs="宋体" w:eastAsia="宋体"/>
              </w:rPr>
              <w:t>年春、秋季高层次及急需紧缺人才巡回招聘系列活动</w:t>
            </w:r>
          </w:p>
          <w:p>
            <w:pPr>
              <w:pStyle w:val="null3"/>
              <w:jc w:val="both"/>
            </w:pPr>
            <w:r>
              <w:rPr>
                <w:rFonts w:ascii="宋体" w:hAnsi="宋体" w:cs="宋体" w:eastAsia="宋体"/>
              </w:rPr>
              <w:t>（二）组织机构</w:t>
            </w:r>
          </w:p>
          <w:p>
            <w:pPr>
              <w:pStyle w:val="null3"/>
              <w:jc w:val="both"/>
            </w:pPr>
            <w:r>
              <w:rPr>
                <w:rFonts w:ascii="宋体" w:hAnsi="宋体" w:cs="宋体" w:eastAsia="宋体"/>
              </w:rPr>
              <w:t>主办单位：中共西安市委组织部</w:t>
            </w:r>
          </w:p>
          <w:p>
            <w:pPr>
              <w:pStyle w:val="null3"/>
              <w:ind w:firstLine="1000"/>
              <w:jc w:val="both"/>
            </w:pPr>
            <w:r>
              <w:rPr>
                <w:rFonts w:ascii="宋体" w:hAnsi="宋体" w:cs="宋体" w:eastAsia="宋体"/>
              </w:rPr>
              <w:t>西安市人力资源和社会保障局</w:t>
            </w:r>
          </w:p>
          <w:p>
            <w:pPr>
              <w:pStyle w:val="null3"/>
              <w:jc w:val="both"/>
            </w:pPr>
            <w:r>
              <w:rPr>
                <w:rFonts w:ascii="宋体" w:hAnsi="宋体" w:cs="宋体" w:eastAsia="宋体"/>
              </w:rPr>
              <w:t>承办单位：西安市人才服务中心</w:t>
            </w:r>
          </w:p>
          <w:p>
            <w:pPr>
              <w:pStyle w:val="null3"/>
              <w:ind w:firstLine="1000"/>
              <w:jc w:val="both"/>
            </w:pPr>
            <w:r>
              <w:rPr>
                <w:rFonts w:ascii="宋体" w:hAnsi="宋体" w:cs="宋体" w:eastAsia="宋体"/>
              </w:rPr>
              <w:t>西安毕业生就业市场</w:t>
            </w:r>
          </w:p>
          <w:p>
            <w:pPr>
              <w:pStyle w:val="null3"/>
              <w:jc w:val="both"/>
            </w:pPr>
            <w:r>
              <w:rPr>
                <w:rFonts w:ascii="宋体" w:hAnsi="宋体" w:cs="宋体" w:eastAsia="宋体"/>
              </w:rPr>
              <w:t>协办单位：西安市各区县、开发区人社局</w:t>
            </w:r>
          </w:p>
          <w:p>
            <w:pPr>
              <w:pStyle w:val="null3"/>
              <w:ind w:firstLine="1000"/>
              <w:jc w:val="both"/>
            </w:pPr>
            <w:r>
              <w:rPr>
                <w:rFonts w:ascii="宋体" w:hAnsi="宋体" w:cs="宋体" w:eastAsia="宋体"/>
              </w:rPr>
              <w:t>北京、长春、山西等地知名高校就业中心</w:t>
            </w:r>
          </w:p>
          <w:p>
            <w:pPr>
              <w:pStyle w:val="null3"/>
              <w:jc w:val="both"/>
            </w:pPr>
            <w:r>
              <w:rPr>
                <w:rFonts w:ascii="宋体" w:hAnsi="宋体" w:cs="宋体" w:eastAsia="宋体"/>
                <w:b/>
              </w:rPr>
              <w:t>二、参会对象</w:t>
            </w:r>
          </w:p>
          <w:p>
            <w:pPr>
              <w:pStyle w:val="null3"/>
              <w:ind w:firstLine="400"/>
              <w:jc w:val="both"/>
            </w:pPr>
            <w:r>
              <w:rPr>
                <w:rFonts w:ascii="宋体" w:hAnsi="宋体" w:cs="宋体" w:eastAsia="宋体"/>
              </w:rPr>
              <w:t>西安地区科研院所、高校，高新技术、生物医药、信息通讯、航空航天、军工、医疗卫生、金融等有硕士及以上学历人才需求的企事业单位；西安市各区县、开发区人社部门，教育部门；市属教育事业单位；市卫健委及直属单位；硕士及以上学历毕业生、各类专业技术人才和管理人才。</w:t>
            </w:r>
          </w:p>
          <w:p>
            <w:pPr>
              <w:pStyle w:val="null3"/>
              <w:jc w:val="both"/>
            </w:pPr>
            <w:r>
              <w:rPr>
                <w:rFonts w:ascii="宋体" w:hAnsi="宋体" w:cs="宋体" w:eastAsia="宋体"/>
                <w:b/>
              </w:rPr>
              <w:t>三、活动安排</w:t>
            </w:r>
          </w:p>
          <w:p>
            <w:pPr>
              <w:pStyle w:val="null3"/>
              <w:jc w:val="both"/>
            </w:pPr>
            <w:r>
              <w:rPr>
                <w:rFonts w:ascii="宋体" w:hAnsi="宋体" w:cs="宋体" w:eastAsia="宋体"/>
              </w:rPr>
              <w:t>（一）举办</w:t>
            </w:r>
            <w:r>
              <w:rPr>
                <w:rFonts w:ascii="calibri" w:hAnsi="calibri" w:cs="calibri" w:eastAsia="calibri"/>
              </w:rPr>
              <w:t>2024</w:t>
            </w:r>
            <w:r>
              <w:rPr>
                <w:rFonts w:ascii="宋体" w:hAnsi="宋体" w:cs="宋体" w:eastAsia="宋体"/>
              </w:rPr>
              <w:t>年西安春季高层次及急需紧缺人才网络招聘会（</w:t>
            </w:r>
            <w:r>
              <w:rPr>
                <w:rFonts w:ascii="calibri" w:hAnsi="calibri" w:cs="calibri" w:eastAsia="calibri"/>
              </w:rPr>
              <w:t>1</w:t>
            </w:r>
            <w:r>
              <w:rPr>
                <w:rFonts w:ascii="宋体" w:hAnsi="宋体" w:cs="宋体" w:eastAsia="宋体"/>
              </w:rPr>
              <w:t>场）</w:t>
            </w:r>
          </w:p>
          <w:p>
            <w:pPr>
              <w:pStyle w:val="null3"/>
              <w:ind w:firstLine="400"/>
              <w:jc w:val="both"/>
            </w:pPr>
            <w:r>
              <w:rPr>
                <w:rFonts w:ascii="宋体" w:hAnsi="宋体" w:cs="宋体" w:eastAsia="宋体"/>
              </w:rPr>
              <w:t>聚焦</w:t>
            </w:r>
            <w:r>
              <w:rPr>
                <w:rFonts w:ascii="宋体" w:hAnsi="宋体" w:cs="宋体" w:eastAsia="宋体"/>
              </w:rPr>
              <w:t>“高、精、尖、缺”人才需求，计划</w:t>
            </w:r>
            <w:r>
              <w:rPr>
                <w:rFonts w:ascii="calibri" w:hAnsi="calibri" w:cs="calibri" w:eastAsia="calibri"/>
              </w:rPr>
              <w:t>2024</w:t>
            </w:r>
            <w:r>
              <w:rPr>
                <w:rFonts w:ascii="宋体" w:hAnsi="宋体" w:cs="宋体" w:eastAsia="宋体"/>
              </w:rPr>
              <w:t>年</w:t>
            </w:r>
            <w:r>
              <w:rPr>
                <w:rFonts w:ascii="calibri" w:hAnsi="calibri" w:cs="calibri" w:eastAsia="calibri"/>
              </w:rPr>
              <w:t>4</w:t>
            </w:r>
            <w:r>
              <w:rPr>
                <w:rFonts w:ascii="宋体" w:hAnsi="宋体" w:cs="宋体" w:eastAsia="宋体"/>
              </w:rPr>
              <w:t>月初</w:t>
            </w:r>
            <w:r>
              <w:rPr>
                <w:rFonts w:ascii="宋体" w:hAnsi="宋体" w:cs="宋体" w:eastAsia="宋体"/>
              </w:rPr>
              <w:t>举办</w:t>
            </w:r>
            <w:r>
              <w:rPr>
                <w:rFonts w:ascii="calibri" w:hAnsi="calibri" w:cs="calibri" w:eastAsia="calibri"/>
              </w:rPr>
              <w:t>2024</w:t>
            </w:r>
            <w:r>
              <w:rPr>
                <w:rFonts w:ascii="宋体" w:hAnsi="宋体" w:cs="宋体" w:eastAsia="宋体"/>
              </w:rPr>
              <w:t>年西安春季高层次及急需紧缺人才网络招聘会，在北京、上海、南京等国内知名高校就业网站同步上线，扩大活动覆盖面及影响力，参会单位及求职者可通过云端在线求职、视频面试、在线沟通，实现足不出户云端相会，实现高效招聘、精准招聘。</w:t>
            </w:r>
          </w:p>
          <w:p>
            <w:pPr>
              <w:pStyle w:val="null3"/>
              <w:jc w:val="both"/>
            </w:pPr>
            <w:r>
              <w:rPr>
                <w:rFonts w:ascii="宋体" w:hAnsi="宋体" w:cs="宋体" w:eastAsia="宋体"/>
              </w:rPr>
              <w:t>（二）举办</w:t>
            </w:r>
            <w:r>
              <w:rPr>
                <w:rFonts w:ascii="calibri" w:hAnsi="calibri" w:cs="calibri" w:eastAsia="calibri"/>
              </w:rPr>
              <w:t>2024</w:t>
            </w:r>
            <w:r>
              <w:rPr>
                <w:rFonts w:ascii="宋体" w:hAnsi="宋体" w:cs="宋体" w:eastAsia="宋体"/>
              </w:rPr>
              <w:t>年西安秋季高层次及急需紧缺人才巡回招聘系列活动（</w:t>
            </w:r>
            <w:r>
              <w:rPr>
                <w:rFonts w:ascii="calibri" w:hAnsi="calibri" w:cs="calibri" w:eastAsia="calibri"/>
              </w:rPr>
              <w:t>4</w:t>
            </w:r>
            <w:r>
              <w:rPr>
                <w:rFonts w:ascii="宋体" w:hAnsi="宋体" w:cs="宋体" w:eastAsia="宋体"/>
              </w:rPr>
              <w:t>场）</w:t>
            </w:r>
          </w:p>
          <w:p>
            <w:pPr>
              <w:pStyle w:val="null3"/>
              <w:ind w:firstLine="400"/>
              <w:jc w:val="both"/>
            </w:pPr>
            <w:r>
              <w:rPr>
                <w:rFonts w:ascii="calibri" w:hAnsi="calibri" w:cs="calibri" w:eastAsia="calibri"/>
              </w:rPr>
              <w:t>1.2024</w:t>
            </w:r>
            <w:r>
              <w:rPr>
                <w:rFonts w:ascii="宋体" w:hAnsi="宋体" w:cs="宋体" w:eastAsia="宋体"/>
              </w:rPr>
              <w:t>年西安秋季高层次及急需紧缺人才巡回招聘活动（</w:t>
            </w:r>
            <w:r>
              <w:rPr>
                <w:rFonts w:ascii="calibri" w:hAnsi="calibri" w:cs="calibri" w:eastAsia="calibri"/>
              </w:rPr>
              <w:t>3</w:t>
            </w:r>
            <w:r>
              <w:rPr>
                <w:rFonts w:ascii="宋体" w:hAnsi="宋体" w:cs="宋体" w:eastAsia="宋体"/>
              </w:rPr>
              <w:t>场）。聚焦西安支柱产业、重点单位高层次及急需紧缺人才需求</w:t>
            </w:r>
            <w:r>
              <w:rPr>
                <w:rFonts w:ascii="calibri" w:hAnsi="calibri" w:cs="calibri" w:eastAsia="calibri"/>
              </w:rPr>
              <w:t>,</w:t>
            </w:r>
            <w:r>
              <w:rPr>
                <w:rFonts w:ascii="宋体" w:hAnsi="宋体" w:cs="宋体" w:eastAsia="宋体"/>
              </w:rPr>
              <w:t>开展定向引才、精准引才专场招聘活动，计划</w:t>
            </w:r>
            <w:r>
              <w:rPr>
                <w:rFonts w:ascii="calibri" w:hAnsi="calibri" w:cs="calibri" w:eastAsia="calibri"/>
              </w:rPr>
              <w:t>10</w:t>
            </w:r>
            <w:r>
              <w:rPr>
                <w:rFonts w:ascii="宋体" w:hAnsi="宋体" w:cs="宋体" w:eastAsia="宋体"/>
              </w:rPr>
              <w:t>月中下旬组织西安地区重点单位赴北京大学、清华大学、中国人民大学开展西安秋季高层次及急需紧缺人才巡回招聘活动。</w:t>
            </w:r>
          </w:p>
          <w:p>
            <w:pPr>
              <w:pStyle w:val="null3"/>
              <w:ind w:firstLine="400"/>
              <w:jc w:val="both"/>
            </w:pPr>
            <w:r>
              <w:rPr>
                <w:rFonts w:ascii="calibri" w:hAnsi="calibri" w:cs="calibri" w:eastAsia="calibri"/>
              </w:rPr>
              <w:t>2.2024</w:t>
            </w:r>
            <w:r>
              <w:rPr>
                <w:rFonts w:ascii="宋体" w:hAnsi="宋体" w:cs="宋体" w:eastAsia="宋体"/>
              </w:rPr>
              <w:t>年西安秋季高层次及急需紧缺人才网络招聘会（</w:t>
            </w:r>
            <w:r>
              <w:rPr>
                <w:rFonts w:ascii="calibri" w:hAnsi="calibri" w:cs="calibri" w:eastAsia="calibri"/>
              </w:rPr>
              <w:t>1</w:t>
            </w:r>
            <w:r>
              <w:rPr>
                <w:rFonts w:ascii="宋体" w:hAnsi="宋体" w:cs="宋体" w:eastAsia="宋体"/>
              </w:rPr>
              <w:t>场）。为满足不同求职者招聘需求，</w:t>
            </w:r>
            <w:r>
              <w:rPr>
                <w:rFonts w:ascii="calibri" w:hAnsi="calibri" w:cs="calibri" w:eastAsia="calibri"/>
              </w:rPr>
              <w:t>2024</w:t>
            </w:r>
            <w:r>
              <w:rPr>
                <w:rFonts w:ascii="宋体" w:hAnsi="宋体" w:cs="宋体" w:eastAsia="宋体"/>
              </w:rPr>
              <w:t>年西安秋季高层次及急需紧缺人才巡回招聘活动期间将同步举办网络招聘会，为无法到达招聘会场的求职者提供云端求职服务，让求职者足不出户实现一键求职。</w:t>
            </w:r>
          </w:p>
          <w:p>
            <w:pPr>
              <w:pStyle w:val="null3"/>
              <w:jc w:val="both"/>
            </w:pPr>
            <w:r>
              <w:rPr>
                <w:rFonts w:ascii="宋体" w:hAnsi="宋体" w:cs="宋体" w:eastAsia="宋体"/>
              </w:rPr>
              <w:t>（三）举办</w:t>
            </w:r>
            <w:r>
              <w:rPr>
                <w:rFonts w:ascii="calibri" w:hAnsi="calibri" w:cs="calibri" w:eastAsia="calibri"/>
              </w:rPr>
              <w:t>2024</w:t>
            </w:r>
            <w:r>
              <w:rPr>
                <w:rFonts w:ascii="宋体" w:hAnsi="宋体" w:cs="宋体" w:eastAsia="宋体"/>
              </w:rPr>
              <w:t>年西安市事业单位巡回招聘活动（</w:t>
            </w:r>
            <w:r>
              <w:rPr>
                <w:rFonts w:ascii="calibri" w:hAnsi="calibri" w:cs="calibri" w:eastAsia="calibri"/>
              </w:rPr>
              <w:t>6</w:t>
            </w:r>
            <w:r>
              <w:rPr>
                <w:rFonts w:ascii="宋体" w:hAnsi="宋体" w:cs="宋体" w:eastAsia="宋体"/>
              </w:rPr>
              <w:t>场）</w:t>
            </w:r>
          </w:p>
          <w:p>
            <w:pPr>
              <w:pStyle w:val="null3"/>
              <w:ind w:firstLine="400"/>
              <w:jc w:val="both"/>
            </w:pPr>
            <w:r>
              <w:rPr>
                <w:rFonts w:ascii="宋体" w:hAnsi="宋体" w:cs="宋体" w:eastAsia="宋体"/>
              </w:rPr>
              <w:t>根据西安市事业单位高层次人才引进工作安排，拟于</w:t>
            </w:r>
            <w:r>
              <w:rPr>
                <w:rFonts w:ascii="calibri" w:hAnsi="calibri" w:cs="calibri" w:eastAsia="calibri"/>
              </w:rPr>
              <w:t>10-11</w:t>
            </w:r>
            <w:r>
              <w:rPr>
                <w:rFonts w:ascii="宋体" w:hAnsi="宋体" w:cs="宋体" w:eastAsia="宋体"/>
              </w:rPr>
              <w:t>月组织西安市相关事业单位赴西安交通大学、西安医学院、山西医科大学、陕西师范大学、西北大学、东北师范大学等国内知名高校开展高层次人才引进校园招聘活动。</w:t>
            </w:r>
          </w:p>
          <w:p>
            <w:pPr>
              <w:pStyle w:val="null3"/>
              <w:jc w:val="both"/>
            </w:pPr>
            <w:r>
              <w:rPr>
                <w:rFonts w:ascii="宋体" w:hAnsi="宋体" w:cs="宋体" w:eastAsia="宋体"/>
                <w:b/>
              </w:rPr>
              <w:t>四、其他要求</w:t>
            </w:r>
          </w:p>
          <w:p>
            <w:pPr>
              <w:pStyle w:val="null3"/>
              <w:jc w:val="both"/>
            </w:pPr>
            <w:r>
              <w:rPr>
                <w:rFonts w:ascii="宋体" w:hAnsi="宋体" w:cs="宋体" w:eastAsia="宋体"/>
              </w:rPr>
              <w:t>（一）与活动有关的设计产品（含源文件）、数据资料和分析成果所有权归采购人所有。</w:t>
            </w:r>
          </w:p>
          <w:p>
            <w:pPr>
              <w:pStyle w:val="null3"/>
              <w:jc w:val="both"/>
            </w:pPr>
            <w:r>
              <w:rPr>
                <w:rFonts w:ascii="宋体" w:hAnsi="宋体" w:cs="宋体" w:eastAsia="宋体"/>
              </w:rPr>
              <w:t>（二）采购单位将按工作要求分阶段进行采购项目的检查验收，如果发现与采购要求不符或与中标文件不符等问题，成交人应当按要求采取补救处理措施，并承担相关质量保证责任。若活动结束时仍未按采购要求完成补救处理的，采购人将按未落实项目扣除相应费用。</w:t>
            </w:r>
          </w:p>
          <w:p>
            <w:pPr>
              <w:pStyle w:val="null3"/>
              <w:jc w:val="both"/>
            </w:pPr>
            <w:r>
              <w:rPr>
                <w:rFonts w:ascii="宋体" w:hAnsi="宋体" w:cs="宋体" w:eastAsia="宋体"/>
              </w:rPr>
              <w:t>（三）对于在活动筹备、举办期间突发且与活动有关的工作内容，但未在磋商文件中体现与明确的，成交人有义务配合采购方开展相关工作。</w:t>
            </w:r>
          </w:p>
          <w:tbl>
            <w:tblPr>
              <w:tblInd w:type="dxa" w:w="135"/>
              <w:tblBorders>
                <w:top w:val="none" w:color="000000" w:sz="4"/>
                <w:left w:val="none" w:color="000000" w:sz="4"/>
                <w:bottom w:val="none" w:color="000000" w:sz="4"/>
                <w:right w:val="none" w:color="000000" w:sz="4"/>
                <w:insideH w:val="none"/>
                <w:insideV w:val="none"/>
              </w:tblBorders>
            </w:tblPr>
            <w:tblGrid>
              <w:gridCol w:w="177"/>
              <w:gridCol w:w="247"/>
              <w:gridCol w:w="328"/>
              <w:gridCol w:w="631"/>
              <w:gridCol w:w="639"/>
              <w:gridCol w:w="151"/>
              <w:gridCol w:w="157"/>
              <w:gridCol w:w="222"/>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序号</w:t>
                  </w:r>
                </w:p>
              </w:tc>
              <w:tc>
                <w:tcPr>
                  <w:tcW w:type="dxa" w:w="5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活动名称</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项目</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规格</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数量</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单位</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周期</w:t>
                  </w:r>
                  <w:r>
                    <w:rPr>
                      <w:rFonts w:ascii="宋体" w:hAnsi="宋体" w:cs="宋体" w:eastAsia="宋体"/>
                      <w:sz w:val="18"/>
                    </w:rPr>
                    <w:t>/场次</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575"/>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2024年西安春季高层次及急需紧缺人才网络招聘会（1场）</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空中双选会平台</w:t>
                  </w:r>
                </w:p>
                <w:p>
                  <w:pPr>
                    <w:pStyle w:val="null3"/>
                    <w:jc w:val="center"/>
                  </w:pPr>
                  <w:r>
                    <w:rPr>
                      <w:rFonts w:ascii="宋体" w:hAnsi="宋体" w:cs="宋体" w:eastAsia="宋体"/>
                      <w:sz w:val="18"/>
                    </w:rPr>
                    <w:t>（招聘系统</w:t>
                  </w:r>
                  <w:r>
                    <w:rPr>
                      <w:rFonts w:ascii="宋体" w:hAnsi="宋体" w:cs="宋体" w:eastAsia="宋体"/>
                      <w:sz w:val="18"/>
                    </w:rPr>
                    <w:t>)</w:t>
                  </w:r>
                </w:p>
              </w:tc>
              <w:tc>
                <w:tcPr>
                  <w:tcW w:type="dxa" w:w="63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配套招聘网站、视频面试系统、提供全程网络技术支持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场</w:t>
                  </w:r>
                </w:p>
              </w:tc>
              <w:tc>
                <w:tcPr>
                  <w:tcW w:type="dxa" w:w="2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575"/>
                  <w:gridSpan w:val="2"/>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活动主</w:t>
                  </w:r>
                  <w:r>
                    <w:rPr>
                      <w:rFonts w:ascii="宋体" w:hAnsi="宋体" w:cs="宋体" w:eastAsia="宋体"/>
                      <w:sz w:val="18"/>
                    </w:rPr>
                    <w:t>K及宣传图设计</w:t>
                  </w:r>
                </w:p>
              </w:tc>
              <w:tc>
                <w:tcPr>
                  <w:tcW w:type="dxa" w:w="639"/>
                  <w:vMerge/>
                  <w:tcBorders>
                    <w:top w:val="none" w:color="000000" w:sz="4"/>
                    <w:left w:val="none" w:color="000000" w:sz="4"/>
                    <w:bottom w:val="non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项</w:t>
                  </w:r>
                </w:p>
              </w:tc>
              <w:tc>
                <w:tcPr>
                  <w:tcW w:type="dxa" w:w="22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575"/>
                  <w:gridSpan w:val="2"/>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活动官网搭建</w:t>
                  </w:r>
                </w:p>
              </w:tc>
              <w:tc>
                <w:tcPr>
                  <w:tcW w:type="dxa" w:w="639"/>
                  <w:vMerge/>
                  <w:tcBorders>
                    <w:top w:val="none" w:color="000000" w:sz="4"/>
                    <w:left w:val="none" w:color="000000" w:sz="4"/>
                    <w:bottom w:val="non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场</w:t>
                  </w:r>
                </w:p>
              </w:tc>
              <w:tc>
                <w:tcPr>
                  <w:tcW w:type="dxa" w:w="22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2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2024年西安秋季高层次及急需紧缺人才巡回招聘系列活动（4场）</w:t>
                  </w: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2024年西安秋季高层次及急需紧缺人才巡回招聘活动（3场）</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主</w:t>
                  </w:r>
                  <w:r>
                    <w:rPr>
                      <w:rFonts w:ascii="宋体" w:hAnsi="宋体" w:cs="宋体" w:eastAsia="宋体"/>
                      <w:sz w:val="18"/>
                    </w:rPr>
                    <w:t>K及其他物料设计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项</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场地租用</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展位费</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金属架</w:t>
                  </w:r>
                  <w:r>
                    <w:rPr>
                      <w:rFonts w:ascii="宋体" w:hAnsi="宋体" w:cs="宋体" w:eastAsia="宋体"/>
                      <w:sz w:val="18"/>
                    </w:rPr>
                    <w:t>+帐篷+一桌三椅</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门楣</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桁架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桁架</w:t>
                  </w:r>
                  <w:r>
                    <w:rPr>
                      <w:rFonts w:ascii="宋体" w:hAnsi="宋体" w:cs="宋体" w:eastAsia="宋体"/>
                      <w:sz w:val="18"/>
                    </w:rPr>
                    <w:t>+遮光布喷5*3*2m，内置配重</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横幅</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15m</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签字笔</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支</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饮用水</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标准饮用水（</w:t>
                  </w:r>
                  <w:r>
                    <w:rPr>
                      <w:rFonts w:ascii="宋体" w:hAnsi="宋体" w:cs="宋体" w:eastAsia="宋体"/>
                      <w:sz w:val="18"/>
                    </w:rPr>
                    <w:t>380ml）</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海报</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PVC板0.9*1.2m</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地方车辆租赁</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11座商务车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活动宣传</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主流媒体宣传（西安发布、西安日报等本地媒体及各类官方自媒体进行宣传），并提供各类招聘活动高质量影像资料</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180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工作人员交通食宿费（</w:t>
                  </w:r>
                  <w:r>
                    <w:rPr>
                      <w:rFonts w:ascii="宋体" w:hAnsi="宋体" w:cs="宋体" w:eastAsia="宋体"/>
                      <w:sz w:val="18"/>
                    </w:rPr>
                    <w:t>4人（四天三晚），本次计划赴北京大学、清华大学、中国人民大学3所高校，故出行方式选择高铁动车，住宿参考财政规定工作人员标准执行）</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247"/>
                  <w:vMerge/>
                  <w:tcBorders>
                    <w:top w:val="none" w:color="000000" w:sz="4"/>
                    <w:left w:val="none" w:color="000000" w:sz="4"/>
                    <w:bottom w:val="single" w:color="000000" w:sz="4"/>
                    <w:right w:val="single" w:color="000000" w:sz="4"/>
                  </w:tcBorders>
                </w:tc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2024年西安秋季高层次及急需紧缺人才网络招聘会（1场）</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空中双选会平台</w:t>
                  </w:r>
                </w:p>
                <w:p>
                  <w:pPr>
                    <w:pStyle w:val="null3"/>
                    <w:jc w:val="center"/>
                  </w:pPr>
                  <w:r>
                    <w:rPr>
                      <w:rFonts w:ascii="宋体" w:hAnsi="宋体" w:cs="宋体" w:eastAsia="宋体"/>
                      <w:sz w:val="18"/>
                    </w:rPr>
                    <w:t>（招聘系统</w:t>
                  </w:r>
                  <w:r>
                    <w:rPr>
                      <w:rFonts w:ascii="宋体" w:hAnsi="宋体" w:cs="宋体" w:eastAsia="宋体"/>
                      <w:sz w:val="18"/>
                    </w:rPr>
                    <w:t>)</w:t>
                  </w:r>
                </w:p>
              </w:tc>
              <w:tc>
                <w:tcPr>
                  <w:tcW w:type="dxa" w:w="6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配套招聘网站、视频面试系统、提供全程网络技术支持</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场</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活动主</w:t>
                  </w:r>
                  <w:r>
                    <w:rPr>
                      <w:rFonts w:ascii="宋体" w:hAnsi="宋体" w:cs="宋体" w:eastAsia="宋体"/>
                      <w:sz w:val="18"/>
                    </w:rPr>
                    <w:t>K及宣传图设计</w:t>
                  </w:r>
                </w:p>
              </w:tc>
              <w:tc>
                <w:tcPr>
                  <w:tcW w:type="dxa" w:w="639"/>
                  <w:vMerge/>
                  <w:tcBorders>
                    <w:top w:val="singl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w:t>
                  </w:r>
                </w:p>
              </w:tc>
              <w:tc>
                <w:tcPr>
                  <w:tcW w:type="dxa" w:w="247"/>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活动官网搭建</w:t>
                  </w:r>
                </w:p>
              </w:tc>
              <w:tc>
                <w:tcPr>
                  <w:tcW w:type="dxa" w:w="639"/>
                  <w:vMerge/>
                  <w:tcBorders>
                    <w:top w:val="single" w:color="000000" w:sz="4"/>
                    <w:left w:val="none" w:color="000000" w:sz="4"/>
                    <w:bottom w:val="single" w:color="000000" w:sz="4"/>
                    <w:right w:val="single" w:color="000000" w:sz="4"/>
                  </w:tcBorders>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场</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w:t>
                  </w:r>
                </w:p>
              </w:tc>
              <w:tc>
                <w:tcPr>
                  <w:tcW w:type="dxa" w:w="24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2024年西安市教育、卫生类事业单位巡回招聘活动（6场）</w:t>
                  </w:r>
                </w:p>
              </w:tc>
              <w:tc>
                <w:tcPr>
                  <w:tcW w:type="dxa" w:w="95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主</w:t>
                  </w:r>
                  <w:r>
                    <w:rPr>
                      <w:rFonts w:ascii="宋体" w:hAnsi="宋体" w:cs="宋体" w:eastAsia="宋体"/>
                      <w:sz w:val="18"/>
                    </w:rPr>
                    <w:t>K及其他物料设计</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247"/>
                  <w:vMerge/>
                  <w:tcBorders>
                    <w:top w:val="none" w:color="000000" w:sz="4"/>
                    <w:left w:val="none" w:color="000000" w:sz="4"/>
                    <w:bottom w:val="none" w:color="000000" w:sz="4"/>
                    <w:right w:val="single" w:color="000000" w:sz="4"/>
                  </w:tcBorders>
                </w:tcPr>
                <w:p/>
              </w:tc>
              <w:tc>
                <w:tcPr>
                  <w:tcW w:type="dxa" w:w="32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市内</w:t>
                  </w:r>
                  <w:r>
                    <w:rPr>
                      <w:rFonts w:ascii="宋体" w:hAnsi="宋体" w:cs="宋体" w:eastAsia="宋体"/>
                      <w:sz w:val="18"/>
                    </w:rPr>
                    <w:t>4场</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场地租用</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场</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non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展位费</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金属架</w:t>
                  </w:r>
                  <w:r>
                    <w:rPr>
                      <w:rFonts w:ascii="宋体" w:hAnsi="宋体" w:cs="宋体" w:eastAsia="宋体"/>
                      <w:sz w:val="18"/>
                    </w:rPr>
                    <w:t>+帐篷+一桌三椅</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non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门楣</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non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主视觉桁架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桁架</w:t>
                  </w:r>
                  <w:r>
                    <w:rPr>
                      <w:rFonts w:ascii="宋体" w:hAnsi="宋体" w:cs="宋体" w:eastAsia="宋体"/>
                      <w:sz w:val="18"/>
                    </w:rPr>
                    <w:t>+遮光布喷5*3*2m，内置配重</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non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指引展架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金属</w:t>
                  </w:r>
                  <w:r>
                    <w:rPr>
                      <w:rFonts w:ascii="宋体" w:hAnsi="宋体" w:cs="宋体" w:eastAsia="宋体"/>
                      <w:sz w:val="18"/>
                    </w:rPr>
                    <w:t>T形展架200cm*85cm</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non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横幅</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15m</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non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工作证</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参会证</w:t>
                  </w:r>
                  <w:r>
                    <w:rPr>
                      <w:rFonts w:ascii="宋体" w:hAnsi="宋体" w:cs="宋体" w:eastAsia="宋体"/>
                      <w:sz w:val="18"/>
                    </w:rPr>
                    <w:t>+工作</w:t>
                  </w:r>
                </w:p>
                <w:p>
                  <w:pPr>
                    <w:pStyle w:val="null3"/>
                    <w:jc w:val="center"/>
                  </w:pPr>
                  <w:r>
                    <w:rPr>
                      <w:rFonts w:ascii="宋体" w:hAnsi="宋体" w:cs="宋体" w:eastAsia="宋体"/>
                      <w:sz w:val="18"/>
                    </w:rPr>
                    <w:t>（</w:t>
                  </w:r>
                  <w:r>
                    <w:rPr>
                      <w:rFonts w:ascii="宋体" w:hAnsi="宋体" w:cs="宋体" w:eastAsia="宋体"/>
                      <w:sz w:val="18"/>
                    </w:rPr>
                    <w:t>PVC8*12+吊绳）</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non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签字笔</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支</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non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饮用水</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标准饮用水（</w:t>
                  </w:r>
                  <w:r>
                    <w:rPr>
                      <w:rFonts w:ascii="宋体" w:hAnsi="宋体" w:cs="宋体" w:eastAsia="宋体"/>
                      <w:sz w:val="18"/>
                    </w:rPr>
                    <w:t>380ml）</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non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安保费用</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陕西师范大学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场</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247"/>
                  <w:vMerge/>
                  <w:tcBorders>
                    <w:top w:val="none" w:color="000000" w:sz="4"/>
                    <w:left w:val="none" w:color="000000" w:sz="4"/>
                    <w:bottom w:val="none" w:color="000000" w:sz="4"/>
                    <w:right w:val="single" w:color="000000" w:sz="4"/>
                  </w:tcBorders>
                </w:tcPr>
                <w:p/>
              </w:tc>
              <w:tc>
                <w:tcPr>
                  <w:tcW w:type="dxa" w:w="32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市外</w:t>
                  </w:r>
                  <w:r>
                    <w:rPr>
                      <w:rFonts w:ascii="宋体" w:hAnsi="宋体" w:cs="宋体" w:eastAsia="宋体"/>
                      <w:sz w:val="18"/>
                    </w:rPr>
                    <w:t>2场</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展位费</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金属架</w:t>
                  </w:r>
                  <w:r>
                    <w:rPr>
                      <w:rFonts w:ascii="宋体" w:hAnsi="宋体" w:cs="宋体" w:eastAsia="宋体"/>
                      <w:sz w:val="18"/>
                    </w:rPr>
                    <w:t>+帐篷+一桌三椅</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singl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门楣</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singl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主视觉桁架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桁架</w:t>
                  </w:r>
                  <w:r>
                    <w:rPr>
                      <w:rFonts w:ascii="宋体" w:hAnsi="宋体" w:cs="宋体" w:eastAsia="宋体"/>
                      <w:sz w:val="18"/>
                    </w:rPr>
                    <w:t>+遮光布喷5*3*2m，内置配重</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singl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指引展架</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金属</w:t>
                  </w:r>
                  <w:r>
                    <w:rPr>
                      <w:rFonts w:ascii="宋体" w:hAnsi="宋体" w:cs="宋体" w:eastAsia="宋体"/>
                      <w:sz w:val="18"/>
                    </w:rPr>
                    <w:t>T形展架200cm*85cm</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singl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横幅</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15m</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singl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签字笔</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支</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singl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饮用水</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标准饮用水（</w:t>
                  </w:r>
                  <w:r>
                    <w:rPr>
                      <w:rFonts w:ascii="宋体" w:hAnsi="宋体" w:cs="宋体" w:eastAsia="宋体"/>
                      <w:sz w:val="18"/>
                    </w:rPr>
                    <w:t>380ml）</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瓶</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single" w:color="000000" w:sz="4"/>
                    <w:left w:val="none" w:color="000000" w:sz="4"/>
                    <w:bottom w:val="none" w:color="000000" w:sz="4"/>
                    <w:right w:val="single" w:color="000000" w:sz="4"/>
                  </w:tcBorders>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地方车辆租赁</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11座商务车</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w:t>
                  </w:r>
                </w:p>
              </w:tc>
              <w:tc>
                <w:tcPr>
                  <w:tcW w:type="dxa" w:w="247"/>
                  <w:vMerge/>
                  <w:tcBorders>
                    <w:top w:val="none" w:color="000000" w:sz="4"/>
                    <w:left w:val="none" w:color="000000" w:sz="4"/>
                    <w:bottom w:val="none" w:color="000000" w:sz="4"/>
                    <w:right w:val="single" w:color="000000" w:sz="4"/>
                  </w:tcBorders>
                </w:tcPr>
                <w:p/>
              </w:tc>
              <w:tc>
                <w:tcPr>
                  <w:tcW w:type="dxa" w:w="328"/>
                  <w:vMerge/>
                  <w:tcBorders>
                    <w:top w:val="single" w:color="000000" w:sz="4"/>
                    <w:left w:val="none" w:color="000000" w:sz="4"/>
                    <w:bottom w:val="none" w:color="000000" w:sz="4"/>
                    <w:right w:val="single" w:color="000000" w:sz="4"/>
                  </w:tcBorders>
                </w:tcPr>
                <w:p/>
              </w:tc>
              <w:tc>
                <w:tcPr>
                  <w:tcW w:type="dxa" w:w="180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工作人员交通食宿费（</w:t>
                  </w:r>
                  <w:r>
                    <w:rPr>
                      <w:rFonts w:ascii="宋体" w:hAnsi="宋体" w:cs="宋体" w:eastAsia="宋体"/>
                      <w:sz w:val="18"/>
                    </w:rPr>
                    <w:t>4人（四天三晚），本次计划赴山西医科大学、东北师范大学2所高校，活动过程交通方式以高铁动车为主，如遇两地间距离过远，考虑到实际交通便捷经济性，将参考航班交通；就餐及食宿参考财政规定工作人员标准执行）</w:t>
                  </w:r>
                </w:p>
              </w:tc>
            </w:tr>
          </w:tbl>
          <w:p/>
        </w:tc>
      </w:tr>
    </w:tbl>
    <w:p>
      <w:pPr>
        <w:pStyle w:val="null3"/>
        <w:outlineLvl w:val="2"/>
      </w:pPr>
      <w:r>
        <w:rPr>
          <w:b/>
          <w:sz w:val="28"/>
        </w:rPr>
        <w:t>3.2.3人员配置要求</w:t>
      </w:r>
    </w:p>
    <w:p>
      <w:pPr>
        <w:pStyle w:val="null3"/>
      </w:pPr>
      <w:r>
        <w:rPr/>
        <w:t>采购包1：</w:t>
      </w:r>
    </w:p>
    <w:p>
      <w:pPr>
        <w:pStyle w:val="null3"/>
      </w:pPr>
      <w:r>
        <w:rPr/>
        <w:t>不少于10名有多次组织实施赴外招聘活动执行经验的工作人员。</w:t>
      </w:r>
    </w:p>
    <w:p>
      <w:pPr>
        <w:pStyle w:val="null3"/>
        <w:outlineLvl w:val="2"/>
      </w:pPr>
      <w:r>
        <w:rPr>
          <w:b/>
          <w:sz w:val="28"/>
        </w:rPr>
        <w:t>3.2.4设施设备要求</w:t>
      </w:r>
    </w:p>
    <w:p>
      <w:pPr>
        <w:pStyle w:val="null3"/>
      </w:pPr>
      <w:r>
        <w:rPr/>
        <w:t>采购包1：</w:t>
      </w:r>
    </w:p>
    <w:p>
      <w:pPr>
        <w:pStyle w:val="null3"/>
      </w:pPr>
      <w:r>
        <w:rPr/>
        <w:t>按照项目需求，提供可满足高质量活动执行的物料及器械（摄影、摄像需采用专业相机、专业高清摄像机、无人机等专业拍摄设备）。</w:t>
      </w:r>
    </w:p>
    <w:p>
      <w:pPr>
        <w:pStyle w:val="null3"/>
        <w:outlineLvl w:val="2"/>
      </w:pPr>
      <w:r>
        <w:rPr>
          <w:b/>
          <w:sz w:val="28"/>
        </w:rPr>
        <w:t>3.2.5其他要求</w:t>
      </w:r>
    </w:p>
    <w:p>
      <w:pPr>
        <w:pStyle w:val="null3"/>
      </w:pPr>
      <w:r>
        <w:rPr/>
        <w:t>采购包1：</w:t>
      </w:r>
    </w:p>
    <w:p>
      <w:pPr>
        <w:pStyle w:val="null3"/>
      </w:pPr>
      <w:r>
        <w:rPr/>
        <w:t>每次付款前，应开具等额的正规税务发票作为付款凭证，否则有权拒付。</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自合同签订之日起至项目执行结束</w:t>
      </w:r>
    </w:p>
    <w:p>
      <w:pPr>
        <w:pStyle w:val="null3"/>
        <w:outlineLvl w:val="3"/>
      </w:pPr>
      <w:r>
        <w:rPr>
          <w:b/>
          <w:sz w:val="24"/>
        </w:rPr>
        <w:t>3.3.2服务地点</w:t>
      </w:r>
    </w:p>
    <w:p>
      <w:pPr>
        <w:pStyle w:val="null3"/>
      </w:pPr>
      <w:r>
        <w:rPr/>
        <w:t>采购包1：</w:t>
      </w:r>
    </w:p>
    <w:p>
      <w:pPr>
        <w:pStyle w:val="null3"/>
      </w:pPr>
      <w:r>
        <w:rPr/>
        <w:t>西安市人才服务中心指定地点</w:t>
      </w:r>
    </w:p>
    <w:p>
      <w:pPr>
        <w:pStyle w:val="null3"/>
        <w:outlineLvl w:val="3"/>
      </w:pPr>
      <w:r>
        <w:rPr>
          <w:b/>
          <w:sz w:val="24"/>
        </w:rPr>
        <w:t>3.3.3考核（验收）标准和方法</w:t>
      </w:r>
    </w:p>
    <w:p>
      <w:pPr>
        <w:pStyle w:val="null3"/>
      </w:pPr>
      <w:r>
        <w:rPr/>
        <w:t>采购包1：</w:t>
      </w:r>
    </w:p>
    <w:p>
      <w:pPr>
        <w:pStyle w:val="null3"/>
      </w:pPr>
      <w:r>
        <w:rPr/>
        <w:t>根据采购文件、响应文件、合同及国家相关标准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合同生效后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活动结束，验收合格后</w:t>
      </w:r>
      <w:r>
        <w:rPr/>
        <w:t xml:space="preserve"> ，达到付款条件起 </w:t>
      </w:r>
      <w:r>
        <w:rPr/>
        <w:t>30</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按照合同具体约定</w:t>
      </w:r>
    </w:p>
    <w:p>
      <w:pPr>
        <w:pStyle w:val="null3"/>
        <w:outlineLvl w:val="2"/>
      </w:pPr>
      <w:r>
        <w:rPr>
          <w:b/>
          <w:sz w:val="28"/>
        </w:rPr>
        <w:t>3.4其他要求</w:t>
      </w:r>
    </w:p>
    <w:p>
      <w:pPr>
        <w:pStyle w:val="null3"/>
      </w:pPr>
      <w:r>
        <w:rPr/>
        <w:t>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纸质正本和副本不符，以正本为准。 线下递交文件截止时间：详见本项目招标公告文件递交截止时间；线下递交文件地点：陕西省西安市碑林区红缨路南口6号均明拍卖广场3层。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投标函》完成承诺并进行电子签章；②具有独立承担民事责任能力的法人、其他组织或自然人，提供合法有效的统一社会信用代码营业执照（事业单位法人证书/专业服务机构执业许可证/民办非企业单位登记证书，自然人提供身份证）；③税收缴纳证明：法人提供自2023年3月1日以来至少一个月的纳税证明或完税证明，纳税证明或完税证明上应有代收机构或税务机关的公章或业务专用章；其他组织和自然人提供自2023年3月1日以来至少一个月缴纳税收的凭据；依法免税的供应商应提供相关文件证明；④社会保障资金缴纳证明：提供自2023年3月1日以来至少一个月已缴纳的社会保障资金的证明（社会保障资金缴存单据或社保机构开具的社会保险参保缴费情况证明等）；依法不需要缴纳社会保障资金的供应商应提供相关文件证明；⑤提供具有履行本合同所必需的设备和专业技术能力的声明；⑥参加本次政府采购活动前3年内在经营活动中没有重大违纪，以及未被列入失信被执行人、重大税收违法案件当事人名单、政府采购严重违法失信行为记录名单的书面声明；以上③-④项，提供“陕西省政府采购供应商信用承诺书”的，可不再提供其他证明文件。</w:t>
            </w:r>
          </w:p>
        </w:tc>
        <w:tc>
          <w:tcPr>
            <w:tcW w:type="dxa" w:w="1661"/>
          </w:tcPr>
          <w:p>
            <w:pPr>
              <w:pStyle w:val="null3"/>
            </w:pPr>
            <w:r>
              <w:rPr/>
              <w:t>供应商的资格证明材料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财务状况报告：法人提供会计师事务所出具的2022年度或2023年度审计报告（成立时间至提交响应文件截止时间不足一年的可提供成立后任意时段的资产负债表），或提交自2023年9月1日以来银行出具的资信证明，或信用担保机构出具的投标担保函（以上三种形式的资料提供任何一种即可）；其他组织和自然人提供银行出具的资信证明或财务报表；}以上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t>供应商的资格证明材料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供应商的资格证明材料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磋商的，须出示身份证；法定代表人授权他人参加磋商的，须提供法定代表人授权委托书、被授权人提交自2023年9月1日以来任意一个月的社会保障资金（养老保险或医疗保险）的缴纳证明或有效期内的劳动合同及被授权人身份证。</w:t>
            </w:r>
          </w:p>
        </w:tc>
        <w:tc>
          <w:tcPr>
            <w:tcW w:type="dxa" w:w="1661"/>
          </w:tcPr>
          <w:p>
            <w:pPr>
              <w:pStyle w:val="null3"/>
            </w:pPr>
            <w:r>
              <w:rPr/>
              <w:t>供应商的资格证明材料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分项价格表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按照磋商文件规定要求签署、盖章的</w:t>
            </w:r>
          </w:p>
        </w:tc>
        <w:tc>
          <w:tcPr>
            <w:tcW w:type="dxa" w:w="1661"/>
          </w:tcPr>
          <w:p>
            <w:pPr>
              <w:pStyle w:val="null3"/>
            </w:pPr>
            <w:r>
              <w:rPr/>
              <w:t>服务内容及服务邀请应答表 中小企业声明函 商务应答表 报价表 服务方案、组织机构、服务承诺、供应商认为需要提供的其他资料 响应文件封面 分项价格表 供应商的资格证明材料 其他资料 残疾人福利性单位声明函 标的清单 响应函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响应有效期满足要求的</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报价未超过磋商文件中规定的预算金额的</w:t>
            </w:r>
          </w:p>
        </w:tc>
        <w:tc>
          <w:tcPr>
            <w:tcW w:type="dxa" w:w="1661"/>
          </w:tcPr>
          <w:p>
            <w:pPr>
              <w:pStyle w:val="null3"/>
            </w:pPr>
            <w:r>
              <w:rPr/>
              <w:t>分项价格表 标的清单 报价表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满足本磋商文件中标注的实质性条款（服务期限、服务地点、支付方式、支付约定）要求的</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无法律、规章、规范性文件和磋商文件规定的其他无效情形</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工作内容理解</w:t>
            </w:r>
          </w:p>
        </w:tc>
        <w:tc>
          <w:tcPr>
            <w:tcW w:type="dxa" w:w="2492"/>
          </w:tcPr>
          <w:p>
            <w:pPr>
              <w:pStyle w:val="null3"/>
            </w:pPr>
            <w:r>
              <w:rPr/>
              <w:t>对本项目的工作内容理解清晰、全面，能清楚描述本次工作任务目标。 1、完全满足项目需求，无瑕疵计6分； 2、存在1处瑕疵计4分； 3、存在2处瑕疵计2分；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参与渠道</w:t>
            </w:r>
          </w:p>
        </w:tc>
        <w:tc>
          <w:tcPr>
            <w:tcW w:type="dxa" w:w="2492"/>
          </w:tcPr>
          <w:p>
            <w:pPr>
              <w:pStyle w:val="null3"/>
            </w:pPr>
            <w:r>
              <w:rPr/>
              <w:t>项目参与渠道、流程及版块设置方案，是否详细完整，合理科学。 1、完全满足项目需求，无瑕疵计6分； 2、存在1处瑕疵计4分； 3、存在2处瑕疵计2分；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设备清单</w:t>
            </w:r>
          </w:p>
        </w:tc>
        <w:tc>
          <w:tcPr>
            <w:tcW w:type="dxa" w:w="2492"/>
          </w:tcPr>
          <w:p>
            <w:pPr>
              <w:pStyle w:val="null3"/>
            </w:pPr>
            <w:r>
              <w:rPr/>
              <w:t>提供设备清单，根据设备清单的表述详细程度及设备的合理及先进性进行打分。 1、完全满足项目需求，无瑕疵计6分； 2、存在1处瑕疵计4分； 3、存在2处瑕疵计2分；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总体设计</w:t>
            </w:r>
          </w:p>
        </w:tc>
        <w:tc>
          <w:tcPr>
            <w:tcW w:type="dxa" w:w="2492"/>
          </w:tcPr>
          <w:p>
            <w:pPr>
              <w:pStyle w:val="null3"/>
            </w:pPr>
            <w:r>
              <w:rPr/>
              <w:t>项目总体设计思路清晰、全面，对项目把握准确，重点突出，技术建议叙述是否完整合理。 1、完全满足项目需求，无瑕疵计6分； 2、存在1处瑕疵计4分； 3、存在2处瑕疵计2分；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服务方案</w:t>
            </w:r>
          </w:p>
        </w:tc>
        <w:tc>
          <w:tcPr>
            <w:tcW w:type="dxa" w:w="2492"/>
          </w:tcPr>
          <w:p>
            <w:pPr>
              <w:pStyle w:val="null3"/>
            </w:pPr>
            <w:r>
              <w:rPr/>
              <w:t>提供本项目在活动筹备、举办期间的现场服务方案，根据方案内容是否合理可行。 1、完全满足项目需求，无瑕疵计6分； 2、存在1处瑕疵计4分； 3、存在2处瑕疵计2分；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实施计划、实施策略</w:t>
            </w:r>
          </w:p>
        </w:tc>
        <w:tc>
          <w:tcPr>
            <w:tcW w:type="dxa" w:w="2492"/>
          </w:tcPr>
          <w:p>
            <w:pPr>
              <w:pStyle w:val="null3"/>
            </w:pPr>
            <w:r>
              <w:rPr/>
              <w:t>项目的实施计划、实施策略是否完备清晰；工作进度安排是否合理；团队保障能力程度。 1、完全满足项目需求，无瑕疵计5分； 2、存在1处瑕疵计3分； 3、存在2处瑕疵计1分；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应急方案</w:t>
            </w:r>
          </w:p>
        </w:tc>
        <w:tc>
          <w:tcPr>
            <w:tcW w:type="dxa" w:w="2492"/>
          </w:tcPr>
          <w:p>
            <w:pPr>
              <w:pStyle w:val="null3"/>
            </w:pPr>
            <w:r>
              <w:rPr/>
              <w:t>针对本项目可能发生的突发事件具有详细可行的应急方案及措施是否具体明确，内容完整，可操作性强。 1、完全满足项目需求，无瑕疵计5分； 2、存在1处瑕疵计3分； 3、存在2处瑕疵计1分；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项目负责人</w:t>
            </w:r>
          </w:p>
        </w:tc>
        <w:tc>
          <w:tcPr>
            <w:tcW w:type="dxa" w:w="2492"/>
          </w:tcPr>
          <w:p>
            <w:pPr>
              <w:pStyle w:val="null3"/>
            </w:pPr>
            <w:r>
              <w:rPr/>
              <w:t>项目负责人有丰富的相关领域工作经验或者曾承担过相关工作的主要负责人（须提供业绩证明，项目负责人的业绩与供应商的业绩不重复计分）；项目负责人具有较强的专业能力，评审小组根据投入本项目负责人的专业程度、工作年限、工作经验进行自主赋分。 1、完全满足项目需求，无瑕疵计5分； 2、存在1处瑕疵计3分； 3、存在2处瑕疵计1分；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服务团队</w:t>
            </w:r>
          </w:p>
        </w:tc>
        <w:tc>
          <w:tcPr>
            <w:tcW w:type="dxa" w:w="2492"/>
          </w:tcPr>
          <w:p>
            <w:pPr>
              <w:pStyle w:val="null3"/>
            </w:pPr>
            <w:r>
              <w:rPr/>
              <w:t>针对本项目拟配备专业的策划、宣传服务和执行团队；拟派项目团队人员数量及专业安排是否合理、岗位职责是否明确清晰。 1、完全满足项目需求，无瑕疵计5分； 2、存在1处瑕疵计3分； 3、存在2处瑕疵计1分；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服务承诺</w:t>
            </w:r>
          </w:p>
        </w:tc>
        <w:tc>
          <w:tcPr>
            <w:tcW w:type="dxa" w:w="2492"/>
          </w:tcPr>
          <w:p>
            <w:pPr>
              <w:pStyle w:val="null3"/>
            </w:pPr>
            <w:r>
              <w:rPr/>
              <w:t>供应商针对本项目及采购人实际需求提供优质的服务承诺。 1、完全满足项目需求，无瑕疵计5分； 2、存在1处瑕疵计3分； 3、存在2处瑕疵计1分；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工作态度、保密承诺</w:t>
            </w:r>
          </w:p>
        </w:tc>
        <w:tc>
          <w:tcPr>
            <w:tcW w:type="dxa" w:w="2492"/>
          </w:tcPr>
          <w:p>
            <w:pPr>
              <w:pStyle w:val="null3"/>
            </w:pPr>
            <w:r>
              <w:rPr/>
              <w:t>供应商针对本项目有良好、积极的工作态度，能够在会务现场及时配合采购人的工作，提供相应承诺，供应商针对本项目提供切实可行的保密措施及承诺，对其所获取的信息保密。 1、完全满足项目需求，无瑕疵计5分； 2、存在1处瑕疵计3分； 3、存在2处瑕疵计1分；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业绩</w:t>
            </w:r>
          </w:p>
        </w:tc>
        <w:tc>
          <w:tcPr>
            <w:tcW w:type="dxa" w:w="2492"/>
          </w:tcPr>
          <w:p>
            <w:pPr>
              <w:pStyle w:val="null3"/>
            </w:pPr>
            <w:r>
              <w:rPr/>
              <w:t>提供2020年至今同类项目业绩，响应文件中附有其合同或中标通知书作为证明文件，每提供一个业绩证明材料计2分，满分10分。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行业经验</w:t>
            </w:r>
          </w:p>
        </w:tc>
        <w:tc>
          <w:tcPr>
            <w:tcW w:type="dxa" w:w="2492"/>
          </w:tcPr>
          <w:p>
            <w:pPr>
              <w:pStyle w:val="null3"/>
            </w:pPr>
            <w:r>
              <w:rPr/>
              <w:t>供应商在人力资源服务行业拥有丰富的行业经验，须提供相关证明材料。 1、证明材料齐全，完全满足项目需求，无瑕疵计5分； 2、存在1处瑕疵计3分； 3、存在2处瑕疵计1分；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自有的网络招聘平台</w:t>
            </w:r>
          </w:p>
        </w:tc>
        <w:tc>
          <w:tcPr>
            <w:tcW w:type="dxa" w:w="2492"/>
          </w:tcPr>
          <w:p>
            <w:pPr>
              <w:pStyle w:val="null3"/>
            </w:pPr>
            <w:r>
              <w:rPr/>
              <w:t>供应商拥有自有的网络招聘平台，可提供在线网络招聘会服务且具有自有人才库，并提供相关证明材料。 1、证明材料完全满足项目需求，无瑕疵计5分； 2、证明材料简单，内容基本齐全计3分； 3、证明材料不全，内容存在瑕疵计1分； 4、未提供方案计0分。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降低会务成本及提高服务质量</w:t>
            </w:r>
          </w:p>
        </w:tc>
        <w:tc>
          <w:tcPr>
            <w:tcW w:type="dxa" w:w="2492"/>
          </w:tcPr>
          <w:p>
            <w:pPr>
              <w:pStyle w:val="null3"/>
            </w:pPr>
            <w:r>
              <w:rPr/>
              <w:t>供应商提出有利于采购人降低会务成本及提高服务质量且切实可行措施承诺。 1、完全满足项目需求，无瑕疵计5分； 2、存在1处瑕疵计3分； 3、存在2处瑕疵计1分； 4、存在3处及以上瑕疵或未提供方案计0分。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服务方案、组织机构、服务承诺、供应商认为需要提供的其他资料</w:t>
            </w:r>
          </w:p>
        </w:tc>
      </w:tr>
      <w:tr>
        <w:tc>
          <w:tcPr>
            <w:tcW w:type="dxa" w:w="831"/>
            <w:vMerge/>
          </w:tcPr>
          <w:p/>
        </w:tc>
        <w:tc>
          <w:tcPr>
            <w:tcW w:type="dxa" w:w="1661"/>
          </w:tcPr>
          <w:p>
            <w:pPr>
              <w:pStyle w:val="null3"/>
            </w:pPr>
            <w:r>
              <w:rPr/>
              <w:t>其他服务</w:t>
            </w:r>
          </w:p>
        </w:tc>
        <w:tc>
          <w:tcPr>
            <w:tcW w:type="dxa" w:w="2492"/>
          </w:tcPr>
          <w:p>
            <w:pPr>
              <w:pStyle w:val="null3"/>
            </w:pPr>
            <w:r>
              <w:rPr/>
              <w:t>根据供应商针对本项目提出的合理、有价值、为采购人所需要的其他与项目相关的服务承诺，经磋商小组认定每提供一条得1分，最高得5分。未提供不得分。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服务方案、组织机构、服务承诺、供应商认为需要提供的其他资料</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价格分统一采用低价优先法计算，即满足磋商文件要求且价格最低的报价为磋商基准价，其价格分为满分。其他响应单位的价格分统一按照下列公式计算：磋商报价得分=（评标基准价/磋商报价）×价格权值×100。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分项价格表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详见附件：分项价格表</w:t>
      </w:r>
    </w:p>
    <w:p>
      <w:pPr>
        <w:pStyle w:val="null3"/>
        <w:ind w:firstLine="960"/>
      </w:pPr>
      <w:r>
        <w:rPr/>
        <w:t>详见附件：服务方案、组织机构、服务承诺、供应商认为需要提供的其他资料</w:t>
      </w:r>
    </w:p>
    <w:p>
      <w:pPr>
        <w:pStyle w:val="null3"/>
        <w:ind w:firstLine="960"/>
      </w:pPr>
      <w:r>
        <w:rPr/>
        <w:t>详见附件：供应商的资格证明材料</w:t>
      </w:r>
    </w:p>
    <w:p>
      <w:pPr>
        <w:pStyle w:val="null3"/>
        <w:ind w:firstLine="960"/>
      </w:pPr>
      <w:r>
        <w:rPr/>
        <w:t>详见附件：其他资料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