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重大公卫结核病防治项目（陕西省基层结核病防治信息化建设）</w:t>
      </w:r>
    </w:p>
    <w:p>
      <w:pPr>
        <w:pStyle w:val="null3"/>
        <w:jc w:val="center"/>
        <w:outlineLvl w:val="2"/>
      </w:pPr>
      <w:r>
        <w:rPr>
          <w:b/>
          <w:sz w:val="28"/>
        </w:rPr>
        <w:t>采购项目编号：</w:t>
      </w:r>
      <w:r>
        <w:rPr>
          <w:b/>
          <w:sz w:val="28"/>
        </w:rPr>
        <w:t>KY2024-3-002</w:t>
      </w:r>
      <w:r>
        <w:br/>
      </w:r>
      <w:r>
        <w:br/>
      </w:r>
      <w:r>
        <w:br/>
      </w:r>
    </w:p>
    <w:p>
      <w:pPr>
        <w:pStyle w:val="null3"/>
        <w:jc w:val="center"/>
        <w:outlineLvl w:val="2"/>
      </w:pPr>
      <w:r>
        <w:rPr>
          <w:b/>
          <w:sz w:val="28"/>
        </w:rPr>
        <w:t>西安市疾病预防控制中心</w:t>
      </w:r>
    </w:p>
    <w:p>
      <w:pPr>
        <w:pStyle w:val="null3"/>
        <w:jc w:val="center"/>
        <w:outlineLvl w:val="2"/>
      </w:pPr>
      <w:r>
        <w:rPr>
          <w:b/>
          <w:sz w:val="28"/>
        </w:rPr>
        <w:t>陕西开源招标有限公司</w:t>
      </w:r>
      <w:r>
        <w:rPr>
          <w:b/>
          <w:sz w:val="28"/>
        </w:rPr>
        <w:t>共同编制</w:t>
      </w:r>
    </w:p>
    <w:p>
      <w:pPr>
        <w:pStyle w:val="null3"/>
        <w:jc w:val="center"/>
        <w:outlineLvl w:val="2"/>
      </w:pPr>
      <w:r>
        <w:rPr>
          <w:b/>
          <w:sz w:val="28"/>
        </w:rPr>
        <w:t>2024年03月22日</w:t>
      </w:r>
    </w:p>
    <w:p>
      <w:pPr>
        <w:pStyle w:val="null3"/>
      </w:pPr>
      <w:r>
        <w:rPr/>
        <w:t xml:space="preserve"> </w:t>
        <w:br/>
        <w:br w:type="page"/>
      </w:r>
    </w:p>
    <w:p>
      <w:pPr>
        <w:pStyle w:val="null3"/>
        <w:jc w:val="center"/>
        <w:outlineLvl w:val="1"/>
      </w:pPr>
      <w:r>
        <w:rPr>
          <w:b/>
          <w:sz w:val="36"/>
        </w:rPr>
        <w:t>第一章 投标邀请</w:t>
      </w:r>
    </w:p>
    <w:p>
      <w:pPr>
        <w:pStyle w:val="null3"/>
        <w:ind w:firstLine="480"/>
      </w:pPr>
      <w:r>
        <w:rPr/>
        <w:t>陕西开源招标有限公司</w:t>
      </w:r>
      <w:r>
        <w:rPr/>
        <w:t>（以下简称“代理机构”）受</w:t>
      </w:r>
      <w:r>
        <w:rPr/>
        <w:t>西安市疾病预防控制中心</w:t>
      </w:r>
      <w:r>
        <w:rPr/>
        <w:t>委托，拟对</w:t>
      </w:r>
      <w:r>
        <w:rPr/>
        <w:t>重大公卫结核病防治项目（陕西省基层结核病防治信息化建设）</w:t>
      </w:r>
      <w:r>
        <w:rPr/>
        <w:t>进行国内公开招标，兹邀请符合本次招标要求的供应商参加投标。</w:t>
      </w:r>
    </w:p>
    <w:p>
      <w:pPr>
        <w:pStyle w:val="null3"/>
        <w:outlineLvl w:val="2"/>
      </w:pPr>
      <w:r>
        <w:rPr>
          <w:b/>
          <w:sz w:val="28"/>
        </w:rPr>
        <w:t>一、采购项目编号：</w:t>
      </w:r>
      <w:r>
        <w:rPr>
          <w:b/>
          <w:sz w:val="28"/>
        </w:rPr>
        <w:t>KY2024-3-002</w:t>
      </w:r>
    </w:p>
    <w:p>
      <w:pPr>
        <w:pStyle w:val="null3"/>
        <w:outlineLvl w:val="2"/>
      </w:pPr>
      <w:r>
        <w:rPr>
          <w:b/>
          <w:sz w:val="28"/>
        </w:rPr>
        <w:t>二、采购项目名称：</w:t>
      </w:r>
      <w:r>
        <w:rPr>
          <w:b/>
          <w:sz w:val="28"/>
        </w:rPr>
        <w:t>重大公卫结核病防治项目（陕西省基层结核病防治信息化建设）</w:t>
      </w:r>
    </w:p>
    <w:p>
      <w:pPr>
        <w:pStyle w:val="null3"/>
        <w:outlineLvl w:val="2"/>
      </w:pPr>
      <w:r>
        <w:rPr>
          <w:b/>
          <w:sz w:val="28"/>
        </w:rPr>
        <w:t>三、招标项目简介</w:t>
      </w:r>
    </w:p>
    <w:p>
      <w:pPr>
        <w:pStyle w:val="null3"/>
        <w:ind w:firstLine="480"/>
      </w:pPr>
      <w:r>
        <w:rPr/>
        <w:t>结核病智能电子药盒采购</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采购包1（西安市疾病预防控制中心重大公卫结核病防治项目（陕西省基层结核病防治信息化建设））：属于专门面向小微企业采购。</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2022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3、税收缴纳证明：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p>
      <w:pPr>
        <w:pStyle w:val="null3"/>
      </w:pPr>
      <w:r>
        <w:rPr/>
        <w:t>4、社会保障资金缴纳证明：提供上一年度至今已缴存的至少一个月的社会保障资金缴存单据或社保机构开具的社会保险参保缴费情况证明，依法不需要缴纳社会保障资金的单位应提供相关证明材料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6、控股管理关系：提供直接控股和管理关系清单。若与其他投标人存在单位负责人为同一人或者存在直接控股、管理关系的，则投标无效</w:t>
      </w:r>
    </w:p>
    <w:p>
      <w:pPr>
        <w:pStyle w:val="null3"/>
      </w:pPr>
      <w:r>
        <w:rPr/>
        <w:t>7、承诺函：提供具有履行合同所必需的设备和专业技术能力的承诺函</w:t>
      </w:r>
    </w:p>
    <w:p>
      <w:pPr>
        <w:pStyle w:val="null3"/>
      </w:pPr>
      <w:r>
        <w:rPr/>
        <w:t>8、法定代表人授权书：法定代表人授权书及被授权人身份证复印件。（法定代表人直接投标只须提交其身份证复印件）</w:t>
      </w:r>
    </w:p>
    <w:p>
      <w:pPr>
        <w:pStyle w:val="null3"/>
      </w:pPr>
      <w:r>
        <w:rPr/>
        <w:t>9、中小企业声明函：提供中小企业声明函（投标人需为小微企业）</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西安市疾病预防控制中心</w:t>
      </w:r>
    </w:p>
    <w:p>
      <w:pPr>
        <w:pStyle w:val="null3"/>
      </w:pPr>
      <w:r>
        <w:rPr/>
        <w:t xml:space="preserve"> 地址： </w:t>
      </w:r>
      <w:r>
        <w:rPr/>
        <w:t>西安市西影路599号</w:t>
      </w:r>
    </w:p>
    <w:p>
      <w:pPr>
        <w:pStyle w:val="null3"/>
      </w:pPr>
      <w:r>
        <w:rPr/>
        <w:t xml:space="preserve"> 邮编： </w:t>
      </w:r>
      <w:r>
        <w:rPr/>
        <w:t>710000</w:t>
      </w:r>
    </w:p>
    <w:p>
      <w:pPr>
        <w:pStyle w:val="null3"/>
      </w:pPr>
      <w:r>
        <w:rPr/>
        <w:t xml:space="preserve"> 联系人： </w:t>
      </w:r>
      <w:r>
        <w:rPr/>
        <w:t>西安市疾病预防控制中心经办</w:t>
      </w:r>
    </w:p>
    <w:p>
      <w:pPr>
        <w:pStyle w:val="null3"/>
      </w:pPr>
      <w:r>
        <w:rPr/>
        <w:t xml:space="preserve"> 联系电话： </w:t>
      </w:r>
      <w:r>
        <w:rPr/>
        <w:t>029-85535673</w:t>
      </w:r>
    </w:p>
    <w:p>
      <w:pPr>
        <w:pStyle w:val="null3"/>
        <w:outlineLvl w:val="2"/>
      </w:pPr>
      <w:r>
        <w:rPr>
          <w:b/>
          <w:sz w:val="28"/>
        </w:rPr>
        <w:t>代理机构：</w:t>
      </w:r>
      <w:r>
        <w:rPr>
          <w:b/>
          <w:sz w:val="28"/>
        </w:rPr>
        <w:t>陕西开源招标有限公司</w:t>
      </w:r>
    </w:p>
    <w:p>
      <w:pPr>
        <w:pStyle w:val="null3"/>
      </w:pPr>
      <w:r>
        <w:rPr/>
        <w:t xml:space="preserve"> 地址： </w:t>
      </w:r>
      <w:r>
        <w:rPr/>
        <w:t>西安市雁展路1111号莱安中心T6-15层</w:t>
      </w:r>
    </w:p>
    <w:p>
      <w:pPr>
        <w:pStyle w:val="null3"/>
      </w:pPr>
      <w:r>
        <w:rPr/>
        <w:t xml:space="preserve"> 邮编： </w:t>
      </w:r>
      <w:r>
        <w:rPr/>
        <w:t xml:space="preserve"> 710000</w:t>
      </w:r>
    </w:p>
    <w:p>
      <w:pPr>
        <w:pStyle w:val="null3"/>
      </w:pPr>
      <w:r>
        <w:rPr/>
        <w:t xml:space="preserve"> 联系人： </w:t>
      </w:r>
      <w:r>
        <w:rPr/>
        <w:t>宋新梁、王琦、张宇</w:t>
      </w:r>
    </w:p>
    <w:p>
      <w:pPr>
        <w:pStyle w:val="null3"/>
      </w:pPr>
      <w:r>
        <w:rPr/>
        <w:t xml:space="preserve"> 联系电话： </w:t>
      </w:r>
      <w:r>
        <w:rPr/>
        <w:t>029-81206622/81206633-831</w:t>
      </w:r>
    </w:p>
    <w:p>
      <w:pPr>
        <w:pStyle w:val="null3"/>
        <w:outlineLvl w:val="2"/>
      </w:pPr>
      <w:r>
        <w:rPr>
          <w:b/>
          <w:sz w:val="28"/>
        </w:rPr>
        <w:t>采购监督机构：</w:t>
      </w:r>
      <w:r>
        <w:rPr>
          <w:b/>
          <w:sz w:val="28"/>
        </w:rPr>
        <w:t>西安市财政局政府采购管理处</w:t>
      </w:r>
    </w:p>
    <w:p>
      <w:pPr>
        <w:pStyle w:val="null3"/>
        <w:ind w:firstLine="480"/>
      </w:pPr>
      <w:r>
        <w:rPr/>
        <w:t>联系人：</w:t>
      </w:r>
      <w:r>
        <w:rPr/>
        <w:t>王鹏</w:t>
      </w:r>
    </w:p>
    <w:p>
      <w:pPr>
        <w:pStyle w:val="null3"/>
        <w:ind w:firstLine="480"/>
      </w:pPr>
      <w:r>
        <w:rPr/>
        <w:t>联系电话：</w:t>
      </w:r>
      <w:r>
        <w:rPr/>
        <w:t>029-89821848</w:t>
      </w:r>
    </w:p>
    <w:p>
      <w:pPr>
        <w:pStyle w:val="null3"/>
      </w:pPr>
      <w:r>
        <w:rPr/>
        <w:t xml:space="preserve"> </w:t>
        <w:br/>
        <w:br w:type="page"/>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采购包1：345,200.00元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供应商应依据成交金额向采购代理机构交纳成交服务费，交费金额参照国家计委颁布的《招标代理服务收费管理暂行办法》（计价格[2002]1980号）及发改办价格[2003]857号文件的规定标准收取。2、本项目中标服务费按货物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西安市疾病预防控制中心</w:t>
      </w:r>
      <w:r>
        <w:rPr/>
        <w:t>和</w:t>
      </w:r>
      <w:r>
        <w:rPr/>
        <w:t>陕西开源招标有限公司</w:t>
      </w:r>
      <w:r>
        <w:rPr/>
        <w:t>享有。对招标文件中供应商参加本次政府采购活动应当具备的条件，招标项目技术、服务、商务及其他要求，评标细则及标准由</w:t>
      </w:r>
      <w:r>
        <w:rPr/>
        <w:t>西安市疾病预防控制中心</w:t>
      </w:r>
      <w:r>
        <w:rPr/>
        <w:t>负责解释。除上述招标文件内容，其他内容由</w:t>
      </w:r>
      <w:r>
        <w:rPr/>
        <w:t>陕西开源招标有限公司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西安市疾病预防控制中心</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根据招标文件及合同规定执行</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联系人：宋新梁、王琦、张宇</w:t>
      </w:r>
    </w:p>
    <w:p>
      <w:pPr>
        <w:pStyle w:val="null3"/>
      </w:pPr>
      <w:r>
        <w:rPr/>
        <w:t>联系电话：029-81206622/81206633-831</w:t>
      </w:r>
    </w:p>
    <w:p>
      <w:pPr>
        <w:pStyle w:val="null3"/>
      </w:pPr>
      <w:r>
        <w:rPr/>
        <w:t>地址：西安市雁展路1111号莱安中心T6-15层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结核病智能电子药盒采购</w:t>
      </w:r>
    </w:p>
    <w:p>
      <w:pPr>
        <w:pStyle w:val="null3"/>
        <w:outlineLvl w:val="2"/>
      </w:pPr>
      <w:r>
        <w:rPr>
          <w:b/>
          <w:sz w:val="28"/>
        </w:rPr>
        <w:t>3.2采购内容</w:t>
      </w:r>
    </w:p>
    <w:p>
      <w:pPr>
        <w:pStyle w:val="null3"/>
      </w:pPr>
      <w:r>
        <w:rPr/>
        <w:t>采购包1：</w:t>
      </w:r>
    </w:p>
    <w:p>
      <w:pPr>
        <w:pStyle w:val="null3"/>
      </w:pPr>
      <w:r>
        <w:rPr/>
        <w:t>采购包预算金额（元）: 345,200.00</w:t>
      </w:r>
    </w:p>
    <w:p>
      <w:pPr>
        <w:pStyle w:val="null3"/>
      </w:pPr>
      <w:r>
        <w:rPr/>
        <w:t>采购包最高限价（元）: 345,200.00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结核病智能电子药盒</w:t>
            </w:r>
          </w:p>
        </w:tc>
        <w:tc>
          <w:tcPr>
            <w:tcW w:type="dxa" w:w="831"/>
          </w:tcPr>
          <w:p>
            <w:pPr>
              <w:pStyle w:val="null3"/>
              <w:jc w:val="right"/>
            </w:pPr>
            <w:r>
              <w:rPr/>
              <w:t>1,000.00</w:t>
            </w:r>
          </w:p>
        </w:tc>
        <w:tc>
          <w:tcPr>
            <w:tcW w:type="dxa" w:w="831"/>
          </w:tcPr>
          <w:p>
            <w:pPr>
              <w:pStyle w:val="null3"/>
              <w:jc w:val="right"/>
            </w:pPr>
            <w:r>
              <w:rPr/>
              <w:t>345,200.00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标的名称：结核病智能电子药盒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sz w:val="21"/>
              </w:rPr>
              <w:t>一、结核病智能电子药盒参数</w:t>
            </w:r>
          </w:p>
          <w:p>
            <w:pPr>
              <w:pStyle w:val="null3"/>
            </w:pPr>
            <w:r>
              <w:rPr>
                <w:sz w:val="21"/>
              </w:rPr>
              <w:t>1.外壳采用食品级材料（PP）；密封防潮设计：盒盖与盒体之间有一层嵌合式密封胶圈；</w:t>
            </w:r>
          </w:p>
        </w:tc>
      </w:tr>
      <w:tr>
        <w:tc>
          <w:tcPr>
            <w:tcW w:type="dxa" w:w="2769"/>
          </w:tcPr>
          <w:p/>
        </w:tc>
        <w:tc>
          <w:tcPr>
            <w:tcW w:type="dxa" w:w="2769"/>
          </w:tcPr>
          <w:p>
            <w:pPr>
              <w:pStyle w:val="null3"/>
            </w:pPr>
            <w:r>
              <w:rPr/>
              <w:t>2</w:t>
            </w:r>
          </w:p>
        </w:tc>
        <w:tc>
          <w:tcPr>
            <w:tcW w:type="dxa" w:w="2769"/>
          </w:tcPr>
          <w:p>
            <w:pPr>
              <w:pStyle w:val="null3"/>
            </w:pPr>
            <w:r>
              <w:rPr/>
              <w:t>2.药盒模块化设计,模组块可循环使用，患者信息可由使用单位重复写入；内置4G通信卡，采用GSM通信网络；实现服药数据实时上传；</w:t>
            </w:r>
          </w:p>
        </w:tc>
      </w:tr>
      <w:tr>
        <w:tc>
          <w:tcPr>
            <w:tcW w:type="dxa" w:w="2769"/>
          </w:tcPr>
          <w:p/>
        </w:tc>
        <w:tc>
          <w:tcPr>
            <w:tcW w:type="dxa" w:w="2769"/>
          </w:tcPr>
          <w:p>
            <w:pPr>
              <w:pStyle w:val="null3"/>
            </w:pPr>
            <w:r>
              <w:rPr/>
              <w:t>3</w:t>
            </w:r>
          </w:p>
        </w:tc>
        <w:tc>
          <w:tcPr>
            <w:tcW w:type="dxa" w:w="2769"/>
          </w:tcPr>
          <w:p>
            <w:pPr>
              <w:pStyle w:val="null3"/>
            </w:pPr>
            <w:r>
              <w:rPr/>
              <w:t>3.装填药量：一个月（FDC复合制剂及散装药药量为例）；</w:t>
            </w:r>
          </w:p>
        </w:tc>
      </w:tr>
      <w:tr>
        <w:tc>
          <w:tcPr>
            <w:tcW w:type="dxa" w:w="2769"/>
          </w:tcPr>
          <w:p/>
        </w:tc>
        <w:tc>
          <w:tcPr>
            <w:tcW w:type="dxa" w:w="2769"/>
          </w:tcPr>
          <w:p>
            <w:pPr>
              <w:pStyle w:val="null3"/>
            </w:pPr>
            <w:r>
              <w:rPr/>
              <w:t>4</w:t>
            </w:r>
          </w:p>
        </w:tc>
        <w:tc>
          <w:tcPr>
            <w:tcW w:type="dxa" w:w="2769"/>
          </w:tcPr>
          <w:p>
            <w:pPr>
              <w:pStyle w:val="null3"/>
            </w:pPr>
            <w:r>
              <w:rPr/>
              <w:t>4.电压输入：100-240V~50/60Hz；</w:t>
            </w:r>
          </w:p>
        </w:tc>
      </w:tr>
      <w:tr>
        <w:tc>
          <w:tcPr>
            <w:tcW w:type="dxa" w:w="2769"/>
          </w:tcPr>
          <w:p/>
        </w:tc>
        <w:tc>
          <w:tcPr>
            <w:tcW w:type="dxa" w:w="2769"/>
          </w:tcPr>
          <w:p>
            <w:pPr>
              <w:pStyle w:val="null3"/>
            </w:pPr>
            <w:r>
              <w:rPr/>
              <w:t>5</w:t>
            </w:r>
          </w:p>
        </w:tc>
        <w:tc>
          <w:tcPr>
            <w:tcW w:type="dxa" w:w="2769"/>
          </w:tcPr>
          <w:p>
            <w:pPr>
              <w:pStyle w:val="null3"/>
            </w:pPr>
            <w:r>
              <w:rPr/>
              <w:t>5.内置锂电池，断电后可持续使用；</w:t>
            </w:r>
          </w:p>
        </w:tc>
      </w:tr>
      <w:tr>
        <w:tc>
          <w:tcPr>
            <w:tcW w:type="dxa" w:w="2769"/>
          </w:tcPr>
          <w:p/>
        </w:tc>
        <w:tc>
          <w:tcPr>
            <w:tcW w:type="dxa" w:w="2769"/>
          </w:tcPr>
          <w:p>
            <w:pPr>
              <w:pStyle w:val="null3"/>
            </w:pPr>
            <w:r>
              <w:rPr/>
              <w:t>6</w:t>
            </w:r>
          </w:p>
        </w:tc>
        <w:tc>
          <w:tcPr>
            <w:tcW w:type="dxa" w:w="2769"/>
          </w:tcPr>
          <w:p>
            <w:pPr>
              <w:pStyle w:val="null3"/>
            </w:pPr>
            <w:r>
              <w:rPr/>
              <w:t>6.与后台服务器数据交互认证符合标准网络协议；</w:t>
            </w:r>
          </w:p>
        </w:tc>
      </w:tr>
      <w:tr>
        <w:tc>
          <w:tcPr>
            <w:tcW w:type="dxa" w:w="2769"/>
          </w:tcPr>
          <w:p/>
        </w:tc>
        <w:tc>
          <w:tcPr>
            <w:tcW w:type="dxa" w:w="2769"/>
          </w:tcPr>
          <w:p>
            <w:pPr>
              <w:pStyle w:val="null3"/>
            </w:pPr>
            <w:r>
              <w:rPr/>
              <w:t>7</w:t>
            </w:r>
          </w:p>
        </w:tc>
        <w:tc>
          <w:tcPr>
            <w:tcW w:type="dxa" w:w="2769"/>
          </w:tcPr>
          <w:p>
            <w:pPr>
              <w:pStyle w:val="null3"/>
            </w:pPr>
            <w:r>
              <w:rPr/>
              <w:t>7.具备自动记录药盒开盖功能,自动检测患者服药动作功能，自动记录患者服药数据，实时上传后台服务器；</w:t>
            </w:r>
          </w:p>
        </w:tc>
      </w:tr>
      <w:tr>
        <w:tc>
          <w:tcPr>
            <w:tcW w:type="dxa" w:w="2769"/>
          </w:tcPr>
          <w:p/>
        </w:tc>
        <w:tc>
          <w:tcPr>
            <w:tcW w:type="dxa" w:w="2769"/>
          </w:tcPr>
          <w:p>
            <w:pPr>
              <w:pStyle w:val="null3"/>
            </w:pPr>
            <w:r>
              <w:rPr/>
              <w:t>8</w:t>
            </w:r>
          </w:p>
        </w:tc>
        <w:tc>
          <w:tcPr>
            <w:tcW w:type="dxa" w:w="2769"/>
          </w:tcPr>
          <w:p>
            <w:pPr>
              <w:pStyle w:val="null3"/>
            </w:pPr>
            <w:r>
              <w:rPr/>
              <w:t>8.具备人工语音功能提示（例如：祝您早日康复，网络已连接等）功能</w:t>
            </w:r>
          </w:p>
        </w:tc>
      </w:tr>
      <w:tr>
        <w:tc>
          <w:tcPr>
            <w:tcW w:type="dxa" w:w="2769"/>
          </w:tcPr>
          <w:p/>
        </w:tc>
        <w:tc>
          <w:tcPr>
            <w:tcW w:type="dxa" w:w="2769"/>
          </w:tcPr>
          <w:p>
            <w:pPr>
              <w:pStyle w:val="null3"/>
            </w:pPr>
            <w:r>
              <w:rPr/>
              <w:t>9</w:t>
            </w:r>
          </w:p>
        </w:tc>
        <w:tc>
          <w:tcPr>
            <w:tcW w:type="dxa" w:w="2769"/>
          </w:tcPr>
          <w:p>
            <w:pPr>
              <w:pStyle w:val="null3"/>
            </w:pPr>
            <w:r>
              <w:rPr/>
              <w:t>9.具备服药时间LED灯光服药提醒功能；</w:t>
            </w:r>
          </w:p>
        </w:tc>
      </w:tr>
      <w:tr>
        <w:tc>
          <w:tcPr>
            <w:tcW w:type="dxa" w:w="2769"/>
          </w:tcPr>
          <w:p/>
        </w:tc>
        <w:tc>
          <w:tcPr>
            <w:tcW w:type="dxa" w:w="2769"/>
          </w:tcPr>
          <w:p>
            <w:pPr>
              <w:pStyle w:val="null3"/>
            </w:pPr>
            <w:r>
              <w:rPr/>
              <w:t>10</w:t>
            </w:r>
          </w:p>
        </w:tc>
        <w:tc>
          <w:tcPr>
            <w:tcW w:type="dxa" w:w="2769"/>
          </w:tcPr>
          <w:p>
            <w:pPr>
              <w:pStyle w:val="null3"/>
            </w:pPr>
            <w:r>
              <w:rPr/>
              <w:t>10.具备随访确认键功能；</w:t>
            </w:r>
          </w:p>
        </w:tc>
      </w:tr>
      <w:tr>
        <w:tc>
          <w:tcPr>
            <w:tcW w:type="dxa" w:w="2769"/>
          </w:tcPr>
          <w:p/>
        </w:tc>
        <w:tc>
          <w:tcPr>
            <w:tcW w:type="dxa" w:w="2769"/>
          </w:tcPr>
          <w:p>
            <w:pPr>
              <w:pStyle w:val="null3"/>
            </w:pPr>
            <w:r>
              <w:rPr/>
              <w:t>11</w:t>
            </w:r>
          </w:p>
        </w:tc>
        <w:tc>
          <w:tcPr>
            <w:tcW w:type="dxa" w:w="2769"/>
          </w:tcPr>
          <w:p>
            <w:pPr>
              <w:pStyle w:val="null3"/>
            </w:pPr>
            <w:r>
              <w:rPr/>
              <w:t>11.具备复诊提醒灯功能；</w:t>
            </w:r>
          </w:p>
        </w:tc>
      </w:tr>
      <w:tr>
        <w:tc>
          <w:tcPr>
            <w:tcW w:type="dxa" w:w="2769"/>
          </w:tcPr>
          <w:p/>
        </w:tc>
        <w:tc>
          <w:tcPr>
            <w:tcW w:type="dxa" w:w="2769"/>
          </w:tcPr>
          <w:p>
            <w:pPr>
              <w:pStyle w:val="null3"/>
            </w:pPr>
            <w:r>
              <w:rPr/>
              <w:t>12</w:t>
            </w:r>
          </w:p>
        </w:tc>
        <w:tc>
          <w:tcPr>
            <w:tcW w:type="dxa" w:w="2769"/>
          </w:tcPr>
          <w:p>
            <w:pPr>
              <w:pStyle w:val="null3"/>
            </w:pPr>
            <w:r>
              <w:rPr/>
              <w:t>12.网络信号指示灯</w:t>
            </w:r>
          </w:p>
        </w:tc>
      </w:tr>
      <w:tr>
        <w:tc>
          <w:tcPr>
            <w:tcW w:type="dxa" w:w="2769"/>
          </w:tcPr>
          <w:p/>
        </w:tc>
        <w:tc>
          <w:tcPr>
            <w:tcW w:type="dxa" w:w="2769"/>
          </w:tcPr>
          <w:p>
            <w:pPr>
              <w:pStyle w:val="null3"/>
            </w:pPr>
            <w:r>
              <w:rPr/>
              <w:t>13</w:t>
            </w:r>
          </w:p>
        </w:tc>
        <w:tc>
          <w:tcPr>
            <w:tcW w:type="dxa" w:w="2769"/>
          </w:tcPr>
          <w:p>
            <w:pPr>
              <w:pStyle w:val="null3"/>
            </w:pPr>
            <w:r>
              <w:rPr>
                <w:sz w:val="21"/>
              </w:rPr>
              <w:t>二、配套结核病管理云平台总体要求</w:t>
            </w:r>
          </w:p>
          <w:p>
            <w:pPr>
              <w:pStyle w:val="null3"/>
            </w:pPr>
            <w:r>
              <w:rPr>
                <w:sz w:val="21"/>
              </w:rPr>
              <w:t>1.信息平台部署在承担全市结核病防治工作的结核病定点医院、乡镇卫生院/社区卫生服务中心和村卫生室/社区卫生服务站。对于工作机构，具备电脑端和手机终端相关业务操作；对于患者，支持手机端和电子药盒终端。</w:t>
            </w:r>
          </w:p>
        </w:tc>
      </w:tr>
      <w:tr>
        <w:tc>
          <w:tcPr>
            <w:tcW w:type="dxa" w:w="2769"/>
          </w:tcPr>
          <w:p/>
        </w:tc>
        <w:tc>
          <w:tcPr>
            <w:tcW w:type="dxa" w:w="2769"/>
          </w:tcPr>
          <w:p>
            <w:pPr>
              <w:pStyle w:val="null3"/>
            </w:pPr>
            <w:r>
              <w:rPr/>
              <w:t>14</w:t>
            </w:r>
          </w:p>
        </w:tc>
        <w:tc>
          <w:tcPr>
            <w:tcW w:type="dxa" w:w="2769"/>
          </w:tcPr>
          <w:p>
            <w:pPr>
              <w:pStyle w:val="null3"/>
            </w:pPr>
            <w:r>
              <w:rPr/>
              <w:t>2.手机端支持安卓、苹果操作系统。</w:t>
            </w:r>
          </w:p>
        </w:tc>
      </w:tr>
      <w:tr>
        <w:tc>
          <w:tcPr>
            <w:tcW w:type="dxa" w:w="2769"/>
          </w:tcPr>
          <w:p/>
        </w:tc>
        <w:tc>
          <w:tcPr>
            <w:tcW w:type="dxa" w:w="2769"/>
          </w:tcPr>
          <w:p>
            <w:pPr>
              <w:pStyle w:val="null3"/>
            </w:pPr>
            <w:r>
              <w:rPr/>
              <w:t>15</w:t>
            </w:r>
          </w:p>
        </w:tc>
        <w:tc>
          <w:tcPr>
            <w:tcW w:type="dxa" w:w="2769"/>
          </w:tcPr>
          <w:p>
            <w:pPr>
              <w:pStyle w:val="null3"/>
            </w:pPr>
            <w:r>
              <w:rPr/>
              <w:t>3.支持各级机构用户查看患者推介、追踪、健康管理等数据；</w:t>
            </w:r>
          </w:p>
        </w:tc>
      </w:tr>
      <w:tr>
        <w:tc>
          <w:tcPr>
            <w:tcW w:type="dxa" w:w="2769"/>
          </w:tcPr>
          <w:p/>
        </w:tc>
        <w:tc>
          <w:tcPr>
            <w:tcW w:type="dxa" w:w="2769"/>
          </w:tcPr>
          <w:p>
            <w:pPr>
              <w:pStyle w:val="null3"/>
            </w:pPr>
            <w:r>
              <w:rPr/>
              <w:t>16</w:t>
            </w:r>
          </w:p>
        </w:tc>
        <w:tc>
          <w:tcPr>
            <w:tcW w:type="dxa" w:w="2769"/>
          </w:tcPr>
          <w:p>
            <w:pPr>
              <w:pStyle w:val="null3"/>
            </w:pPr>
            <w:r>
              <w:rPr/>
              <w:t>4.支持基层工作人员使用手机微信小程序管理患者；</w:t>
            </w:r>
          </w:p>
        </w:tc>
      </w:tr>
      <w:tr>
        <w:tc>
          <w:tcPr>
            <w:tcW w:type="dxa" w:w="2769"/>
          </w:tcPr>
          <w:p/>
        </w:tc>
        <w:tc>
          <w:tcPr>
            <w:tcW w:type="dxa" w:w="2769"/>
          </w:tcPr>
          <w:p>
            <w:pPr>
              <w:pStyle w:val="null3"/>
            </w:pPr>
            <w:r>
              <w:rPr/>
              <w:t>17</w:t>
            </w:r>
          </w:p>
        </w:tc>
        <w:tc>
          <w:tcPr>
            <w:tcW w:type="dxa" w:w="2769"/>
          </w:tcPr>
          <w:p>
            <w:pPr>
              <w:pStyle w:val="null3"/>
            </w:pPr>
            <w:r>
              <w:rPr/>
              <w:t>5.支持患者使用微信小程序和结核病智能电子药盒，辅助患者服药、复诊、访视；</w:t>
            </w:r>
          </w:p>
        </w:tc>
      </w:tr>
      <w:tr>
        <w:tc>
          <w:tcPr>
            <w:tcW w:type="dxa" w:w="2769"/>
          </w:tcPr>
          <w:p/>
        </w:tc>
        <w:tc>
          <w:tcPr>
            <w:tcW w:type="dxa" w:w="2769"/>
          </w:tcPr>
          <w:p>
            <w:pPr>
              <w:pStyle w:val="null3"/>
            </w:pPr>
            <w:r>
              <w:rPr/>
              <w:t>18</w:t>
            </w:r>
          </w:p>
        </w:tc>
        <w:tc>
          <w:tcPr>
            <w:tcW w:type="dxa" w:w="2769"/>
          </w:tcPr>
          <w:p>
            <w:pPr>
              <w:pStyle w:val="null3"/>
            </w:pPr>
            <w:r>
              <w:rPr/>
              <w:t>6.支持管理员对云平台内结核病药品种类配置管理；</w:t>
            </w:r>
          </w:p>
        </w:tc>
      </w:tr>
      <w:tr>
        <w:tc>
          <w:tcPr>
            <w:tcW w:type="dxa" w:w="2769"/>
          </w:tcPr>
          <w:p>
            <w:pPr>
              <w:pStyle w:val="null3"/>
            </w:pPr>
            <w:r>
              <w:rPr/>
              <w:t>▲</w:t>
            </w:r>
          </w:p>
        </w:tc>
        <w:tc>
          <w:tcPr>
            <w:tcW w:type="dxa" w:w="2769"/>
          </w:tcPr>
          <w:p>
            <w:pPr>
              <w:pStyle w:val="null3"/>
            </w:pPr>
            <w:r>
              <w:rPr/>
              <w:t>19</w:t>
            </w:r>
          </w:p>
        </w:tc>
        <w:tc>
          <w:tcPr>
            <w:tcW w:type="dxa" w:w="2769"/>
          </w:tcPr>
          <w:p>
            <w:pPr>
              <w:pStyle w:val="null3"/>
            </w:pPr>
            <w:r>
              <w:rPr/>
              <w:t>7.支持管理员对云平台内结核病治疗方案配置管理；</w:t>
            </w:r>
          </w:p>
        </w:tc>
      </w:tr>
      <w:tr>
        <w:tc>
          <w:tcPr>
            <w:tcW w:type="dxa" w:w="2769"/>
          </w:tcPr>
          <w:p/>
        </w:tc>
        <w:tc>
          <w:tcPr>
            <w:tcW w:type="dxa" w:w="2769"/>
          </w:tcPr>
          <w:p>
            <w:pPr>
              <w:pStyle w:val="null3"/>
            </w:pPr>
            <w:r>
              <w:rPr/>
              <w:t>20</w:t>
            </w:r>
          </w:p>
        </w:tc>
        <w:tc>
          <w:tcPr>
            <w:tcW w:type="dxa" w:w="2769"/>
          </w:tcPr>
          <w:p>
            <w:pPr>
              <w:pStyle w:val="null3"/>
            </w:pPr>
            <w:r>
              <w:rPr/>
              <w:t>8.支持管理员对健康教育推送信息管理；</w:t>
            </w:r>
          </w:p>
        </w:tc>
      </w:tr>
      <w:tr>
        <w:tc>
          <w:tcPr>
            <w:tcW w:type="dxa" w:w="2769"/>
          </w:tcPr>
          <w:p/>
        </w:tc>
        <w:tc>
          <w:tcPr>
            <w:tcW w:type="dxa" w:w="2769"/>
          </w:tcPr>
          <w:p>
            <w:pPr>
              <w:pStyle w:val="null3"/>
            </w:pPr>
            <w:r>
              <w:rPr/>
              <w:t>21</w:t>
            </w:r>
          </w:p>
        </w:tc>
        <w:tc>
          <w:tcPr>
            <w:tcW w:type="dxa" w:w="2769"/>
          </w:tcPr>
          <w:p>
            <w:pPr>
              <w:pStyle w:val="null3"/>
            </w:pPr>
            <w:r>
              <w:rPr/>
              <w:t>9.支持管理员对资讯消息的管理；</w:t>
            </w:r>
          </w:p>
        </w:tc>
      </w:tr>
      <w:tr>
        <w:tc>
          <w:tcPr>
            <w:tcW w:type="dxa" w:w="2769"/>
          </w:tcPr>
          <w:p/>
        </w:tc>
        <w:tc>
          <w:tcPr>
            <w:tcW w:type="dxa" w:w="2769"/>
          </w:tcPr>
          <w:p>
            <w:pPr>
              <w:pStyle w:val="null3"/>
            </w:pPr>
            <w:r>
              <w:rPr/>
              <w:t>22</w:t>
            </w:r>
          </w:p>
        </w:tc>
        <w:tc>
          <w:tcPr>
            <w:tcW w:type="dxa" w:w="2769"/>
          </w:tcPr>
          <w:p>
            <w:pPr>
              <w:pStyle w:val="null3"/>
            </w:pPr>
            <w:r>
              <w:rPr/>
              <w:t>10.云平台信息系统符合国家三级等保要求。</w:t>
            </w:r>
          </w:p>
        </w:tc>
      </w:tr>
      <w:tr>
        <w:tc>
          <w:tcPr>
            <w:tcW w:type="dxa" w:w="2769"/>
          </w:tcPr>
          <w:p/>
        </w:tc>
        <w:tc>
          <w:tcPr>
            <w:tcW w:type="dxa" w:w="2769"/>
          </w:tcPr>
          <w:p>
            <w:pPr>
              <w:pStyle w:val="null3"/>
            </w:pPr>
            <w:r>
              <w:rPr/>
              <w:t>23</w:t>
            </w:r>
          </w:p>
        </w:tc>
        <w:tc>
          <w:tcPr>
            <w:tcW w:type="dxa" w:w="2769"/>
          </w:tcPr>
          <w:p>
            <w:pPr>
              <w:pStyle w:val="null3"/>
            </w:pPr>
            <w:r>
              <w:rPr/>
              <w:t>11.云平台软件部署要求：电脑端CPU：≥4vCPUs；内存：≥16G；硬盘：≥100G；带宽：≥10M。</w:t>
            </w:r>
          </w:p>
        </w:tc>
      </w:tr>
      <w:tr>
        <w:tc>
          <w:tcPr>
            <w:tcW w:type="dxa" w:w="2769"/>
          </w:tcPr>
          <w:p/>
        </w:tc>
        <w:tc>
          <w:tcPr>
            <w:tcW w:type="dxa" w:w="2769"/>
          </w:tcPr>
          <w:p>
            <w:pPr>
              <w:pStyle w:val="null3"/>
            </w:pPr>
            <w:r>
              <w:rPr/>
              <w:t>24</w:t>
            </w:r>
          </w:p>
        </w:tc>
        <w:tc>
          <w:tcPr>
            <w:tcW w:type="dxa" w:w="2769"/>
          </w:tcPr>
          <w:p>
            <w:pPr>
              <w:pStyle w:val="null3"/>
            </w:pPr>
            <w:r>
              <w:rPr/>
              <w:t>12.本项目工期1个月内完成项目建设，质保期2年，质保期内提供软件各模块下优化升级；电子药盒GSM卡支持4G网络；支持手机端远程在线版本更新；中标人提供服务端云环境资源租用费用，若系统后续需要迁移，中标人技术人员提供相应技术服务。</w:t>
            </w:r>
          </w:p>
        </w:tc>
      </w:tr>
      <w:tr>
        <w:tc>
          <w:tcPr>
            <w:tcW w:type="dxa" w:w="2769"/>
          </w:tcPr>
          <w:p/>
        </w:tc>
        <w:tc>
          <w:tcPr>
            <w:tcW w:type="dxa" w:w="2769"/>
          </w:tcPr>
          <w:p>
            <w:pPr>
              <w:pStyle w:val="null3"/>
            </w:pPr>
            <w:r>
              <w:rPr/>
              <w:t>25</w:t>
            </w:r>
          </w:p>
        </w:tc>
        <w:tc>
          <w:tcPr>
            <w:tcW w:type="dxa" w:w="2769"/>
          </w:tcPr>
          <w:p>
            <w:pPr>
              <w:pStyle w:val="null3"/>
            </w:pPr>
            <w:r>
              <w:rPr/>
              <w:t>13.支持所投软件产品结核病管理云平台与其他系统平台对接，中标人提供技术人员，配合采购方完成相关对接工作。本项对接工作不得额未收费。</w:t>
            </w:r>
          </w:p>
        </w:tc>
      </w:tr>
      <w:tr>
        <w:tc>
          <w:tcPr>
            <w:tcW w:type="dxa" w:w="2769"/>
          </w:tcPr>
          <w:p/>
        </w:tc>
        <w:tc>
          <w:tcPr>
            <w:tcW w:type="dxa" w:w="2769"/>
          </w:tcPr>
          <w:p>
            <w:pPr>
              <w:pStyle w:val="null3"/>
            </w:pPr>
            <w:r>
              <w:rPr/>
              <w:t>26</w:t>
            </w:r>
          </w:p>
        </w:tc>
        <w:tc>
          <w:tcPr>
            <w:tcW w:type="dxa" w:w="2769"/>
          </w:tcPr>
          <w:p>
            <w:pPr>
              <w:pStyle w:val="null3"/>
            </w:pPr>
            <w:r>
              <w:rPr>
                <w:sz w:val="21"/>
              </w:rPr>
              <w:t>三、市、区县医疗管理机构PC端功能</w:t>
            </w:r>
          </w:p>
          <w:p>
            <w:pPr>
              <w:pStyle w:val="null3"/>
            </w:pPr>
            <w:r>
              <w:rPr>
                <w:sz w:val="21"/>
              </w:rPr>
              <w:t>1.支持疾控管理员对患者推介记录的查询、导出；</w:t>
            </w:r>
          </w:p>
        </w:tc>
      </w:tr>
      <w:tr>
        <w:tc>
          <w:tcPr>
            <w:tcW w:type="dxa" w:w="2769"/>
          </w:tcPr>
          <w:p/>
        </w:tc>
        <w:tc>
          <w:tcPr>
            <w:tcW w:type="dxa" w:w="2769"/>
          </w:tcPr>
          <w:p>
            <w:pPr>
              <w:pStyle w:val="null3"/>
            </w:pPr>
            <w:r>
              <w:rPr/>
              <w:t>27</w:t>
            </w:r>
          </w:p>
        </w:tc>
        <w:tc>
          <w:tcPr>
            <w:tcW w:type="dxa" w:w="2769"/>
          </w:tcPr>
          <w:p>
            <w:pPr>
              <w:pStyle w:val="null3"/>
            </w:pPr>
            <w:r>
              <w:rPr/>
              <w:t>2.支持疾控管理员对患者追踪记录的发起、查询、导出</w:t>
            </w:r>
          </w:p>
        </w:tc>
      </w:tr>
      <w:tr>
        <w:tc>
          <w:tcPr>
            <w:tcW w:type="dxa" w:w="2769"/>
          </w:tcPr>
          <w:p/>
        </w:tc>
        <w:tc>
          <w:tcPr>
            <w:tcW w:type="dxa" w:w="2769"/>
          </w:tcPr>
          <w:p>
            <w:pPr>
              <w:pStyle w:val="null3"/>
            </w:pPr>
            <w:r>
              <w:rPr/>
              <w:t>28</w:t>
            </w:r>
          </w:p>
        </w:tc>
        <w:tc>
          <w:tcPr>
            <w:tcW w:type="dxa" w:w="2769"/>
          </w:tcPr>
          <w:p>
            <w:pPr>
              <w:pStyle w:val="null3"/>
            </w:pPr>
            <w:r>
              <w:rPr/>
              <w:t>3.支持疾控管理员对患者就医管理业务的查询、导出，即通知单管理、访视管理、服药管理、复诊管理、停止治疗、分级诊疗；</w:t>
            </w:r>
          </w:p>
        </w:tc>
      </w:tr>
      <w:tr>
        <w:tc>
          <w:tcPr>
            <w:tcW w:type="dxa" w:w="2769"/>
          </w:tcPr>
          <w:p/>
        </w:tc>
        <w:tc>
          <w:tcPr>
            <w:tcW w:type="dxa" w:w="2769"/>
          </w:tcPr>
          <w:p>
            <w:pPr>
              <w:pStyle w:val="null3"/>
            </w:pPr>
            <w:r>
              <w:rPr/>
              <w:t>29</w:t>
            </w:r>
          </w:p>
        </w:tc>
        <w:tc>
          <w:tcPr>
            <w:tcW w:type="dxa" w:w="2769"/>
          </w:tcPr>
          <w:p>
            <w:pPr>
              <w:pStyle w:val="null3"/>
            </w:pPr>
            <w:r>
              <w:rPr/>
              <w:t>4.支持疾控管理员批量导入结核病专报系统病案基本信息；</w:t>
            </w:r>
          </w:p>
        </w:tc>
      </w:tr>
      <w:tr>
        <w:tc>
          <w:tcPr>
            <w:tcW w:type="dxa" w:w="2769"/>
          </w:tcPr>
          <w:p/>
        </w:tc>
        <w:tc>
          <w:tcPr>
            <w:tcW w:type="dxa" w:w="2769"/>
          </w:tcPr>
          <w:p>
            <w:pPr>
              <w:pStyle w:val="null3"/>
            </w:pPr>
            <w:r>
              <w:rPr/>
              <w:t>30</w:t>
            </w:r>
          </w:p>
        </w:tc>
        <w:tc>
          <w:tcPr>
            <w:tcW w:type="dxa" w:w="2769"/>
          </w:tcPr>
          <w:p>
            <w:pPr>
              <w:pStyle w:val="null3"/>
            </w:pPr>
            <w:r>
              <w:rPr/>
              <w:t>5.支持疾控管理员对密接者管理数据的查询、导出；</w:t>
            </w:r>
          </w:p>
        </w:tc>
      </w:tr>
      <w:tr>
        <w:tc>
          <w:tcPr>
            <w:tcW w:type="dxa" w:w="2769"/>
          </w:tcPr>
          <w:p/>
        </w:tc>
        <w:tc>
          <w:tcPr>
            <w:tcW w:type="dxa" w:w="2769"/>
          </w:tcPr>
          <w:p>
            <w:pPr>
              <w:pStyle w:val="null3"/>
            </w:pPr>
            <w:r>
              <w:rPr/>
              <w:t>31</w:t>
            </w:r>
          </w:p>
        </w:tc>
        <w:tc>
          <w:tcPr>
            <w:tcW w:type="dxa" w:w="2769"/>
          </w:tcPr>
          <w:p>
            <w:pPr>
              <w:pStyle w:val="null3"/>
            </w:pPr>
            <w:r>
              <w:rPr/>
              <w:t>6.支持疾控管理员对辖区内患者社区化疗异常报告数据进行查询、导出；</w:t>
            </w:r>
          </w:p>
        </w:tc>
      </w:tr>
      <w:tr>
        <w:tc>
          <w:tcPr>
            <w:tcW w:type="dxa" w:w="2769"/>
          </w:tcPr>
          <w:p>
            <w:pPr>
              <w:pStyle w:val="null3"/>
            </w:pPr>
            <w:r>
              <w:rPr/>
              <w:t>▲</w:t>
            </w:r>
          </w:p>
        </w:tc>
        <w:tc>
          <w:tcPr>
            <w:tcW w:type="dxa" w:w="2769"/>
          </w:tcPr>
          <w:p>
            <w:pPr>
              <w:pStyle w:val="null3"/>
            </w:pPr>
            <w:r>
              <w:rPr/>
              <w:t>32</w:t>
            </w:r>
          </w:p>
        </w:tc>
        <w:tc>
          <w:tcPr>
            <w:tcW w:type="dxa" w:w="2769"/>
          </w:tcPr>
          <w:p>
            <w:pPr>
              <w:pStyle w:val="null3"/>
            </w:pPr>
            <w:r>
              <w:rPr>
                <w:sz w:val="21"/>
              </w:rPr>
              <w:t>7.支持疾控管理员对重点人群（耐药患者、老年人、糖尿病患者、HIV患者）登记数据进行查询、导出；</w:t>
            </w:r>
          </w:p>
        </w:tc>
      </w:tr>
      <w:tr>
        <w:tc>
          <w:tcPr>
            <w:tcW w:type="dxa" w:w="2769"/>
          </w:tcPr>
          <w:p/>
        </w:tc>
        <w:tc>
          <w:tcPr>
            <w:tcW w:type="dxa" w:w="2769"/>
          </w:tcPr>
          <w:p>
            <w:pPr>
              <w:pStyle w:val="null3"/>
            </w:pPr>
            <w:r>
              <w:rPr/>
              <w:t>33</w:t>
            </w:r>
          </w:p>
        </w:tc>
        <w:tc>
          <w:tcPr>
            <w:tcW w:type="dxa" w:w="2769"/>
          </w:tcPr>
          <w:p>
            <w:pPr>
              <w:pStyle w:val="null3"/>
            </w:pPr>
            <w:r>
              <w:rPr/>
              <w:t>8.支持疾控管理员进行系统设置，即区划管理、机构维护、用户管理、角色管理；</w:t>
            </w:r>
          </w:p>
        </w:tc>
      </w:tr>
      <w:tr>
        <w:tc>
          <w:tcPr>
            <w:tcW w:type="dxa" w:w="2769"/>
          </w:tcPr>
          <w:p/>
        </w:tc>
        <w:tc>
          <w:tcPr>
            <w:tcW w:type="dxa" w:w="2769"/>
          </w:tcPr>
          <w:p>
            <w:pPr>
              <w:pStyle w:val="null3"/>
            </w:pPr>
            <w:r>
              <w:rPr/>
              <w:t>34</w:t>
            </w:r>
          </w:p>
        </w:tc>
        <w:tc>
          <w:tcPr>
            <w:tcW w:type="dxa" w:w="2769"/>
          </w:tcPr>
          <w:p>
            <w:pPr>
              <w:pStyle w:val="null3"/>
            </w:pPr>
            <w:r>
              <w:rPr/>
              <w:t>9.支持疾控管理员批量导入机构和用户信息，批量创建账号</w:t>
            </w:r>
          </w:p>
        </w:tc>
      </w:tr>
      <w:tr>
        <w:tc>
          <w:tcPr>
            <w:tcW w:type="dxa" w:w="2769"/>
          </w:tcPr>
          <w:p/>
        </w:tc>
        <w:tc>
          <w:tcPr>
            <w:tcW w:type="dxa" w:w="2769"/>
          </w:tcPr>
          <w:p>
            <w:pPr>
              <w:pStyle w:val="null3"/>
            </w:pPr>
            <w:r>
              <w:rPr/>
              <w:t>35</w:t>
            </w:r>
          </w:p>
        </w:tc>
        <w:tc>
          <w:tcPr>
            <w:tcW w:type="dxa" w:w="2769"/>
          </w:tcPr>
          <w:p>
            <w:pPr>
              <w:pStyle w:val="null3"/>
            </w:pPr>
            <w:r>
              <w:rPr/>
              <w:t>10.支持疾控管理员对健康教育计划配置；</w:t>
            </w:r>
          </w:p>
        </w:tc>
      </w:tr>
      <w:tr>
        <w:tc>
          <w:tcPr>
            <w:tcW w:type="dxa" w:w="2769"/>
          </w:tcPr>
          <w:p/>
        </w:tc>
        <w:tc>
          <w:tcPr>
            <w:tcW w:type="dxa" w:w="2769"/>
          </w:tcPr>
          <w:p>
            <w:pPr>
              <w:pStyle w:val="null3"/>
            </w:pPr>
            <w:r>
              <w:rPr/>
              <w:t>36</w:t>
            </w:r>
          </w:p>
        </w:tc>
        <w:tc>
          <w:tcPr>
            <w:tcW w:type="dxa" w:w="2769"/>
          </w:tcPr>
          <w:p>
            <w:pPr>
              <w:pStyle w:val="null3"/>
            </w:pPr>
            <w:r>
              <w:rPr/>
              <w:t>11.支持疾控管理员对权限内数据的统计监测；</w:t>
            </w:r>
          </w:p>
        </w:tc>
      </w:tr>
      <w:tr>
        <w:tc>
          <w:tcPr>
            <w:tcW w:type="dxa" w:w="2769"/>
          </w:tcPr>
          <w:p>
            <w:pPr>
              <w:pStyle w:val="null3"/>
            </w:pPr>
            <w:r>
              <w:rPr/>
              <w:t>▲</w:t>
            </w:r>
          </w:p>
        </w:tc>
        <w:tc>
          <w:tcPr>
            <w:tcW w:type="dxa" w:w="2769"/>
          </w:tcPr>
          <w:p>
            <w:pPr>
              <w:pStyle w:val="null3"/>
            </w:pPr>
            <w:r>
              <w:rPr/>
              <w:t>37</w:t>
            </w:r>
          </w:p>
        </w:tc>
        <w:tc>
          <w:tcPr>
            <w:tcW w:type="dxa" w:w="2769"/>
          </w:tcPr>
          <w:p>
            <w:pPr>
              <w:pStyle w:val="null3"/>
            </w:pPr>
            <w:r>
              <w:rPr>
                <w:sz w:val="21"/>
              </w:rPr>
              <w:t>12.支持疾控管理员对权限内数据的统计分析和GIS展示，包括推介、追踪、患者管理、主动筛查、预防管理、等核心业务指标；GIS展示支持统计数据图表展示，支持按年度、季度进行统计，支持电子地图数据钻探。</w:t>
            </w:r>
          </w:p>
        </w:tc>
      </w:tr>
      <w:tr>
        <w:tc>
          <w:tcPr>
            <w:tcW w:type="dxa" w:w="2769"/>
          </w:tcPr>
          <w:p/>
        </w:tc>
        <w:tc>
          <w:tcPr>
            <w:tcW w:type="dxa" w:w="2769"/>
          </w:tcPr>
          <w:p>
            <w:pPr>
              <w:pStyle w:val="null3"/>
            </w:pPr>
            <w:r>
              <w:rPr/>
              <w:t>38</w:t>
            </w:r>
          </w:p>
        </w:tc>
        <w:tc>
          <w:tcPr>
            <w:tcW w:type="dxa" w:w="2769"/>
          </w:tcPr>
          <w:p>
            <w:pPr>
              <w:pStyle w:val="null3"/>
            </w:pPr>
            <w:r>
              <w:rPr>
                <w:sz w:val="21"/>
              </w:rPr>
              <w:t>四、与省级平台参数对接功能</w:t>
            </w:r>
          </w:p>
          <w:p>
            <w:pPr>
              <w:pStyle w:val="null3"/>
            </w:pPr>
            <w:r>
              <w:rPr>
                <w:sz w:val="21"/>
              </w:rPr>
              <w:t>1.本次采购结核病智能电子药盒须和上述陕西省结核病防治信息化平台相匹配；</w:t>
            </w:r>
          </w:p>
        </w:tc>
      </w:tr>
      <w:tr>
        <w:tc>
          <w:tcPr>
            <w:tcW w:type="dxa" w:w="2769"/>
          </w:tcPr>
          <w:p/>
        </w:tc>
        <w:tc>
          <w:tcPr>
            <w:tcW w:type="dxa" w:w="2769"/>
          </w:tcPr>
          <w:p>
            <w:pPr>
              <w:pStyle w:val="null3"/>
            </w:pPr>
            <w:r>
              <w:rPr/>
              <w:t>39</w:t>
            </w:r>
          </w:p>
        </w:tc>
        <w:tc>
          <w:tcPr>
            <w:tcW w:type="dxa" w:w="2769"/>
          </w:tcPr>
          <w:p>
            <w:pPr>
              <w:pStyle w:val="null3"/>
            </w:pPr>
            <w:r>
              <w:rPr/>
              <w:t>2.支持陕西省结核病防治信息化平台试点项目电子药盒服药数据与本项目结核病管理云平台对接。</w:t>
            </w:r>
          </w:p>
        </w:tc>
      </w:tr>
      <w:tr>
        <w:tc>
          <w:tcPr>
            <w:tcW w:type="dxa" w:w="2769"/>
          </w:tcPr>
          <w:p/>
        </w:tc>
        <w:tc>
          <w:tcPr>
            <w:tcW w:type="dxa" w:w="2769"/>
          </w:tcPr>
          <w:p>
            <w:pPr>
              <w:pStyle w:val="null3"/>
            </w:pPr>
            <w:r>
              <w:rPr/>
              <w:t>40</w:t>
            </w:r>
          </w:p>
        </w:tc>
        <w:tc>
          <w:tcPr>
            <w:tcW w:type="dxa" w:w="2769"/>
          </w:tcPr>
          <w:p>
            <w:pPr>
              <w:pStyle w:val="null3"/>
            </w:pPr>
            <w:r>
              <w:rPr>
                <w:sz w:val="21"/>
              </w:rPr>
              <w:t>五、市、区县定点医院医生PC端功能</w:t>
            </w:r>
          </w:p>
          <w:p>
            <w:pPr>
              <w:pStyle w:val="null3"/>
            </w:pPr>
            <w:r>
              <w:rPr>
                <w:sz w:val="21"/>
              </w:rPr>
              <w:t>1.支持定点医院医生对患者推介的管理；</w:t>
            </w:r>
          </w:p>
        </w:tc>
      </w:tr>
      <w:tr>
        <w:tc>
          <w:tcPr>
            <w:tcW w:type="dxa" w:w="2769"/>
          </w:tcPr>
          <w:p/>
        </w:tc>
        <w:tc>
          <w:tcPr>
            <w:tcW w:type="dxa" w:w="2769"/>
          </w:tcPr>
          <w:p>
            <w:pPr>
              <w:pStyle w:val="null3"/>
            </w:pPr>
            <w:r>
              <w:rPr/>
              <w:t>41</w:t>
            </w:r>
          </w:p>
        </w:tc>
        <w:tc>
          <w:tcPr>
            <w:tcW w:type="dxa" w:w="2769"/>
          </w:tcPr>
          <w:p>
            <w:pPr>
              <w:pStyle w:val="null3"/>
            </w:pPr>
            <w:r>
              <w:rPr/>
              <w:t>2.支持定点医院医生对患者追踪的管理；</w:t>
            </w:r>
          </w:p>
        </w:tc>
      </w:tr>
      <w:tr>
        <w:tc>
          <w:tcPr>
            <w:tcW w:type="dxa" w:w="2769"/>
          </w:tcPr>
          <w:p/>
        </w:tc>
        <w:tc>
          <w:tcPr>
            <w:tcW w:type="dxa" w:w="2769"/>
          </w:tcPr>
          <w:p>
            <w:pPr>
              <w:pStyle w:val="null3"/>
            </w:pPr>
            <w:r>
              <w:rPr/>
              <w:t>42</w:t>
            </w:r>
          </w:p>
        </w:tc>
        <w:tc>
          <w:tcPr>
            <w:tcW w:type="dxa" w:w="2769"/>
          </w:tcPr>
          <w:p>
            <w:pPr>
              <w:pStyle w:val="null3"/>
            </w:pPr>
            <w:r>
              <w:rPr/>
              <w:t>3.支持定点医院医生对患者的治疗管理通知单的管理；</w:t>
            </w:r>
          </w:p>
        </w:tc>
      </w:tr>
      <w:tr>
        <w:tc>
          <w:tcPr>
            <w:tcW w:type="dxa" w:w="2769"/>
          </w:tcPr>
          <w:p>
            <w:pPr>
              <w:pStyle w:val="null3"/>
            </w:pPr>
            <w:r>
              <w:rPr/>
              <w:t>▲</w:t>
            </w:r>
          </w:p>
        </w:tc>
        <w:tc>
          <w:tcPr>
            <w:tcW w:type="dxa" w:w="2769"/>
          </w:tcPr>
          <w:p>
            <w:pPr>
              <w:pStyle w:val="null3"/>
            </w:pPr>
            <w:r>
              <w:rPr/>
              <w:t>43</w:t>
            </w:r>
          </w:p>
        </w:tc>
        <w:tc>
          <w:tcPr>
            <w:tcW w:type="dxa" w:w="2769"/>
          </w:tcPr>
          <w:p>
            <w:pPr>
              <w:pStyle w:val="null3"/>
            </w:pPr>
            <w:r>
              <w:rPr>
                <w:sz w:val="21"/>
              </w:rPr>
              <w:t>4.支持定点医院医生批量导入结核病专报系统病案基本信息；</w:t>
            </w:r>
          </w:p>
        </w:tc>
      </w:tr>
      <w:tr>
        <w:tc>
          <w:tcPr>
            <w:tcW w:type="dxa" w:w="2769"/>
          </w:tcPr>
          <w:p/>
        </w:tc>
        <w:tc>
          <w:tcPr>
            <w:tcW w:type="dxa" w:w="2769"/>
          </w:tcPr>
          <w:p>
            <w:pPr>
              <w:pStyle w:val="null3"/>
            </w:pPr>
            <w:r>
              <w:rPr/>
              <w:t>44</w:t>
            </w:r>
          </w:p>
        </w:tc>
        <w:tc>
          <w:tcPr>
            <w:tcW w:type="dxa" w:w="2769"/>
          </w:tcPr>
          <w:p>
            <w:pPr>
              <w:pStyle w:val="null3"/>
            </w:pPr>
            <w:r>
              <w:rPr/>
              <w:t>5.支持定点医院医生对患者的服药管理；</w:t>
            </w:r>
          </w:p>
        </w:tc>
      </w:tr>
      <w:tr>
        <w:tc>
          <w:tcPr>
            <w:tcW w:type="dxa" w:w="2769"/>
          </w:tcPr>
          <w:p/>
        </w:tc>
        <w:tc>
          <w:tcPr>
            <w:tcW w:type="dxa" w:w="2769"/>
          </w:tcPr>
          <w:p>
            <w:pPr>
              <w:pStyle w:val="null3"/>
            </w:pPr>
            <w:r>
              <w:rPr/>
              <w:t>45</w:t>
            </w:r>
          </w:p>
        </w:tc>
        <w:tc>
          <w:tcPr>
            <w:tcW w:type="dxa" w:w="2769"/>
          </w:tcPr>
          <w:p>
            <w:pPr>
              <w:pStyle w:val="null3"/>
            </w:pPr>
            <w:r>
              <w:rPr/>
              <w:t>6.支持定点医院医生对患者的分级诊疗管理；</w:t>
            </w:r>
          </w:p>
        </w:tc>
      </w:tr>
      <w:tr>
        <w:tc>
          <w:tcPr>
            <w:tcW w:type="dxa" w:w="2769"/>
          </w:tcPr>
          <w:p/>
        </w:tc>
        <w:tc>
          <w:tcPr>
            <w:tcW w:type="dxa" w:w="2769"/>
          </w:tcPr>
          <w:p>
            <w:pPr>
              <w:pStyle w:val="null3"/>
            </w:pPr>
            <w:r>
              <w:rPr/>
              <w:t>46</w:t>
            </w:r>
          </w:p>
        </w:tc>
        <w:tc>
          <w:tcPr>
            <w:tcW w:type="dxa" w:w="2769"/>
          </w:tcPr>
          <w:p>
            <w:pPr>
              <w:pStyle w:val="null3"/>
            </w:pPr>
            <w:r>
              <w:rPr/>
              <w:t>7.支持定点医院医生对患者的停止治疗管理；</w:t>
            </w:r>
          </w:p>
        </w:tc>
      </w:tr>
      <w:tr>
        <w:tc>
          <w:tcPr>
            <w:tcW w:type="dxa" w:w="2769"/>
          </w:tcPr>
          <w:p/>
        </w:tc>
        <w:tc>
          <w:tcPr>
            <w:tcW w:type="dxa" w:w="2769"/>
          </w:tcPr>
          <w:p>
            <w:pPr>
              <w:pStyle w:val="null3"/>
            </w:pPr>
            <w:r>
              <w:rPr/>
              <w:t>47</w:t>
            </w:r>
          </w:p>
        </w:tc>
        <w:tc>
          <w:tcPr>
            <w:tcW w:type="dxa" w:w="2769"/>
          </w:tcPr>
          <w:p>
            <w:pPr>
              <w:pStyle w:val="null3"/>
            </w:pPr>
            <w:r>
              <w:rPr/>
              <w:t>8.支持定点医院医生对患者的预约复诊管理。</w:t>
            </w:r>
          </w:p>
        </w:tc>
      </w:tr>
      <w:tr>
        <w:tc>
          <w:tcPr>
            <w:tcW w:type="dxa" w:w="2769"/>
          </w:tcPr>
          <w:p>
            <w:pPr>
              <w:pStyle w:val="null3"/>
            </w:pPr>
            <w:r>
              <w:rPr/>
              <w:t>▲</w:t>
            </w:r>
          </w:p>
        </w:tc>
        <w:tc>
          <w:tcPr>
            <w:tcW w:type="dxa" w:w="2769"/>
          </w:tcPr>
          <w:p>
            <w:pPr>
              <w:pStyle w:val="null3"/>
            </w:pPr>
            <w:r>
              <w:rPr/>
              <w:t>48</w:t>
            </w:r>
          </w:p>
        </w:tc>
        <w:tc>
          <w:tcPr>
            <w:tcW w:type="dxa" w:w="2769"/>
          </w:tcPr>
          <w:p>
            <w:pPr>
              <w:pStyle w:val="null3"/>
            </w:pPr>
            <w:r>
              <w:rPr>
                <w:sz w:val="21"/>
              </w:rPr>
              <w:t>9.支持定点医院医生对患者添加复诊领药量，并自动生成对应服药计划；</w:t>
            </w:r>
          </w:p>
        </w:tc>
      </w:tr>
      <w:tr>
        <w:tc>
          <w:tcPr>
            <w:tcW w:type="dxa" w:w="2769"/>
          </w:tcPr>
          <w:p/>
        </w:tc>
        <w:tc>
          <w:tcPr>
            <w:tcW w:type="dxa" w:w="2769"/>
          </w:tcPr>
          <w:p>
            <w:pPr>
              <w:pStyle w:val="null3"/>
            </w:pPr>
            <w:r>
              <w:rPr/>
              <w:t>49</w:t>
            </w:r>
          </w:p>
        </w:tc>
        <w:tc>
          <w:tcPr>
            <w:tcW w:type="dxa" w:w="2769"/>
          </w:tcPr>
          <w:p>
            <w:pPr>
              <w:pStyle w:val="null3"/>
            </w:pPr>
            <w:r>
              <w:rPr/>
              <w:t>10.支持定点医院医生对辖区内患者社区化疗异常报告的查询；</w:t>
            </w:r>
          </w:p>
        </w:tc>
      </w:tr>
      <w:tr>
        <w:tc>
          <w:tcPr>
            <w:tcW w:type="dxa" w:w="2769"/>
          </w:tcPr>
          <w:p/>
        </w:tc>
        <w:tc>
          <w:tcPr>
            <w:tcW w:type="dxa" w:w="2769"/>
          </w:tcPr>
          <w:p>
            <w:pPr>
              <w:pStyle w:val="null3"/>
            </w:pPr>
            <w:r>
              <w:rPr/>
              <w:t>50</w:t>
            </w:r>
          </w:p>
        </w:tc>
        <w:tc>
          <w:tcPr>
            <w:tcW w:type="dxa" w:w="2769"/>
          </w:tcPr>
          <w:p>
            <w:pPr>
              <w:pStyle w:val="null3"/>
            </w:pPr>
            <w:r>
              <w:rPr>
                <w:sz w:val="21"/>
              </w:rPr>
              <w:t>六、市、区县定点医院医生移动端功能</w:t>
            </w:r>
          </w:p>
          <w:p>
            <w:pPr>
              <w:pStyle w:val="null3"/>
            </w:pPr>
            <w:r>
              <w:rPr>
                <w:sz w:val="21"/>
              </w:rPr>
              <w:t>1.支持患者推介消息提醒；</w:t>
            </w:r>
          </w:p>
        </w:tc>
      </w:tr>
      <w:tr>
        <w:tc>
          <w:tcPr>
            <w:tcW w:type="dxa" w:w="2769"/>
          </w:tcPr>
          <w:p/>
        </w:tc>
        <w:tc>
          <w:tcPr>
            <w:tcW w:type="dxa" w:w="2769"/>
          </w:tcPr>
          <w:p>
            <w:pPr>
              <w:pStyle w:val="null3"/>
            </w:pPr>
            <w:r>
              <w:rPr/>
              <w:t>51</w:t>
            </w:r>
          </w:p>
        </w:tc>
        <w:tc>
          <w:tcPr>
            <w:tcW w:type="dxa" w:w="2769"/>
          </w:tcPr>
          <w:p>
            <w:pPr>
              <w:pStyle w:val="null3"/>
            </w:pPr>
            <w:r>
              <w:rPr/>
              <w:t>2.支持患者追踪预约提醒；</w:t>
            </w:r>
          </w:p>
        </w:tc>
      </w:tr>
      <w:tr>
        <w:tc>
          <w:tcPr>
            <w:tcW w:type="dxa" w:w="2769"/>
          </w:tcPr>
          <w:p/>
        </w:tc>
        <w:tc>
          <w:tcPr>
            <w:tcW w:type="dxa" w:w="2769"/>
          </w:tcPr>
          <w:p>
            <w:pPr>
              <w:pStyle w:val="null3"/>
            </w:pPr>
            <w:r>
              <w:rPr/>
              <w:t>52</w:t>
            </w:r>
          </w:p>
        </w:tc>
        <w:tc>
          <w:tcPr>
            <w:tcW w:type="dxa" w:w="2769"/>
          </w:tcPr>
          <w:p>
            <w:pPr>
              <w:pStyle w:val="null3"/>
            </w:pPr>
            <w:r>
              <w:rPr/>
              <w:t>3.支持患者追踪失败提醒（常驻外地、信息有误）；</w:t>
            </w:r>
          </w:p>
        </w:tc>
      </w:tr>
      <w:tr>
        <w:tc>
          <w:tcPr>
            <w:tcW w:type="dxa" w:w="2769"/>
          </w:tcPr>
          <w:p/>
        </w:tc>
        <w:tc>
          <w:tcPr>
            <w:tcW w:type="dxa" w:w="2769"/>
          </w:tcPr>
          <w:p>
            <w:pPr>
              <w:pStyle w:val="null3"/>
            </w:pPr>
            <w:r>
              <w:rPr/>
              <w:t>53</w:t>
            </w:r>
          </w:p>
        </w:tc>
        <w:tc>
          <w:tcPr>
            <w:tcW w:type="dxa" w:w="2769"/>
          </w:tcPr>
          <w:p>
            <w:pPr>
              <w:pStyle w:val="null3"/>
            </w:pPr>
            <w:r>
              <w:rPr/>
              <w:t>4.支持患者管理失败提醒（常驻外地、信息有误）；</w:t>
            </w:r>
          </w:p>
        </w:tc>
      </w:tr>
      <w:tr>
        <w:tc>
          <w:tcPr>
            <w:tcW w:type="dxa" w:w="2769"/>
          </w:tcPr>
          <w:p/>
        </w:tc>
        <w:tc>
          <w:tcPr>
            <w:tcW w:type="dxa" w:w="2769"/>
          </w:tcPr>
          <w:p>
            <w:pPr>
              <w:pStyle w:val="null3"/>
            </w:pPr>
            <w:r>
              <w:rPr/>
              <w:t>54</w:t>
            </w:r>
          </w:p>
        </w:tc>
        <w:tc>
          <w:tcPr>
            <w:tcW w:type="dxa" w:w="2769"/>
          </w:tcPr>
          <w:p>
            <w:pPr>
              <w:pStyle w:val="null3"/>
            </w:pPr>
            <w:r>
              <w:rPr/>
              <w:t>5.支持远程在线版本更新；</w:t>
            </w:r>
          </w:p>
        </w:tc>
      </w:tr>
      <w:tr>
        <w:tc>
          <w:tcPr>
            <w:tcW w:type="dxa" w:w="2769"/>
          </w:tcPr>
          <w:p/>
        </w:tc>
        <w:tc>
          <w:tcPr>
            <w:tcW w:type="dxa" w:w="2769"/>
          </w:tcPr>
          <w:p>
            <w:pPr>
              <w:pStyle w:val="null3"/>
            </w:pPr>
            <w:r>
              <w:rPr/>
              <w:t>55</w:t>
            </w:r>
          </w:p>
        </w:tc>
        <w:tc>
          <w:tcPr>
            <w:tcW w:type="dxa" w:w="2769"/>
          </w:tcPr>
          <w:p>
            <w:pPr>
              <w:pStyle w:val="null3"/>
            </w:pPr>
            <w:r>
              <w:rPr/>
              <w:t>6.支持接收、查看患者管理不良反应提醒。</w:t>
            </w:r>
          </w:p>
        </w:tc>
      </w:tr>
      <w:tr>
        <w:tc>
          <w:tcPr>
            <w:tcW w:type="dxa" w:w="2769"/>
          </w:tcPr>
          <w:p/>
        </w:tc>
        <w:tc>
          <w:tcPr>
            <w:tcW w:type="dxa" w:w="2769"/>
          </w:tcPr>
          <w:p>
            <w:pPr>
              <w:pStyle w:val="null3"/>
            </w:pPr>
            <w:r>
              <w:rPr/>
              <w:t>56</w:t>
            </w:r>
          </w:p>
        </w:tc>
        <w:tc>
          <w:tcPr>
            <w:tcW w:type="dxa" w:w="2769"/>
          </w:tcPr>
          <w:p>
            <w:pPr>
              <w:pStyle w:val="null3"/>
            </w:pPr>
            <w:r>
              <w:rPr>
                <w:sz w:val="21"/>
              </w:rPr>
              <w:t>七、基层工作人员（督导员）PC端功能</w:t>
            </w:r>
          </w:p>
          <w:p>
            <w:pPr>
              <w:pStyle w:val="null3"/>
            </w:pPr>
            <w:r>
              <w:rPr>
                <w:sz w:val="21"/>
              </w:rPr>
              <w:t>1.支持基层工作人员对患者推介记录的管理；</w:t>
            </w:r>
          </w:p>
        </w:tc>
      </w:tr>
      <w:tr>
        <w:tc>
          <w:tcPr>
            <w:tcW w:type="dxa" w:w="2769"/>
          </w:tcPr>
          <w:p/>
        </w:tc>
        <w:tc>
          <w:tcPr>
            <w:tcW w:type="dxa" w:w="2769"/>
          </w:tcPr>
          <w:p>
            <w:pPr>
              <w:pStyle w:val="null3"/>
            </w:pPr>
            <w:r>
              <w:rPr/>
              <w:t>57</w:t>
            </w:r>
          </w:p>
        </w:tc>
        <w:tc>
          <w:tcPr>
            <w:tcW w:type="dxa" w:w="2769"/>
          </w:tcPr>
          <w:p>
            <w:pPr>
              <w:pStyle w:val="null3"/>
            </w:pPr>
            <w:r>
              <w:rPr/>
              <w:t>2.支持基层工作人员对患者追踪的信息接收、反馈追踪结果；</w:t>
            </w:r>
          </w:p>
        </w:tc>
      </w:tr>
      <w:tr>
        <w:tc>
          <w:tcPr>
            <w:tcW w:type="dxa" w:w="2769"/>
          </w:tcPr>
          <w:p/>
        </w:tc>
        <w:tc>
          <w:tcPr>
            <w:tcW w:type="dxa" w:w="2769"/>
          </w:tcPr>
          <w:p>
            <w:pPr>
              <w:pStyle w:val="null3"/>
            </w:pPr>
            <w:r>
              <w:rPr/>
              <w:t>58</w:t>
            </w:r>
          </w:p>
        </w:tc>
        <w:tc>
          <w:tcPr>
            <w:tcW w:type="dxa" w:w="2769"/>
          </w:tcPr>
          <w:p>
            <w:pPr>
              <w:pStyle w:val="null3"/>
            </w:pPr>
            <w:r>
              <w:rPr/>
              <w:t>3.支持基层工作人员对患者治疗管理通知单记录的查询、导出、修改督导机构、修改现住址和导入结核病专报系统病案基本信息；</w:t>
            </w:r>
          </w:p>
        </w:tc>
      </w:tr>
      <w:tr>
        <w:tc>
          <w:tcPr>
            <w:tcW w:type="dxa" w:w="2769"/>
          </w:tcPr>
          <w:p/>
        </w:tc>
        <w:tc>
          <w:tcPr>
            <w:tcW w:type="dxa" w:w="2769"/>
          </w:tcPr>
          <w:p>
            <w:pPr>
              <w:pStyle w:val="null3"/>
            </w:pPr>
            <w:r>
              <w:rPr/>
              <w:t>59</w:t>
            </w:r>
          </w:p>
        </w:tc>
        <w:tc>
          <w:tcPr>
            <w:tcW w:type="dxa" w:w="2769"/>
          </w:tcPr>
          <w:p>
            <w:pPr>
              <w:pStyle w:val="null3"/>
            </w:pPr>
            <w:r>
              <w:rPr/>
              <w:t>4.支持基层工作人员对患者访视记录管理；</w:t>
            </w:r>
          </w:p>
        </w:tc>
      </w:tr>
      <w:tr>
        <w:tc>
          <w:tcPr>
            <w:tcW w:type="dxa" w:w="2769"/>
          </w:tcPr>
          <w:p/>
        </w:tc>
        <w:tc>
          <w:tcPr>
            <w:tcW w:type="dxa" w:w="2769"/>
          </w:tcPr>
          <w:p>
            <w:pPr>
              <w:pStyle w:val="null3"/>
            </w:pPr>
            <w:r>
              <w:rPr/>
              <w:t>60</w:t>
            </w:r>
          </w:p>
        </w:tc>
        <w:tc>
          <w:tcPr>
            <w:tcW w:type="dxa" w:w="2769"/>
          </w:tcPr>
          <w:p>
            <w:pPr>
              <w:pStyle w:val="null3"/>
            </w:pPr>
            <w:r>
              <w:rPr/>
              <w:t>5.支持基层工作人员对患者服药记录管理和服药数据补录；</w:t>
            </w:r>
          </w:p>
        </w:tc>
      </w:tr>
      <w:tr>
        <w:tc>
          <w:tcPr>
            <w:tcW w:type="dxa" w:w="2769"/>
          </w:tcPr>
          <w:p/>
        </w:tc>
        <w:tc>
          <w:tcPr>
            <w:tcW w:type="dxa" w:w="2769"/>
          </w:tcPr>
          <w:p>
            <w:pPr>
              <w:pStyle w:val="null3"/>
            </w:pPr>
            <w:r>
              <w:rPr/>
              <w:t>61</w:t>
            </w:r>
          </w:p>
        </w:tc>
        <w:tc>
          <w:tcPr>
            <w:tcW w:type="dxa" w:w="2769"/>
          </w:tcPr>
          <w:p>
            <w:pPr>
              <w:pStyle w:val="null3"/>
            </w:pPr>
            <w:r>
              <w:rPr/>
              <w:t>6.支持基层工作人员对患者复诊记录的查看；</w:t>
            </w:r>
          </w:p>
        </w:tc>
      </w:tr>
      <w:tr>
        <w:tc>
          <w:tcPr>
            <w:tcW w:type="dxa" w:w="2769"/>
          </w:tcPr>
          <w:p/>
        </w:tc>
        <w:tc>
          <w:tcPr>
            <w:tcW w:type="dxa" w:w="2769"/>
          </w:tcPr>
          <w:p>
            <w:pPr>
              <w:pStyle w:val="null3"/>
            </w:pPr>
            <w:r>
              <w:rPr/>
              <w:t>62</w:t>
            </w:r>
          </w:p>
        </w:tc>
        <w:tc>
          <w:tcPr>
            <w:tcW w:type="dxa" w:w="2769"/>
          </w:tcPr>
          <w:p>
            <w:pPr>
              <w:pStyle w:val="null3"/>
            </w:pPr>
            <w:r>
              <w:rPr/>
              <w:t>7.支持基层工作人员对结核病确诊患者添加其密接者，并进行管理；</w:t>
            </w:r>
          </w:p>
        </w:tc>
      </w:tr>
      <w:tr>
        <w:tc>
          <w:tcPr>
            <w:tcW w:type="dxa" w:w="2769"/>
          </w:tcPr>
          <w:p>
            <w:pPr>
              <w:pStyle w:val="null3"/>
            </w:pPr>
            <w:r>
              <w:rPr/>
              <w:t>▲</w:t>
            </w:r>
          </w:p>
        </w:tc>
        <w:tc>
          <w:tcPr>
            <w:tcW w:type="dxa" w:w="2769"/>
          </w:tcPr>
          <w:p>
            <w:pPr>
              <w:pStyle w:val="null3"/>
            </w:pPr>
            <w:r>
              <w:rPr/>
              <w:t>63</w:t>
            </w:r>
          </w:p>
        </w:tc>
        <w:tc>
          <w:tcPr>
            <w:tcW w:type="dxa" w:w="2769"/>
          </w:tcPr>
          <w:p>
            <w:pPr>
              <w:pStyle w:val="null3"/>
            </w:pPr>
            <w:r>
              <w:rPr>
                <w:sz w:val="21"/>
              </w:rPr>
              <w:t>8.支持基层工作人员对添加辖区内患者社区化疗异常报告，并可进行的查询；</w:t>
            </w:r>
          </w:p>
        </w:tc>
      </w:tr>
      <w:tr>
        <w:tc>
          <w:tcPr>
            <w:tcW w:type="dxa" w:w="2769"/>
          </w:tcPr>
          <w:p/>
        </w:tc>
        <w:tc>
          <w:tcPr>
            <w:tcW w:type="dxa" w:w="2769"/>
          </w:tcPr>
          <w:p>
            <w:pPr>
              <w:pStyle w:val="null3"/>
            </w:pPr>
            <w:r>
              <w:rPr/>
              <w:t>64</w:t>
            </w:r>
          </w:p>
        </w:tc>
        <w:tc>
          <w:tcPr>
            <w:tcW w:type="dxa" w:w="2769"/>
          </w:tcPr>
          <w:p>
            <w:pPr>
              <w:pStyle w:val="null3"/>
            </w:pPr>
            <w:r>
              <w:rPr/>
              <w:t>9.支持基层工作人员对按季度新增健康教育报表；</w:t>
            </w:r>
          </w:p>
        </w:tc>
      </w:tr>
      <w:tr>
        <w:tc>
          <w:tcPr>
            <w:tcW w:type="dxa" w:w="2769"/>
          </w:tcPr>
          <w:p/>
        </w:tc>
        <w:tc>
          <w:tcPr>
            <w:tcW w:type="dxa" w:w="2769"/>
          </w:tcPr>
          <w:p>
            <w:pPr>
              <w:pStyle w:val="null3"/>
            </w:pPr>
            <w:r>
              <w:rPr/>
              <w:t>65</w:t>
            </w:r>
          </w:p>
        </w:tc>
        <w:tc>
          <w:tcPr>
            <w:tcW w:type="dxa" w:w="2769"/>
          </w:tcPr>
          <w:p>
            <w:pPr>
              <w:pStyle w:val="null3"/>
            </w:pPr>
            <w:r>
              <w:rPr/>
              <w:t>10.支持基层工作人员对按季度新增专项督导报表；</w:t>
            </w:r>
          </w:p>
        </w:tc>
      </w:tr>
      <w:tr>
        <w:tc>
          <w:tcPr>
            <w:tcW w:type="dxa" w:w="2769"/>
          </w:tcPr>
          <w:p/>
        </w:tc>
        <w:tc>
          <w:tcPr>
            <w:tcW w:type="dxa" w:w="2769"/>
          </w:tcPr>
          <w:p>
            <w:pPr>
              <w:pStyle w:val="null3"/>
            </w:pPr>
            <w:r>
              <w:rPr/>
              <w:t>66</w:t>
            </w:r>
          </w:p>
        </w:tc>
        <w:tc>
          <w:tcPr>
            <w:tcW w:type="dxa" w:w="2769"/>
          </w:tcPr>
          <w:p>
            <w:pPr>
              <w:pStyle w:val="null3"/>
            </w:pPr>
            <w:r>
              <w:rPr/>
              <w:t>11.支持基层工作人员对重点人群（老年人、糖尿病患者）进行登记管理；</w:t>
            </w:r>
          </w:p>
        </w:tc>
      </w:tr>
      <w:tr>
        <w:tc>
          <w:tcPr>
            <w:tcW w:type="dxa" w:w="2769"/>
          </w:tcPr>
          <w:p/>
        </w:tc>
        <w:tc>
          <w:tcPr>
            <w:tcW w:type="dxa" w:w="2769"/>
          </w:tcPr>
          <w:p>
            <w:pPr>
              <w:pStyle w:val="null3"/>
            </w:pPr>
            <w:r>
              <w:rPr/>
              <w:t>67</w:t>
            </w:r>
          </w:p>
        </w:tc>
        <w:tc>
          <w:tcPr>
            <w:tcW w:type="dxa" w:w="2769"/>
          </w:tcPr>
          <w:p>
            <w:pPr>
              <w:pStyle w:val="null3"/>
            </w:pPr>
            <w:r>
              <w:rPr/>
              <w:t>12.支持基层工作人员对辖区内人口数进行维护</w:t>
            </w:r>
          </w:p>
        </w:tc>
      </w:tr>
      <w:tr>
        <w:tc>
          <w:tcPr>
            <w:tcW w:type="dxa" w:w="2769"/>
          </w:tcPr>
          <w:p/>
        </w:tc>
        <w:tc>
          <w:tcPr>
            <w:tcW w:type="dxa" w:w="2769"/>
          </w:tcPr>
          <w:p>
            <w:pPr>
              <w:pStyle w:val="null3"/>
            </w:pPr>
            <w:r>
              <w:rPr/>
              <w:t>68</w:t>
            </w:r>
          </w:p>
        </w:tc>
        <w:tc>
          <w:tcPr>
            <w:tcW w:type="dxa" w:w="2769"/>
          </w:tcPr>
          <w:p>
            <w:pPr>
              <w:pStyle w:val="null3"/>
            </w:pPr>
            <w:r>
              <w:rPr>
                <w:sz w:val="21"/>
              </w:rPr>
              <w:t>八、基层工作人员（督导员）移动端功能</w:t>
            </w:r>
          </w:p>
          <w:p>
            <w:pPr>
              <w:pStyle w:val="null3"/>
            </w:pPr>
            <w:r>
              <w:rPr>
                <w:sz w:val="21"/>
              </w:rPr>
              <w:t xml:space="preserve"> 1、支持基层工作人员微信小程序账号绑定；</w:t>
            </w:r>
          </w:p>
        </w:tc>
      </w:tr>
      <w:tr>
        <w:tc>
          <w:tcPr>
            <w:tcW w:type="dxa" w:w="2769"/>
          </w:tcPr>
          <w:p/>
        </w:tc>
        <w:tc>
          <w:tcPr>
            <w:tcW w:type="dxa" w:w="2769"/>
          </w:tcPr>
          <w:p>
            <w:pPr>
              <w:pStyle w:val="null3"/>
            </w:pPr>
            <w:r>
              <w:rPr/>
              <w:t>69</w:t>
            </w:r>
          </w:p>
        </w:tc>
        <w:tc>
          <w:tcPr>
            <w:tcW w:type="dxa" w:w="2769"/>
          </w:tcPr>
          <w:p>
            <w:pPr>
              <w:pStyle w:val="null3"/>
            </w:pPr>
            <w:r>
              <w:rPr/>
              <w:t>2.支持基层工作人员新增患者推介，接收推介患者未就诊提醒，反馈未就诊原因；</w:t>
            </w:r>
          </w:p>
        </w:tc>
      </w:tr>
      <w:tr>
        <w:tc>
          <w:tcPr>
            <w:tcW w:type="dxa" w:w="2769"/>
          </w:tcPr>
          <w:p/>
        </w:tc>
        <w:tc>
          <w:tcPr>
            <w:tcW w:type="dxa" w:w="2769"/>
          </w:tcPr>
          <w:p>
            <w:pPr>
              <w:pStyle w:val="null3"/>
            </w:pPr>
            <w:r>
              <w:rPr/>
              <w:t>70</w:t>
            </w:r>
          </w:p>
        </w:tc>
        <w:tc>
          <w:tcPr>
            <w:tcW w:type="dxa" w:w="2769"/>
          </w:tcPr>
          <w:p>
            <w:pPr>
              <w:pStyle w:val="null3"/>
            </w:pPr>
            <w:r>
              <w:rPr/>
              <w:t>3.支持基层工作人员接收患者追踪通知，追踪结果反馈；</w:t>
            </w:r>
          </w:p>
        </w:tc>
      </w:tr>
      <w:tr>
        <w:tc>
          <w:tcPr>
            <w:tcW w:type="dxa" w:w="2769"/>
          </w:tcPr>
          <w:p>
            <w:pPr>
              <w:pStyle w:val="null3"/>
            </w:pPr>
            <w:r>
              <w:rPr/>
              <w:t>▲</w:t>
            </w:r>
          </w:p>
        </w:tc>
        <w:tc>
          <w:tcPr>
            <w:tcW w:type="dxa" w:w="2769"/>
          </w:tcPr>
          <w:p>
            <w:pPr>
              <w:pStyle w:val="null3"/>
            </w:pPr>
            <w:r>
              <w:rPr/>
              <w:t>71</w:t>
            </w:r>
          </w:p>
        </w:tc>
        <w:tc>
          <w:tcPr>
            <w:tcW w:type="dxa" w:w="2769"/>
          </w:tcPr>
          <w:p>
            <w:pPr>
              <w:pStyle w:val="null3"/>
            </w:pPr>
            <w:r>
              <w:rPr>
                <w:sz w:val="21"/>
              </w:rPr>
              <w:t>4.基层工作人员待办事项列表：支持系统智能推送辖区患者首次访视、日常访视、结案访视、漏服药、复诊等工作通知提醒，点击对应通知即可进行工作任务处理；</w:t>
            </w:r>
          </w:p>
        </w:tc>
      </w:tr>
      <w:tr>
        <w:tc>
          <w:tcPr>
            <w:tcW w:type="dxa" w:w="2769"/>
          </w:tcPr>
          <w:p>
            <w:pPr>
              <w:pStyle w:val="null3"/>
            </w:pPr>
            <w:r>
              <w:rPr/>
              <w:t>▲</w:t>
            </w:r>
          </w:p>
        </w:tc>
        <w:tc>
          <w:tcPr>
            <w:tcW w:type="dxa" w:w="2769"/>
          </w:tcPr>
          <w:p>
            <w:pPr>
              <w:pStyle w:val="null3"/>
            </w:pPr>
            <w:r>
              <w:rPr/>
              <w:t>72</w:t>
            </w:r>
          </w:p>
        </w:tc>
        <w:tc>
          <w:tcPr>
            <w:tcW w:type="dxa" w:w="2769"/>
          </w:tcPr>
          <w:p>
            <w:pPr>
              <w:pStyle w:val="null3"/>
            </w:pPr>
            <w:r>
              <w:rPr>
                <w:sz w:val="21"/>
              </w:rPr>
              <w:t>5. 支持基层工作人员使用多种访视验证方式，如短信码验证、小程序动态二维码验证、智能药盒二维码验证；</w:t>
            </w:r>
          </w:p>
        </w:tc>
      </w:tr>
      <w:tr>
        <w:tc>
          <w:tcPr>
            <w:tcW w:type="dxa" w:w="2769"/>
          </w:tcPr>
          <w:p/>
        </w:tc>
        <w:tc>
          <w:tcPr>
            <w:tcW w:type="dxa" w:w="2769"/>
          </w:tcPr>
          <w:p>
            <w:pPr>
              <w:pStyle w:val="null3"/>
            </w:pPr>
            <w:r>
              <w:rPr/>
              <w:t>73</w:t>
            </w:r>
          </w:p>
        </w:tc>
        <w:tc>
          <w:tcPr>
            <w:tcW w:type="dxa" w:w="2769"/>
          </w:tcPr>
          <w:p>
            <w:pPr>
              <w:pStyle w:val="null3"/>
            </w:pPr>
            <w:r>
              <w:rPr/>
              <w:t>6.支持基层工作人员查看患者基本信息、访视记录、复诊记录、服药记录；</w:t>
            </w:r>
          </w:p>
        </w:tc>
      </w:tr>
      <w:tr>
        <w:tc>
          <w:tcPr>
            <w:tcW w:type="dxa" w:w="2769"/>
          </w:tcPr>
          <w:p/>
        </w:tc>
        <w:tc>
          <w:tcPr>
            <w:tcW w:type="dxa" w:w="2769"/>
          </w:tcPr>
          <w:p>
            <w:pPr>
              <w:pStyle w:val="null3"/>
            </w:pPr>
            <w:r>
              <w:rPr/>
              <w:t>74</w:t>
            </w:r>
          </w:p>
        </w:tc>
        <w:tc>
          <w:tcPr>
            <w:tcW w:type="dxa" w:w="2769"/>
          </w:tcPr>
          <w:p>
            <w:pPr>
              <w:pStyle w:val="null3"/>
            </w:pPr>
            <w:r>
              <w:rPr/>
              <w:t>7.支持基层工作人员一键拨号联系患者，进行漏服药、复诊、访视提醒；</w:t>
            </w:r>
          </w:p>
        </w:tc>
      </w:tr>
      <w:tr>
        <w:tc>
          <w:tcPr>
            <w:tcW w:type="dxa" w:w="2769"/>
          </w:tcPr>
          <w:p/>
        </w:tc>
        <w:tc>
          <w:tcPr>
            <w:tcW w:type="dxa" w:w="2769"/>
          </w:tcPr>
          <w:p>
            <w:pPr>
              <w:pStyle w:val="null3"/>
            </w:pPr>
            <w:r>
              <w:rPr/>
              <w:t>75</w:t>
            </w:r>
          </w:p>
        </w:tc>
        <w:tc>
          <w:tcPr>
            <w:tcW w:type="dxa" w:w="2769"/>
          </w:tcPr>
          <w:p>
            <w:pPr>
              <w:pStyle w:val="null3"/>
            </w:pPr>
            <w:r>
              <w:rPr/>
              <w:t>8.支持基层工作人员对患者留言咨询进行查看、回复；</w:t>
            </w:r>
          </w:p>
        </w:tc>
      </w:tr>
      <w:tr>
        <w:tc>
          <w:tcPr>
            <w:tcW w:type="dxa" w:w="2769"/>
          </w:tcPr>
          <w:p/>
        </w:tc>
        <w:tc>
          <w:tcPr>
            <w:tcW w:type="dxa" w:w="2769"/>
          </w:tcPr>
          <w:p>
            <w:pPr>
              <w:pStyle w:val="null3"/>
            </w:pPr>
            <w:r>
              <w:rPr/>
              <w:t>76</w:t>
            </w:r>
          </w:p>
        </w:tc>
        <w:tc>
          <w:tcPr>
            <w:tcW w:type="dxa" w:w="2769"/>
          </w:tcPr>
          <w:p>
            <w:pPr>
              <w:pStyle w:val="null3"/>
            </w:pPr>
            <w:r>
              <w:rPr/>
              <w:t>9.支持基层工作人员查看患者远程视频申请沟通，并可进行视频通话；</w:t>
            </w:r>
          </w:p>
        </w:tc>
      </w:tr>
      <w:tr>
        <w:tc>
          <w:tcPr>
            <w:tcW w:type="dxa" w:w="2769"/>
          </w:tcPr>
          <w:p/>
        </w:tc>
        <w:tc>
          <w:tcPr>
            <w:tcW w:type="dxa" w:w="2769"/>
          </w:tcPr>
          <w:p>
            <w:pPr>
              <w:pStyle w:val="null3"/>
            </w:pPr>
            <w:r>
              <w:rPr/>
              <w:t>77</w:t>
            </w:r>
          </w:p>
        </w:tc>
        <w:tc>
          <w:tcPr>
            <w:tcW w:type="dxa" w:w="2769"/>
          </w:tcPr>
          <w:p>
            <w:pPr>
              <w:pStyle w:val="null3"/>
            </w:pPr>
            <w:r>
              <w:rPr/>
              <w:t>10.支持远程在线版本更新</w:t>
            </w:r>
          </w:p>
        </w:tc>
      </w:tr>
      <w:tr>
        <w:tc>
          <w:tcPr>
            <w:tcW w:type="dxa" w:w="2769"/>
          </w:tcPr>
          <w:p/>
        </w:tc>
        <w:tc>
          <w:tcPr>
            <w:tcW w:type="dxa" w:w="2769"/>
          </w:tcPr>
          <w:p>
            <w:pPr>
              <w:pStyle w:val="null3"/>
            </w:pPr>
            <w:r>
              <w:rPr/>
              <w:t>78</w:t>
            </w:r>
          </w:p>
        </w:tc>
        <w:tc>
          <w:tcPr>
            <w:tcW w:type="dxa" w:w="2769"/>
          </w:tcPr>
          <w:p>
            <w:pPr>
              <w:pStyle w:val="null3"/>
            </w:pPr>
            <w:r>
              <w:rPr>
                <w:sz w:val="21"/>
              </w:rPr>
              <w:t>九、患者移动端功能（手机端）</w:t>
            </w:r>
          </w:p>
          <w:p>
            <w:pPr>
              <w:pStyle w:val="null3"/>
            </w:pPr>
            <w:r>
              <w:rPr>
                <w:sz w:val="21"/>
              </w:rPr>
              <w:t xml:space="preserve"> 1、支持患者微信小程序账号登录；</w:t>
            </w:r>
          </w:p>
        </w:tc>
      </w:tr>
      <w:tr>
        <w:tc>
          <w:tcPr>
            <w:tcW w:type="dxa" w:w="2769"/>
          </w:tcPr>
          <w:p/>
        </w:tc>
        <w:tc>
          <w:tcPr>
            <w:tcW w:type="dxa" w:w="2769"/>
          </w:tcPr>
          <w:p>
            <w:pPr>
              <w:pStyle w:val="null3"/>
            </w:pPr>
            <w:r>
              <w:rPr/>
              <w:t>79</w:t>
            </w:r>
          </w:p>
        </w:tc>
        <w:tc>
          <w:tcPr>
            <w:tcW w:type="dxa" w:w="2769"/>
          </w:tcPr>
          <w:p>
            <w:pPr>
              <w:pStyle w:val="null3"/>
            </w:pPr>
            <w:r>
              <w:rPr/>
              <w:t>2.支持患者接收服药消息提醒，并上传服药记录；</w:t>
            </w:r>
          </w:p>
        </w:tc>
      </w:tr>
      <w:tr>
        <w:tc>
          <w:tcPr>
            <w:tcW w:type="dxa" w:w="2769"/>
          </w:tcPr>
          <w:p>
            <w:pPr>
              <w:pStyle w:val="null3"/>
            </w:pPr>
            <w:r>
              <w:rPr/>
              <w:t>▲</w:t>
            </w:r>
          </w:p>
        </w:tc>
        <w:tc>
          <w:tcPr>
            <w:tcW w:type="dxa" w:w="2769"/>
          </w:tcPr>
          <w:p>
            <w:pPr>
              <w:pStyle w:val="null3"/>
            </w:pPr>
            <w:r>
              <w:rPr/>
              <w:t>80</w:t>
            </w:r>
          </w:p>
        </w:tc>
        <w:tc>
          <w:tcPr>
            <w:tcW w:type="dxa" w:w="2769"/>
          </w:tcPr>
          <w:p>
            <w:pPr>
              <w:pStyle w:val="null3"/>
            </w:pPr>
            <w:r>
              <w:rPr>
                <w:sz w:val="21"/>
              </w:rPr>
              <w:t>3.服药记录采用种植健康树的形式，完成每月服药量生成兑换码，用于兑换奖励。</w:t>
            </w:r>
          </w:p>
        </w:tc>
      </w:tr>
      <w:tr>
        <w:tc>
          <w:tcPr>
            <w:tcW w:type="dxa" w:w="2769"/>
          </w:tcPr>
          <w:p/>
        </w:tc>
        <w:tc>
          <w:tcPr>
            <w:tcW w:type="dxa" w:w="2769"/>
          </w:tcPr>
          <w:p>
            <w:pPr>
              <w:pStyle w:val="null3"/>
            </w:pPr>
            <w:r>
              <w:rPr/>
              <w:t>81</w:t>
            </w:r>
          </w:p>
        </w:tc>
        <w:tc>
          <w:tcPr>
            <w:tcW w:type="dxa" w:w="2769"/>
          </w:tcPr>
          <w:p>
            <w:pPr>
              <w:pStyle w:val="null3"/>
            </w:pPr>
            <w:r>
              <w:rPr/>
              <w:t>4.支持患者接收复诊消息提醒；</w:t>
            </w:r>
          </w:p>
        </w:tc>
      </w:tr>
      <w:tr>
        <w:tc>
          <w:tcPr>
            <w:tcW w:type="dxa" w:w="2769"/>
          </w:tcPr>
          <w:p/>
        </w:tc>
        <w:tc>
          <w:tcPr>
            <w:tcW w:type="dxa" w:w="2769"/>
          </w:tcPr>
          <w:p>
            <w:pPr>
              <w:pStyle w:val="null3"/>
            </w:pPr>
            <w:r>
              <w:rPr/>
              <w:t>82</w:t>
            </w:r>
          </w:p>
        </w:tc>
        <w:tc>
          <w:tcPr>
            <w:tcW w:type="dxa" w:w="2769"/>
          </w:tcPr>
          <w:p>
            <w:pPr>
              <w:pStyle w:val="null3"/>
            </w:pPr>
            <w:r>
              <w:rPr/>
              <w:t>5.支持患者接收访视消息提醒；</w:t>
            </w:r>
          </w:p>
        </w:tc>
      </w:tr>
      <w:tr>
        <w:tc>
          <w:tcPr>
            <w:tcW w:type="dxa" w:w="2769"/>
          </w:tcPr>
          <w:p/>
        </w:tc>
        <w:tc>
          <w:tcPr>
            <w:tcW w:type="dxa" w:w="2769"/>
          </w:tcPr>
          <w:p>
            <w:pPr>
              <w:pStyle w:val="null3"/>
            </w:pPr>
            <w:r>
              <w:rPr/>
              <w:t>83</w:t>
            </w:r>
          </w:p>
        </w:tc>
        <w:tc>
          <w:tcPr>
            <w:tcW w:type="dxa" w:w="2769"/>
          </w:tcPr>
          <w:p>
            <w:pPr>
              <w:pStyle w:val="null3"/>
            </w:pPr>
            <w:r>
              <w:rPr/>
              <w:t>6.支持患者联系责任医生、基层督导员进行留言咨询；</w:t>
            </w:r>
          </w:p>
        </w:tc>
      </w:tr>
      <w:tr>
        <w:tc>
          <w:tcPr>
            <w:tcW w:type="dxa" w:w="2769"/>
          </w:tcPr>
          <w:p/>
        </w:tc>
        <w:tc>
          <w:tcPr>
            <w:tcW w:type="dxa" w:w="2769"/>
          </w:tcPr>
          <w:p>
            <w:pPr>
              <w:pStyle w:val="null3"/>
            </w:pPr>
            <w:r>
              <w:rPr/>
              <w:t>84</w:t>
            </w:r>
          </w:p>
        </w:tc>
        <w:tc>
          <w:tcPr>
            <w:tcW w:type="dxa" w:w="2769"/>
          </w:tcPr>
          <w:p>
            <w:pPr>
              <w:pStyle w:val="null3"/>
            </w:pPr>
            <w:r>
              <w:rPr/>
              <w:t>7.支持患者联系责任医生、基层督导员预约远程视频咨询；</w:t>
            </w:r>
          </w:p>
        </w:tc>
      </w:tr>
      <w:tr>
        <w:tc>
          <w:tcPr>
            <w:tcW w:type="dxa" w:w="2769"/>
          </w:tcPr>
          <w:p/>
        </w:tc>
        <w:tc>
          <w:tcPr>
            <w:tcW w:type="dxa" w:w="2769"/>
          </w:tcPr>
          <w:p>
            <w:pPr>
              <w:pStyle w:val="null3"/>
            </w:pPr>
            <w:r>
              <w:rPr/>
              <w:t>85</w:t>
            </w:r>
          </w:p>
        </w:tc>
        <w:tc>
          <w:tcPr>
            <w:tcW w:type="dxa" w:w="2769"/>
          </w:tcPr>
          <w:p>
            <w:pPr>
              <w:pStyle w:val="null3"/>
            </w:pPr>
            <w:r>
              <w:rPr/>
              <w:t>8.支持患者查看治疗信息、复诊记录、服药记录</w:t>
            </w:r>
          </w:p>
        </w:tc>
      </w:tr>
      <w:tr>
        <w:tc>
          <w:tcPr>
            <w:tcW w:type="dxa" w:w="2769"/>
          </w:tcPr>
          <w:p/>
        </w:tc>
        <w:tc>
          <w:tcPr>
            <w:tcW w:type="dxa" w:w="2769"/>
          </w:tcPr>
          <w:p>
            <w:pPr>
              <w:pStyle w:val="null3"/>
            </w:pPr>
            <w:r>
              <w:rPr/>
              <w:t>86</w:t>
            </w:r>
          </w:p>
        </w:tc>
        <w:tc>
          <w:tcPr>
            <w:tcW w:type="dxa" w:w="2769"/>
          </w:tcPr>
          <w:p>
            <w:pPr>
              <w:pStyle w:val="null3"/>
            </w:pPr>
            <w:r>
              <w:rPr/>
              <w:t>9.支持动态访视二维码验证；</w:t>
            </w:r>
          </w:p>
        </w:tc>
      </w:tr>
      <w:tr>
        <w:tc>
          <w:tcPr>
            <w:tcW w:type="dxa" w:w="2769"/>
          </w:tcPr>
          <w:p/>
        </w:tc>
        <w:tc>
          <w:tcPr>
            <w:tcW w:type="dxa" w:w="2769"/>
          </w:tcPr>
          <w:p>
            <w:pPr>
              <w:pStyle w:val="null3"/>
            </w:pPr>
            <w:r>
              <w:rPr/>
              <w:t>87</w:t>
            </w:r>
          </w:p>
        </w:tc>
        <w:tc>
          <w:tcPr>
            <w:tcW w:type="dxa" w:w="2769"/>
          </w:tcPr>
          <w:p>
            <w:pPr>
              <w:pStyle w:val="null3"/>
            </w:pPr>
            <w:r>
              <w:rPr/>
              <w:t>10.支持患者查看已绑定的智能电子药盒信息；</w:t>
            </w:r>
          </w:p>
        </w:tc>
      </w:tr>
      <w:tr>
        <w:tc>
          <w:tcPr>
            <w:tcW w:type="dxa" w:w="2769"/>
          </w:tcPr>
          <w:p/>
        </w:tc>
        <w:tc>
          <w:tcPr>
            <w:tcW w:type="dxa" w:w="2769"/>
          </w:tcPr>
          <w:p>
            <w:pPr>
              <w:pStyle w:val="null3"/>
            </w:pPr>
            <w:r>
              <w:rPr/>
              <w:t>88</w:t>
            </w:r>
          </w:p>
        </w:tc>
        <w:tc>
          <w:tcPr>
            <w:tcW w:type="dxa" w:w="2769"/>
          </w:tcPr>
          <w:p>
            <w:pPr>
              <w:pStyle w:val="null3"/>
            </w:pPr>
            <w:r>
              <w:rPr/>
              <w:t>11.支持患者接收、查看健康资讯；</w:t>
            </w:r>
          </w:p>
        </w:tc>
      </w:tr>
      <w:tr>
        <w:tc>
          <w:tcPr>
            <w:tcW w:type="dxa" w:w="2769"/>
          </w:tcPr>
          <w:p/>
        </w:tc>
        <w:tc>
          <w:tcPr>
            <w:tcW w:type="dxa" w:w="2769"/>
          </w:tcPr>
          <w:p>
            <w:pPr>
              <w:pStyle w:val="null3"/>
            </w:pPr>
            <w:r>
              <w:rPr/>
              <w:t>89</w:t>
            </w:r>
          </w:p>
        </w:tc>
        <w:tc>
          <w:tcPr>
            <w:tcW w:type="dxa" w:w="2769"/>
          </w:tcPr>
          <w:p>
            <w:pPr>
              <w:pStyle w:val="null3"/>
            </w:pPr>
            <w:r>
              <w:rPr/>
              <w:t>12.支持系统按患者服药治疗阶段推送患者健康教育知识；</w:t>
            </w:r>
          </w:p>
        </w:tc>
      </w:tr>
      <w:tr>
        <w:tc>
          <w:tcPr>
            <w:tcW w:type="dxa" w:w="2769"/>
          </w:tcPr>
          <w:p/>
        </w:tc>
        <w:tc>
          <w:tcPr>
            <w:tcW w:type="dxa" w:w="2769"/>
          </w:tcPr>
          <w:p>
            <w:pPr>
              <w:pStyle w:val="null3"/>
            </w:pPr>
            <w:r>
              <w:rPr/>
              <w:t>90</w:t>
            </w:r>
          </w:p>
        </w:tc>
        <w:tc>
          <w:tcPr>
            <w:tcW w:type="dxa" w:w="2769"/>
          </w:tcPr>
          <w:p>
            <w:pPr>
              <w:pStyle w:val="null3"/>
            </w:pPr>
            <w:r>
              <w:rPr/>
              <w:t>13.远程在线版本更新。</w:t>
            </w:r>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自合同签订之日起30日历日内</w:t>
      </w:r>
    </w:p>
    <w:p>
      <w:pPr>
        <w:pStyle w:val="null3"/>
        <w:outlineLvl w:val="3"/>
      </w:pPr>
      <w:r>
        <w:rPr>
          <w:b/>
          <w:sz w:val="24"/>
        </w:rPr>
        <w:t>3.4.2交货地点</w:t>
      </w:r>
    </w:p>
    <w:p>
      <w:pPr>
        <w:pStyle w:val="null3"/>
      </w:pPr>
      <w:r>
        <w:rPr/>
        <w:t>采购包1：</w:t>
      </w:r>
    </w:p>
    <w:p>
      <w:pPr>
        <w:pStyle w:val="null3"/>
      </w:pPr>
      <w:r>
        <w:rPr/>
        <w:t>采购人指定地点</w:t>
      </w:r>
    </w:p>
    <w:p>
      <w:pPr>
        <w:pStyle w:val="null3"/>
        <w:outlineLvl w:val="3"/>
      </w:pPr>
      <w:r>
        <w:rPr>
          <w:b/>
          <w:sz w:val="24"/>
        </w:rPr>
        <w:t>3.4.3支付方式</w:t>
      </w:r>
    </w:p>
    <w:p>
      <w:pPr>
        <w:pStyle w:val="null3"/>
      </w:pPr>
      <w:r>
        <w:rPr/>
        <w:t>采购包1：</w:t>
      </w:r>
    </w:p>
    <w:p>
      <w:pPr>
        <w:pStyle w:val="null3"/>
      </w:pPr>
      <w:r>
        <w:rPr/>
        <w:t>一次付清</w:t>
      </w:r>
    </w:p>
    <w:p>
      <w:pPr>
        <w:pStyle w:val="null3"/>
        <w:outlineLvl w:val="3"/>
      </w:pPr>
      <w:r>
        <w:rPr>
          <w:b/>
          <w:sz w:val="24"/>
        </w:rPr>
        <w:t>3.4.4支付约定</w:t>
      </w:r>
    </w:p>
    <w:p>
      <w:pPr>
        <w:pStyle w:val="null3"/>
      </w:pPr>
      <w:r>
        <w:rPr/>
        <w:t>采购包1：</w:t>
      </w:r>
      <w:r>
        <w:rPr/>
        <w:t xml:space="preserve"> 付款条件说明： </w:t>
      </w:r>
      <w:r>
        <w:rPr/>
        <w:t>验收合格后</w:t>
      </w:r>
      <w:r>
        <w:rPr/>
        <w:t xml:space="preserve"> ，达到付款条件起 </w:t>
      </w:r>
      <w:r>
        <w:rPr/>
        <w:t>30</w:t>
      </w:r>
      <w:r>
        <w:rPr/>
        <w:t xml:space="preserve"> 日内，支付合同总金额的 </w:t>
      </w:r>
      <w:r>
        <w:rPr/>
        <w:t>100.00</w:t>
      </w:r>
      <w:r>
        <w:rPr/>
        <w:t>%。</w:t>
      </w:r>
    </w:p>
    <w:p>
      <w:pPr>
        <w:pStyle w:val="null3"/>
        <w:outlineLvl w:val="3"/>
      </w:pPr>
      <w:r>
        <w:rPr>
          <w:b/>
          <w:sz w:val="24"/>
        </w:rPr>
        <w:t>3.4.5验收标准和方法</w:t>
      </w:r>
    </w:p>
    <w:p>
      <w:pPr>
        <w:pStyle w:val="null3"/>
      </w:pPr>
      <w:r>
        <w:rPr/>
        <w:t>采购包1：</w:t>
      </w:r>
    </w:p>
    <w:p>
      <w:pPr>
        <w:pStyle w:val="null3"/>
      </w:pPr>
      <w:r>
        <w:rPr/>
        <w:t>根据招标文件及合同规定执行</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质保期：自验收合格并正式投入使用之日起2年</w:t>
      </w:r>
    </w:p>
    <w:p>
      <w:pPr>
        <w:pStyle w:val="null3"/>
        <w:outlineLvl w:val="3"/>
      </w:pPr>
      <w:r>
        <w:rPr>
          <w:b/>
          <w:sz w:val="24"/>
        </w:rPr>
        <w:t>3.4.8违约责任与解决争议的方法</w:t>
      </w:r>
    </w:p>
    <w:p>
      <w:pPr>
        <w:pStyle w:val="null3"/>
      </w:pPr>
      <w:r>
        <w:rPr/>
        <w:t>采购包1：</w:t>
      </w:r>
    </w:p>
    <w:p>
      <w:pPr>
        <w:pStyle w:val="null3"/>
      </w:pPr>
      <w:r>
        <w:rPr/>
        <w:t>根据招标文件及合同规定执行</w:t>
      </w:r>
    </w:p>
    <w:p>
      <w:pPr>
        <w:pStyle w:val="null3"/>
        <w:jc w:val="left"/>
        <w:outlineLvl w:val="2"/>
      </w:pPr>
      <w:r>
        <w:rPr>
          <w:b/>
          <w:sz w:val="28"/>
        </w:rPr>
        <w:t>3.5其他要求</w:t>
      </w:r>
    </w:p>
    <w:p>
      <w:pPr>
        <w:pStyle w:val="null3"/>
      </w:pPr>
      <w:r>
        <w:rPr/>
        <w:t>1、为顺利推进政府采购电子化交易平台应用工作，供应商需要在线提交所有通过电子化交易平台实施的政府采购项目的投标文件，同时，线下提交纸质投标文件正本壹份、副本贰份。 2、纸质投标文件正、副本分别胶装，标明供应商名称密封递交，递交截止时间同在线递交投标电子文件截止时间一致，递交地址：西安市雁展路1111号莱安中心T6-15层。（纸质投标文件可邮寄，邮件签收时间应在递交电子投标文件截止时间之前，邮寄地址：西安市雁展路1111号莱安中心T6-15层，联系人：宋新梁、王琦，联系电话：029-81206622-831）。 3、若电子投标文件与纸质投标文件不一致的，以电子投标文件为准。</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投标人有必要说明的其他问题 投标函 资格文件</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资格文件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资格文件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tc>
        <w:tc>
          <w:tcPr>
            <w:tcW w:type="dxa" w:w="1661"/>
          </w:tcPr>
          <w:p>
            <w:pPr>
              <w:pStyle w:val="null3"/>
            </w:pPr>
            <w:r>
              <w:rPr/>
              <w:t>资格文件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资格文件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资格文件</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提供直接控股和管理关系清单。若与其他投标人存在单位负责人为同一人或者存在直接控股、管理关系的，则投标无效</w:t>
            </w:r>
          </w:p>
        </w:tc>
        <w:tc>
          <w:tcPr>
            <w:tcW w:type="dxa" w:w="1661"/>
          </w:tcPr>
          <w:p>
            <w:pPr>
              <w:pStyle w:val="null3"/>
            </w:pPr>
            <w:r>
              <w:rPr/>
              <w:t>资格文件</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资格文件</w:t>
            </w:r>
          </w:p>
        </w:tc>
      </w:tr>
      <w:tr>
        <w:tc>
          <w:tcPr>
            <w:tcW w:type="dxa" w:w="831"/>
          </w:tcPr>
          <w:p>
            <w:pPr>
              <w:pStyle w:val="null3"/>
            </w:pPr>
            <w:r>
              <w:rPr/>
              <w:t>8</w:t>
            </w:r>
          </w:p>
        </w:tc>
        <w:tc>
          <w:tcPr>
            <w:tcW w:type="dxa" w:w="2492"/>
          </w:tcPr>
          <w:p>
            <w:pPr>
              <w:pStyle w:val="null3"/>
            </w:pPr>
            <w:r>
              <w:rPr/>
              <w:t>法定代表人授权书</w:t>
            </w:r>
          </w:p>
        </w:tc>
        <w:tc>
          <w:tcPr>
            <w:tcW w:type="dxa" w:w="3322"/>
          </w:tcPr>
          <w:p>
            <w:pPr>
              <w:pStyle w:val="null3"/>
            </w:pPr>
            <w:r>
              <w:rPr/>
              <w:t>法定代表人授权书及被授权人身份证复印件。（法定代表人直接投标只须提交其身份证复印件）</w:t>
            </w:r>
          </w:p>
        </w:tc>
        <w:tc>
          <w:tcPr>
            <w:tcW w:type="dxa" w:w="1661"/>
          </w:tcPr>
          <w:p>
            <w:pPr>
              <w:pStyle w:val="null3"/>
            </w:pPr>
            <w:r>
              <w:rPr/>
              <w:t>资格文件</w:t>
            </w:r>
          </w:p>
        </w:tc>
      </w:tr>
      <w:tr>
        <w:tc>
          <w:tcPr>
            <w:tcW w:type="dxa" w:w="831"/>
          </w:tcPr>
          <w:p>
            <w:pPr>
              <w:pStyle w:val="null3"/>
            </w:pPr>
            <w:r>
              <w:rPr/>
              <w:t>9</w:t>
            </w:r>
          </w:p>
        </w:tc>
        <w:tc>
          <w:tcPr>
            <w:tcW w:type="dxa" w:w="2492"/>
          </w:tcPr>
          <w:p>
            <w:pPr>
              <w:pStyle w:val="null3"/>
            </w:pPr>
            <w:r>
              <w:rPr/>
              <w:t>中小企业声明函</w:t>
            </w:r>
          </w:p>
        </w:tc>
        <w:tc>
          <w:tcPr>
            <w:tcW w:type="dxa" w:w="3322"/>
          </w:tcPr>
          <w:p>
            <w:pPr>
              <w:pStyle w:val="null3"/>
            </w:pPr>
            <w:r>
              <w:rPr/>
              <w:t>提供中小企业声明函（投标人需为小微企业）</w:t>
            </w:r>
          </w:p>
        </w:tc>
        <w:tc>
          <w:tcPr>
            <w:tcW w:type="dxa" w:w="1661"/>
          </w:tcPr>
          <w:p>
            <w:pPr>
              <w:pStyle w:val="null3"/>
            </w:pPr>
            <w:r>
              <w:rPr/>
              <w:t>资格文件</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参与的供应商（联合体）提供的货物全部由符合政策要求的小微企业制造。</w:t>
            </w:r>
          </w:p>
        </w:tc>
        <w:tc>
          <w:tcPr>
            <w:tcW w:type="dxa" w:w="1661"/>
          </w:tcPr>
          <w:p>
            <w:pPr>
              <w:pStyle w:val="null3"/>
            </w:pPr>
            <w:r>
              <w:rPr/>
              <w:t>投标人有必要说明的其他问题 中小企业声明函 残疾人福利性单位声明函 资格文件 监狱企业的证明文件</w:t>
            </w:r>
          </w:p>
        </w:tc>
      </w:tr>
    </w:tbl>
    <w:p>
      <w:pPr>
        <w:pStyle w:val="null3"/>
      </w:pPr>
      <w:r>
        <w:rPr/>
        <w:t xml:space="preserve"> </w:t>
        <w:br/>
        <w:br w:type="page"/>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供应商名称与营业执照一致</w:t>
            </w:r>
          </w:p>
        </w:tc>
        <w:tc>
          <w:tcPr>
            <w:tcW w:type="dxa" w:w="3322"/>
          </w:tcPr>
          <w:p>
            <w:pPr>
              <w:pStyle w:val="null3"/>
            </w:pPr>
            <w:r>
              <w:rPr/>
              <w:t>供应商名称与营业执照一致</w:t>
            </w:r>
          </w:p>
        </w:tc>
        <w:tc>
          <w:tcPr>
            <w:tcW w:type="dxa" w:w="1661"/>
          </w:tcPr>
          <w:p>
            <w:pPr>
              <w:pStyle w:val="null3"/>
            </w:pPr>
            <w:r>
              <w:rPr/>
              <w:t>投标文件封面 资格文件</w:t>
            </w:r>
          </w:p>
        </w:tc>
      </w:tr>
      <w:tr>
        <w:tc>
          <w:tcPr>
            <w:tcW w:type="dxa" w:w="831"/>
          </w:tcPr>
          <w:p>
            <w:pPr>
              <w:pStyle w:val="null3"/>
            </w:pPr>
            <w:r>
              <w:rPr/>
              <w:t>3</w:t>
            </w:r>
          </w:p>
        </w:tc>
        <w:tc>
          <w:tcPr>
            <w:tcW w:type="dxa" w:w="2492"/>
          </w:tcPr>
          <w:p>
            <w:pPr>
              <w:pStyle w:val="null3"/>
            </w:pPr>
            <w:r>
              <w:rPr/>
              <w:t>投标文件按招标文件要求的计量单位、报价货币及签字盖章</w:t>
            </w:r>
          </w:p>
        </w:tc>
        <w:tc>
          <w:tcPr>
            <w:tcW w:type="dxa" w:w="3322"/>
          </w:tcPr>
          <w:p>
            <w:pPr>
              <w:pStyle w:val="null3"/>
            </w:pPr>
            <w:r>
              <w:rPr/>
              <w:t>投标文件按招标文件要求的计量单位、报价货币及签字盖章</w:t>
            </w:r>
          </w:p>
        </w:tc>
        <w:tc>
          <w:tcPr>
            <w:tcW w:type="dxa" w:w="1661"/>
          </w:tcPr>
          <w:p>
            <w:pPr>
              <w:pStyle w:val="null3"/>
            </w:pPr>
            <w:r>
              <w:rPr/>
              <w:t>开标一览表 分项报价表 标的清单 投标文件封面</w:t>
            </w:r>
          </w:p>
        </w:tc>
      </w:tr>
      <w:tr>
        <w:tc>
          <w:tcPr>
            <w:tcW w:type="dxa" w:w="831"/>
          </w:tcPr>
          <w:p>
            <w:pPr>
              <w:pStyle w:val="null3"/>
            </w:pPr>
            <w:r>
              <w:rPr/>
              <w:t>4</w:t>
            </w:r>
          </w:p>
        </w:tc>
        <w:tc>
          <w:tcPr>
            <w:tcW w:type="dxa" w:w="2492"/>
          </w:tcPr>
          <w:p>
            <w:pPr>
              <w:pStyle w:val="null3"/>
            </w:pPr>
            <w:r>
              <w:rPr/>
              <w:t>投标文件的有效期达到招标文件要求</w:t>
            </w:r>
          </w:p>
        </w:tc>
        <w:tc>
          <w:tcPr>
            <w:tcW w:type="dxa" w:w="3322"/>
          </w:tcPr>
          <w:p>
            <w:pPr>
              <w:pStyle w:val="null3"/>
            </w:pPr>
            <w:r>
              <w:rPr/>
              <w:t>投标文件的有效期达到招标文件要求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符合法律、法规和招标文件中规定的其他实质性要求</w:t>
            </w:r>
          </w:p>
        </w:tc>
        <w:tc>
          <w:tcPr>
            <w:tcW w:type="dxa" w:w="3322"/>
          </w:tcPr>
          <w:p>
            <w:pPr>
              <w:pStyle w:val="null3"/>
            </w:pPr>
            <w:r>
              <w:rPr/>
              <w:t>符合法律、法规和招标文件中规定的其他实质性要求</w:t>
            </w:r>
          </w:p>
        </w:tc>
        <w:tc>
          <w:tcPr>
            <w:tcW w:type="dxa" w:w="1661"/>
          </w:tcPr>
          <w:p>
            <w:pPr>
              <w:pStyle w:val="null3"/>
            </w:pPr>
            <w:r>
              <w:rPr/>
              <w:t>开标一览表 产品技术参数表 投标人有必要说明的其他问题 分项报价表 技术指标偏离表 商务应答表 标的清单</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响应产品的技术指标、参数完全符合、满足招标文件要求，没有负偏离的计20分；“▲”号参数为重要技术指标，每负偏离一项扣 2 分，非“▲”号参数每负偏离一项扣 1 分，扣完为止。 注：提供响应产品的主要技术指标、参数的相应的证明材料（不限于产品彩页、测试报告、官网和功能截图等技术支持性文件资料），经评审专家审定得分。</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评审细则</w:t>
            </w:r>
          </w:p>
        </w:tc>
      </w:tr>
      <w:tr>
        <w:tc>
          <w:tcPr>
            <w:tcW w:type="dxa" w:w="831"/>
            <w:vMerge/>
          </w:tcPr>
          <w:p/>
        </w:tc>
        <w:tc>
          <w:tcPr>
            <w:tcW w:type="dxa" w:w="1661"/>
          </w:tcPr>
          <w:p>
            <w:pPr>
              <w:pStyle w:val="null3"/>
            </w:pPr>
            <w:r>
              <w:rPr/>
              <w:t>技术方案</w:t>
            </w:r>
          </w:p>
        </w:tc>
        <w:tc>
          <w:tcPr>
            <w:tcW w:type="dxa" w:w="2492"/>
          </w:tcPr>
          <w:p>
            <w:pPr>
              <w:pStyle w:val="null3"/>
            </w:pPr>
            <w:r>
              <w:rPr/>
              <w:t>供应商提供的技术方案包含产品选型合理性、模块功能完善性、产品的兼容性及可扩展性、产品设计规范的先进性、产品性能的安全可靠性、技术方案的可行性，方案制定内容齐全，各类措施健全；方案全面，针对性强，得 7-10 分； 比较全面，针对性较强，得 3-6.9 分； 不够全面，针对性欠缺：得 0-2.9 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评审细则</w:t>
            </w:r>
          </w:p>
        </w:tc>
      </w:tr>
      <w:tr>
        <w:tc>
          <w:tcPr>
            <w:tcW w:type="dxa" w:w="831"/>
            <w:vMerge/>
          </w:tcPr>
          <w:p/>
        </w:tc>
        <w:tc>
          <w:tcPr>
            <w:tcW w:type="dxa" w:w="1661"/>
          </w:tcPr>
          <w:p>
            <w:pPr>
              <w:pStyle w:val="null3"/>
            </w:pPr>
            <w:r>
              <w:rPr/>
              <w:t>管理体系</w:t>
            </w:r>
          </w:p>
        </w:tc>
        <w:tc>
          <w:tcPr>
            <w:tcW w:type="dxa" w:w="2492"/>
          </w:tcPr>
          <w:p>
            <w:pPr>
              <w:pStyle w:val="null3"/>
            </w:pPr>
            <w:r>
              <w:rPr/>
              <w:t>投标人有完善的管理体系，针对本项目的实施组织机构、人员安排有具体方案，分工合理、责任明确，能确保项目顺利实施。按其响应程度计0-5分。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评审细则</w:t>
            </w:r>
          </w:p>
        </w:tc>
      </w:tr>
      <w:tr>
        <w:tc>
          <w:tcPr>
            <w:tcW w:type="dxa" w:w="831"/>
            <w:vMerge/>
          </w:tcPr>
          <w:p/>
        </w:tc>
        <w:tc>
          <w:tcPr>
            <w:tcW w:type="dxa" w:w="1661"/>
          </w:tcPr>
          <w:p>
            <w:pPr>
              <w:pStyle w:val="null3"/>
            </w:pPr>
            <w:r>
              <w:rPr/>
              <w:t>供货组织安排</w:t>
            </w:r>
          </w:p>
        </w:tc>
        <w:tc>
          <w:tcPr>
            <w:tcW w:type="dxa" w:w="2492"/>
          </w:tcPr>
          <w:p>
            <w:pPr>
              <w:pStyle w:val="null3"/>
            </w:pPr>
            <w:r>
              <w:rPr/>
              <w:t>投标人针对本项目有具体的供货组织安排，从仓储、运输、派送、安装等方面，提供详细的供货计划表和实施方案，能确保按期交货，根据其响应程度计0-5分。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评审细则</w:t>
            </w:r>
          </w:p>
        </w:tc>
      </w:tr>
      <w:tr>
        <w:tc>
          <w:tcPr>
            <w:tcW w:type="dxa" w:w="831"/>
            <w:vMerge/>
          </w:tcPr>
          <w:p/>
        </w:tc>
        <w:tc>
          <w:tcPr>
            <w:tcW w:type="dxa" w:w="1661"/>
          </w:tcPr>
          <w:p>
            <w:pPr>
              <w:pStyle w:val="null3"/>
            </w:pPr>
            <w:r>
              <w:rPr/>
              <w:t>进货渠道</w:t>
            </w:r>
          </w:p>
        </w:tc>
        <w:tc>
          <w:tcPr>
            <w:tcW w:type="dxa" w:w="2492"/>
          </w:tcPr>
          <w:p>
            <w:pPr>
              <w:pStyle w:val="null3"/>
            </w:pPr>
            <w:r>
              <w:rPr/>
              <w:t>产品进货渠道正规，确保生产供应的产品无假货、水货、翻新货且无产权纠纷，提供所投产品的合法来源渠道证明文件，根据响应程度计0-5分。未提供来源渠道证明文件的不计分。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评审细则</w:t>
            </w:r>
          </w:p>
        </w:tc>
      </w:tr>
      <w:tr>
        <w:tc>
          <w:tcPr>
            <w:tcW w:type="dxa" w:w="831"/>
            <w:vMerge/>
          </w:tcPr>
          <w:p/>
        </w:tc>
        <w:tc>
          <w:tcPr>
            <w:tcW w:type="dxa" w:w="1661"/>
          </w:tcPr>
          <w:p>
            <w:pPr>
              <w:pStyle w:val="null3"/>
            </w:pPr>
            <w:r>
              <w:rPr/>
              <w:t>质量保证</w:t>
            </w:r>
          </w:p>
        </w:tc>
        <w:tc>
          <w:tcPr>
            <w:tcW w:type="dxa" w:w="2492"/>
          </w:tcPr>
          <w:p>
            <w:pPr>
              <w:pStyle w:val="null3"/>
            </w:pPr>
            <w:r>
              <w:rPr/>
              <w:t>所投产品技术工艺先进，性能稳定，具有较好的使用效果，质量保证完善，符合国际、国内相关标准或行业标准，能够提供质量保证承诺的，根据响应程度计0-5分。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评审细则</w:t>
            </w:r>
          </w:p>
        </w:tc>
      </w:tr>
      <w:tr>
        <w:tc>
          <w:tcPr>
            <w:tcW w:type="dxa" w:w="831"/>
            <w:vMerge/>
          </w:tcPr>
          <w:p/>
        </w:tc>
        <w:tc>
          <w:tcPr>
            <w:tcW w:type="dxa" w:w="1661"/>
          </w:tcPr>
          <w:p>
            <w:pPr>
              <w:pStyle w:val="null3"/>
            </w:pPr>
            <w:r>
              <w:rPr/>
              <w:t>售后服务</w:t>
            </w:r>
          </w:p>
        </w:tc>
        <w:tc>
          <w:tcPr>
            <w:tcW w:type="dxa" w:w="2492"/>
          </w:tcPr>
          <w:p>
            <w:pPr>
              <w:pStyle w:val="null3"/>
            </w:pPr>
            <w:r>
              <w:rPr/>
              <w:t>在项目实施所在地有相应的技术支持及售后服务机构（提供有效的办公场所证明材料），对备品配件、设备发生故障后的补救措施，维修服务响应时限等售后服务，有明确的承诺且具体、切实可行，按其响应程度计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评审细则</w:t>
            </w:r>
          </w:p>
        </w:tc>
      </w:tr>
      <w:tr>
        <w:tc>
          <w:tcPr>
            <w:tcW w:type="dxa" w:w="831"/>
            <w:vMerge/>
          </w:tcPr>
          <w:p/>
        </w:tc>
        <w:tc>
          <w:tcPr>
            <w:tcW w:type="dxa" w:w="1661"/>
          </w:tcPr>
          <w:p>
            <w:pPr>
              <w:pStyle w:val="null3"/>
            </w:pPr>
            <w:r>
              <w:rPr/>
              <w:t>培训措施</w:t>
            </w:r>
          </w:p>
        </w:tc>
        <w:tc>
          <w:tcPr>
            <w:tcW w:type="dxa" w:w="2492"/>
          </w:tcPr>
          <w:p>
            <w:pPr>
              <w:pStyle w:val="null3"/>
            </w:pPr>
            <w:r>
              <w:rPr/>
              <w:t>针对本项目具有可行的技术培训方案，培训采购人指定的技术人员和管理人员，制定培训课程计划表，列出每种培训的地点和时间，培训内容应包括所提供设备的原理和技术性能、操作维护方法、安装调试、排除故障等各个方面，培训的具体日期及人数由使用单位确定。确保培训后的人员应能熟练操作设备，了解设备结构、工作原理，并能排除一般故障，根据响应情况计0-3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评审细则</w:t>
            </w:r>
          </w:p>
        </w:tc>
      </w:tr>
      <w:tr>
        <w:tc>
          <w:tcPr>
            <w:tcW w:type="dxa" w:w="831"/>
            <w:vMerge/>
          </w:tcPr>
          <w:p/>
        </w:tc>
        <w:tc>
          <w:tcPr>
            <w:tcW w:type="dxa" w:w="1661"/>
          </w:tcPr>
          <w:p>
            <w:pPr>
              <w:pStyle w:val="null3"/>
            </w:pPr>
            <w:r>
              <w:rPr/>
              <w:t>节能环保</w:t>
            </w:r>
          </w:p>
        </w:tc>
        <w:tc>
          <w:tcPr>
            <w:tcW w:type="dxa" w:w="2492"/>
          </w:tcPr>
          <w:p>
            <w:pPr>
              <w:pStyle w:val="null3"/>
            </w:pPr>
            <w:r>
              <w:rPr/>
              <w:t>投标人所投产品中每有一项为节能产品经国家认证的得0.5分，每有一项为环境标志产品经国家认证的得0.5分，供应商响应产品中每有一项产品同时为节能产品和环境标志产品得1分，最多得2分。（以经国家确定的认证机构出具的、处于有效期内的节能产品、环境标志产品认证证书为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评审细则</w:t>
            </w:r>
          </w:p>
        </w:tc>
      </w:tr>
      <w:tr>
        <w:tc>
          <w:tcPr>
            <w:tcW w:type="dxa" w:w="831"/>
            <w:vMerge/>
          </w:tcPr>
          <w:p/>
        </w:tc>
        <w:tc>
          <w:tcPr>
            <w:tcW w:type="dxa" w:w="1661"/>
          </w:tcPr>
          <w:p>
            <w:pPr>
              <w:pStyle w:val="null3"/>
            </w:pPr>
            <w:r>
              <w:rPr/>
              <w:t>业绩</w:t>
            </w:r>
          </w:p>
        </w:tc>
        <w:tc>
          <w:tcPr>
            <w:tcW w:type="dxa" w:w="2492"/>
          </w:tcPr>
          <w:p>
            <w:pPr>
              <w:pStyle w:val="null3"/>
            </w:pPr>
            <w:r>
              <w:rPr/>
              <w:t>提供2020年1月至开标前同类产品的业绩，须提供合同复印件加盖公章，提供不全不计分，每提供一份计2分，此项共计10分。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评审细则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中小企业声明函</w:t>
            </w:r>
          </w:p>
          <w:p>
            <w:pPr>
              <w:pStyle w:val="null3"/>
            </w:pPr>
            <w:r>
              <w:rPr/>
              <w:t>残疾人福利性单位声明函</w:t>
            </w:r>
          </w:p>
          <w:p>
            <w:pPr>
              <w:pStyle w:val="null3"/>
            </w:pPr>
            <w:r>
              <w:rPr/>
              <w:t>开标一览表</w:t>
            </w:r>
          </w:p>
          <w:p>
            <w:pPr>
              <w:pStyle w:val="null3"/>
            </w:pPr>
            <w:r>
              <w:rPr/>
              <w:t>标的清单</w:t>
            </w:r>
          </w:p>
          <w:p>
            <w:pPr>
              <w:pStyle w:val="null3"/>
            </w:pPr>
            <w:r>
              <w:rPr/>
              <w:t>监狱企业的证明文件</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详见附件：评审细则</w:t>
      </w:r>
    </w:p>
    <w:p>
      <w:pPr>
        <w:pStyle w:val="null3"/>
        <w:ind w:firstLine="960"/>
      </w:pPr>
      <w:r>
        <w:rPr/>
        <w:t>详见附件：分项报价表</w:t>
      </w:r>
    </w:p>
    <w:p>
      <w:pPr>
        <w:pStyle w:val="null3"/>
        <w:ind w:firstLine="960"/>
      </w:pPr>
      <w:r>
        <w:rPr/>
        <w:t>详见附件：资格文件</w:t>
      </w:r>
    </w:p>
    <w:p>
      <w:pPr>
        <w:pStyle w:val="null3"/>
        <w:ind w:firstLine="960"/>
      </w:pPr>
      <w:r>
        <w:rPr/>
        <w:t>详见附件：投标人有必要说明的其他问题</w:t>
      </w:r>
    </w:p>
    <w:p>
      <w:pPr>
        <w:pStyle w:val="null3"/>
        <w:ind w:firstLine="960"/>
      </w:pPr>
      <w:r>
        <w:rPr/>
        <w:t>详见附件：技术指标偏离表</w:t>
      </w:r>
    </w:p>
    <w:p>
      <w:pPr>
        <w:pStyle w:val="null3"/>
      </w:pPr>
      <w:r>
        <w:rPr/>
        <w:t xml:space="preserve"> </w:t>
        <w:br/>
        <w:br w:type="page"/>
      </w:r>
    </w:p>
    <w:p>
      <w:pPr>
        <w:pStyle w:val="null3"/>
        <w:jc w:val="center"/>
        <w:outlineLvl w:val="1"/>
      </w:pPr>
      <w:r>
        <w:rPr>
          <w:b/>
          <w:sz w:val="36"/>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