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B89A3B">
      <w:pPr>
        <w:rPr>
          <w:rFonts w:hint="eastAsia" w:ascii="黑体" w:eastAsia="黑体"/>
          <w:sz w:val="32"/>
          <w:szCs w:val="32"/>
        </w:rPr>
      </w:pPr>
      <w:r>
        <w:rPr>
          <w:rFonts w:hint="eastAsia" w:ascii="黑体" w:eastAsia="黑体"/>
          <w:sz w:val="32"/>
          <w:szCs w:val="32"/>
        </w:rPr>
        <w:t xml:space="preserve">政府采购项目                                  </w:t>
      </w:r>
    </w:p>
    <w:p w14:paraId="5CF28C82">
      <w:pPr>
        <w:spacing w:line="510" w:lineRule="atLeast"/>
        <w:jc w:val="center"/>
        <w:rPr>
          <w:rFonts w:hint="eastAsia" w:ascii="黑体" w:eastAsia="黑体"/>
          <w:sz w:val="52"/>
          <w:szCs w:val="52"/>
        </w:rPr>
      </w:pPr>
    </w:p>
    <w:p w14:paraId="7A799BC1">
      <w:pPr>
        <w:spacing w:line="510" w:lineRule="atLeast"/>
        <w:jc w:val="center"/>
        <w:rPr>
          <w:rFonts w:hint="eastAsia" w:ascii="黑体" w:eastAsia="黑体"/>
          <w:sz w:val="48"/>
          <w:szCs w:val="48"/>
        </w:rPr>
      </w:pPr>
      <w:r>
        <w:rPr>
          <w:rFonts w:hint="eastAsia" w:ascii="黑体" w:eastAsia="黑体"/>
          <w:sz w:val="48"/>
          <w:szCs w:val="48"/>
          <w:u w:val="single"/>
        </w:rPr>
        <w:t xml:space="preserve">        项目</w:t>
      </w:r>
      <w:bookmarkStart w:id="0" w:name="_GoBack"/>
      <w:bookmarkEnd w:id="0"/>
    </w:p>
    <w:p w14:paraId="629D83A7">
      <w:pPr>
        <w:spacing w:line="480" w:lineRule="auto"/>
        <w:jc w:val="center"/>
        <w:rPr>
          <w:rFonts w:hint="eastAsia" w:ascii="黑体" w:eastAsia="黑体"/>
          <w:b/>
          <w:sz w:val="48"/>
          <w:szCs w:val="48"/>
        </w:rPr>
      </w:pPr>
      <w:r>
        <w:rPr>
          <w:rFonts w:hint="eastAsia" w:ascii="黑体" w:eastAsia="黑体"/>
          <w:b/>
          <w:sz w:val="48"/>
          <w:szCs w:val="48"/>
        </w:rPr>
        <w:t>供 货 合 同</w:t>
      </w:r>
    </w:p>
    <w:p w14:paraId="74F77509">
      <w:pPr>
        <w:spacing w:line="480" w:lineRule="auto"/>
        <w:jc w:val="center"/>
        <w:rPr>
          <w:rFonts w:hint="eastAsia" w:ascii="黑体" w:eastAsia="黑体"/>
          <w:sz w:val="36"/>
          <w:szCs w:val="36"/>
        </w:rPr>
      </w:pPr>
      <w:r>
        <w:rPr>
          <w:rFonts w:hint="eastAsia" w:ascii="黑体" w:eastAsia="黑体"/>
          <w:sz w:val="36"/>
          <w:szCs w:val="36"/>
        </w:rPr>
        <w:t>（编号：</w:t>
      </w:r>
      <w:r>
        <w:rPr>
          <w:rFonts w:hint="eastAsia" w:ascii="黑体" w:eastAsia="黑体"/>
          <w:sz w:val="36"/>
          <w:szCs w:val="36"/>
          <w:u w:val="single"/>
        </w:rPr>
        <w:t xml:space="preserve">          </w:t>
      </w:r>
      <w:r>
        <w:rPr>
          <w:rFonts w:hint="eastAsia" w:ascii="黑体" w:eastAsia="黑体"/>
          <w:sz w:val="36"/>
          <w:szCs w:val="36"/>
        </w:rPr>
        <w:t>）</w:t>
      </w:r>
    </w:p>
    <w:p w14:paraId="35512B45">
      <w:pPr>
        <w:spacing w:line="480" w:lineRule="auto"/>
        <w:jc w:val="center"/>
        <w:rPr>
          <w:rFonts w:hint="eastAsia" w:ascii="黑体" w:eastAsia="黑体"/>
          <w:sz w:val="36"/>
          <w:szCs w:val="36"/>
        </w:rPr>
      </w:pPr>
      <w:r>
        <w:rPr>
          <w:rFonts w:hint="eastAsia" w:ascii="黑体" w:eastAsia="黑体"/>
          <w:sz w:val="36"/>
          <w:szCs w:val="36"/>
        </w:rPr>
        <w:t>第 包</w:t>
      </w:r>
    </w:p>
    <w:p w14:paraId="0C26082D">
      <w:pPr>
        <w:spacing w:line="510" w:lineRule="atLeast"/>
        <w:jc w:val="center"/>
        <w:rPr>
          <w:rFonts w:hint="eastAsia" w:ascii="黑体" w:eastAsia="黑体"/>
          <w:sz w:val="30"/>
          <w:szCs w:val="30"/>
        </w:rPr>
      </w:pPr>
    </w:p>
    <w:p w14:paraId="3BDE3AF9">
      <w:pPr>
        <w:spacing w:line="510" w:lineRule="atLeast"/>
        <w:jc w:val="center"/>
        <w:rPr>
          <w:rFonts w:hint="eastAsia" w:ascii="黑体" w:eastAsia="黑体"/>
          <w:sz w:val="30"/>
          <w:szCs w:val="30"/>
        </w:rPr>
      </w:pPr>
    </w:p>
    <w:p w14:paraId="02AC9EC7">
      <w:pPr>
        <w:spacing w:line="510" w:lineRule="atLeast"/>
        <w:jc w:val="center"/>
        <w:rPr>
          <w:rFonts w:hint="eastAsia" w:ascii="黑体" w:eastAsia="黑体"/>
          <w:sz w:val="30"/>
          <w:szCs w:val="30"/>
        </w:rPr>
      </w:pPr>
    </w:p>
    <w:p w14:paraId="161F473F">
      <w:pPr>
        <w:spacing w:line="510" w:lineRule="atLeast"/>
        <w:jc w:val="center"/>
        <w:rPr>
          <w:rFonts w:hint="eastAsia" w:ascii="黑体" w:eastAsia="黑体"/>
          <w:sz w:val="30"/>
          <w:szCs w:val="30"/>
        </w:rPr>
      </w:pPr>
    </w:p>
    <w:p w14:paraId="0A0F4626">
      <w:pPr>
        <w:spacing w:line="510" w:lineRule="atLeast"/>
        <w:jc w:val="center"/>
        <w:rPr>
          <w:rFonts w:hint="eastAsia" w:ascii="黑体" w:eastAsia="黑体"/>
          <w:sz w:val="30"/>
          <w:szCs w:val="30"/>
        </w:rPr>
      </w:pPr>
    </w:p>
    <w:p w14:paraId="5506420A">
      <w:pPr>
        <w:spacing w:line="510" w:lineRule="atLeast"/>
        <w:rPr>
          <w:rFonts w:hint="eastAsia" w:ascii="黑体" w:eastAsia="黑体"/>
          <w:sz w:val="30"/>
          <w:szCs w:val="30"/>
        </w:rPr>
      </w:pPr>
    </w:p>
    <w:p w14:paraId="2DACD28C">
      <w:pPr>
        <w:spacing w:line="360" w:lineRule="auto"/>
        <w:ind w:firstLine="2080" w:firstLineChars="650"/>
        <w:rPr>
          <w:rFonts w:hint="eastAsia" w:ascii="黑体" w:eastAsia="黑体"/>
          <w:sz w:val="32"/>
          <w:szCs w:val="32"/>
        </w:rPr>
      </w:pPr>
      <w:r>
        <w:rPr>
          <w:rFonts w:hint="eastAsia" w:ascii="黑体" w:eastAsia="黑体"/>
          <w:sz w:val="32"/>
          <w:szCs w:val="32"/>
        </w:rPr>
        <w:t>甲  方：</w:t>
      </w:r>
    </w:p>
    <w:p w14:paraId="08FDF959">
      <w:pPr>
        <w:tabs>
          <w:tab w:val="left" w:pos="480"/>
        </w:tabs>
        <w:spacing w:line="360" w:lineRule="auto"/>
        <w:ind w:firstLine="640" w:firstLineChars="200"/>
        <w:rPr>
          <w:rFonts w:hint="eastAsia" w:ascii="黑体" w:hAnsi="宋体" w:eastAsia="黑体"/>
          <w:sz w:val="32"/>
          <w:szCs w:val="32"/>
        </w:rPr>
      </w:pPr>
      <w:r>
        <w:rPr>
          <w:rFonts w:hint="eastAsia" w:ascii="黑体" w:eastAsia="黑体"/>
          <w:sz w:val="32"/>
          <w:szCs w:val="32"/>
        </w:rPr>
        <w:t xml:space="preserve">         乙  方： </w:t>
      </w:r>
    </w:p>
    <w:p w14:paraId="7518D95E">
      <w:pPr>
        <w:tabs>
          <w:tab w:val="left" w:pos="480"/>
        </w:tabs>
        <w:spacing w:line="360" w:lineRule="auto"/>
        <w:ind w:firstLine="640" w:firstLineChars="200"/>
        <w:rPr>
          <w:rFonts w:hint="eastAsia" w:ascii="楷体" w:hAnsi="楷体" w:eastAsia="楷体" w:cs="楷体"/>
          <w:b/>
          <w:sz w:val="32"/>
          <w:szCs w:val="32"/>
        </w:rPr>
      </w:pPr>
      <w:r>
        <w:rPr>
          <w:rFonts w:hint="eastAsia" w:ascii="黑体" w:eastAsia="黑体"/>
          <w:sz w:val="32"/>
          <w:szCs w:val="32"/>
        </w:rPr>
        <w:t xml:space="preserve">        </w:t>
      </w:r>
      <w:r>
        <w:rPr>
          <w:rFonts w:ascii="黑体" w:eastAsia="黑体"/>
          <w:sz w:val="32"/>
          <w:szCs w:val="32"/>
        </w:rPr>
        <w:t xml:space="preserve"> </w:t>
      </w:r>
      <w:r>
        <w:rPr>
          <w:rFonts w:hint="eastAsia" w:ascii="宋体" w:hAnsi="宋体"/>
          <w:b/>
          <w:sz w:val="32"/>
          <w:szCs w:val="21"/>
        </w:rPr>
        <w:t>鉴证方</w:t>
      </w:r>
      <w:r>
        <w:rPr>
          <w:rFonts w:hint="eastAsia" w:ascii="黑体" w:eastAsia="黑体"/>
          <w:sz w:val="32"/>
          <w:szCs w:val="32"/>
        </w:rPr>
        <w:t xml:space="preserve">： </w:t>
      </w:r>
    </w:p>
    <w:p w14:paraId="2119D2BB">
      <w:pPr>
        <w:tabs>
          <w:tab w:val="left" w:pos="480"/>
        </w:tabs>
        <w:spacing w:line="360" w:lineRule="auto"/>
        <w:ind w:firstLine="640" w:firstLineChars="200"/>
        <w:rPr>
          <w:rFonts w:hint="eastAsia" w:ascii="黑体" w:eastAsia="黑体"/>
          <w:sz w:val="32"/>
          <w:szCs w:val="32"/>
        </w:rPr>
      </w:pPr>
    </w:p>
    <w:p w14:paraId="60EAF2E4">
      <w:pPr>
        <w:spacing w:line="510" w:lineRule="atLeast"/>
        <w:jc w:val="center"/>
        <w:rPr>
          <w:rFonts w:hint="eastAsia" w:ascii="黑体" w:eastAsia="黑体"/>
          <w:sz w:val="30"/>
          <w:szCs w:val="30"/>
        </w:rPr>
      </w:pPr>
    </w:p>
    <w:p w14:paraId="3EBB0732">
      <w:pPr>
        <w:spacing w:line="510" w:lineRule="atLeast"/>
        <w:jc w:val="center"/>
        <w:rPr>
          <w:rFonts w:hint="eastAsia" w:ascii="黑体" w:eastAsia="黑体"/>
          <w:sz w:val="30"/>
          <w:szCs w:val="30"/>
        </w:rPr>
      </w:pPr>
    </w:p>
    <w:p w14:paraId="086AF693">
      <w:pPr>
        <w:spacing w:line="510" w:lineRule="atLeast"/>
        <w:jc w:val="center"/>
        <w:rPr>
          <w:rFonts w:hint="eastAsia" w:ascii="黑体" w:eastAsia="黑体"/>
          <w:sz w:val="32"/>
          <w:szCs w:val="32"/>
        </w:rPr>
      </w:pPr>
      <w:r>
        <w:rPr>
          <w:rFonts w:hint="eastAsia" w:ascii="黑体" w:eastAsia="黑体"/>
          <w:sz w:val="32"/>
          <w:szCs w:val="32"/>
        </w:rPr>
        <w:t>中国  西安</w:t>
      </w:r>
    </w:p>
    <w:p w14:paraId="7E79F477">
      <w:pPr>
        <w:spacing w:line="510" w:lineRule="atLeast"/>
        <w:jc w:val="center"/>
        <w:rPr>
          <w:rFonts w:hint="eastAsia" w:ascii="黑体" w:eastAsia="黑体"/>
          <w:sz w:val="32"/>
          <w:szCs w:val="32"/>
        </w:rPr>
      </w:pPr>
    </w:p>
    <w:p w14:paraId="2C274FB0">
      <w:pPr>
        <w:spacing w:line="510" w:lineRule="atLeast"/>
        <w:jc w:val="center"/>
        <w:rPr>
          <w:rFonts w:hint="eastAsia" w:ascii="黑体" w:eastAsia="黑体"/>
          <w:sz w:val="32"/>
          <w:szCs w:val="32"/>
        </w:rPr>
      </w:pPr>
    </w:p>
    <w:p w14:paraId="2D7BA686">
      <w:pPr>
        <w:spacing w:line="510" w:lineRule="atLeast"/>
        <w:jc w:val="center"/>
        <w:rPr>
          <w:rFonts w:hint="eastAsia" w:ascii="黑体" w:eastAsia="黑体"/>
          <w:b/>
          <w:sz w:val="36"/>
          <w:szCs w:val="36"/>
        </w:rPr>
      </w:pPr>
      <w:r>
        <w:rPr>
          <w:rFonts w:hint="eastAsia" w:ascii="黑体" w:eastAsia="黑体"/>
          <w:b/>
          <w:sz w:val="36"/>
          <w:szCs w:val="36"/>
        </w:rPr>
        <w:t>供 货 合 同</w:t>
      </w:r>
    </w:p>
    <w:p w14:paraId="5FF5B79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甲方：</w:t>
      </w:r>
    </w:p>
    <w:p w14:paraId="4966234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 xml:space="preserve">乙方： </w:t>
      </w:r>
    </w:p>
    <w:p w14:paraId="5BE32F2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 xml:space="preserve">鉴证方： </w:t>
      </w:r>
    </w:p>
    <w:p w14:paraId="608E57A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依据《中华人民共和国政府采购法》、《中华人民共和国招标投标法》、《中华人民共和国民法典》以及招标文件、投标文件，经甲、乙双方协商，鉴证方确认，达成如下条款。</w:t>
      </w:r>
    </w:p>
    <w:p w14:paraId="1C8E263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rPr>
        <w:t>一、合同货物内容及数量</w:t>
      </w:r>
    </w:p>
    <w:tbl>
      <w:tblPr>
        <w:tblStyle w:val="2"/>
        <w:tblW w:w="9523" w:type="dxa"/>
        <w:tblInd w:w="0" w:type="dxa"/>
        <w:tblLayout w:type="fixed"/>
        <w:tblCellMar>
          <w:top w:w="0" w:type="dxa"/>
          <w:left w:w="28" w:type="dxa"/>
          <w:bottom w:w="0" w:type="dxa"/>
          <w:right w:w="28" w:type="dxa"/>
        </w:tblCellMar>
      </w:tblPr>
      <w:tblGrid>
        <w:gridCol w:w="626"/>
        <w:gridCol w:w="1979"/>
        <w:gridCol w:w="1365"/>
        <w:gridCol w:w="878"/>
        <w:gridCol w:w="850"/>
        <w:gridCol w:w="934"/>
        <w:gridCol w:w="1042"/>
        <w:gridCol w:w="1007"/>
        <w:gridCol w:w="842"/>
      </w:tblGrid>
      <w:tr w14:paraId="11DF694C">
        <w:tblPrEx>
          <w:tblCellMar>
            <w:top w:w="0" w:type="dxa"/>
            <w:left w:w="28" w:type="dxa"/>
            <w:bottom w:w="0" w:type="dxa"/>
            <w:right w:w="28" w:type="dxa"/>
          </w:tblCellMar>
        </w:tblPrEx>
        <w:trPr>
          <w:trHeight w:val="237" w:hRule="atLeast"/>
        </w:trPr>
        <w:tc>
          <w:tcPr>
            <w:tcW w:w="626" w:type="dxa"/>
            <w:tcBorders>
              <w:top w:val="single" w:color="auto" w:sz="6" w:space="0"/>
              <w:left w:val="single" w:color="auto" w:sz="6" w:space="0"/>
              <w:bottom w:val="single" w:color="auto" w:sz="6" w:space="0"/>
            </w:tcBorders>
            <w:noWrap w:val="0"/>
            <w:vAlign w:val="center"/>
          </w:tcPr>
          <w:p w14:paraId="4FC5C6DE">
            <w:pPr>
              <w:spacing w:after="120" w:line="300" w:lineRule="exact"/>
              <w:jc w:val="center"/>
              <w:rPr>
                <w:rFonts w:hint="eastAsia" w:ascii="宋体" w:hAnsi="宋体"/>
                <w:szCs w:val="21"/>
              </w:rPr>
            </w:pPr>
            <w:r>
              <w:rPr>
                <w:rFonts w:hint="eastAsia" w:ascii="宋体" w:hAnsi="宋体"/>
                <w:szCs w:val="21"/>
              </w:rPr>
              <w:t>序号</w:t>
            </w:r>
          </w:p>
        </w:tc>
        <w:tc>
          <w:tcPr>
            <w:tcW w:w="1979" w:type="dxa"/>
            <w:tcBorders>
              <w:top w:val="single" w:color="auto" w:sz="6" w:space="0"/>
              <w:left w:val="single" w:color="auto" w:sz="6" w:space="0"/>
              <w:bottom w:val="single" w:color="auto" w:sz="6" w:space="0"/>
              <w:right w:val="single" w:color="auto" w:sz="6" w:space="0"/>
            </w:tcBorders>
            <w:noWrap w:val="0"/>
            <w:vAlign w:val="center"/>
          </w:tcPr>
          <w:p w14:paraId="653FBA02">
            <w:pPr>
              <w:spacing w:after="120" w:line="300" w:lineRule="exact"/>
              <w:jc w:val="center"/>
              <w:rPr>
                <w:rFonts w:hint="eastAsia" w:ascii="宋体" w:hAnsi="宋体"/>
                <w:szCs w:val="21"/>
              </w:rPr>
            </w:pPr>
            <w:r>
              <w:rPr>
                <w:rFonts w:hint="eastAsia" w:ascii="宋体" w:hAnsi="宋体"/>
                <w:szCs w:val="21"/>
              </w:rPr>
              <w:t>货物名称</w:t>
            </w:r>
          </w:p>
        </w:tc>
        <w:tc>
          <w:tcPr>
            <w:tcW w:w="1365" w:type="dxa"/>
            <w:tcBorders>
              <w:top w:val="single" w:color="auto" w:sz="6" w:space="0"/>
              <w:left w:val="single" w:color="auto" w:sz="6" w:space="0"/>
              <w:bottom w:val="single" w:color="auto" w:sz="6" w:space="0"/>
              <w:right w:val="single" w:color="auto" w:sz="4" w:space="0"/>
            </w:tcBorders>
            <w:noWrap w:val="0"/>
            <w:vAlign w:val="center"/>
          </w:tcPr>
          <w:p w14:paraId="0D4CE6F0">
            <w:pPr>
              <w:spacing w:after="120" w:line="300" w:lineRule="exact"/>
              <w:jc w:val="center"/>
              <w:rPr>
                <w:rFonts w:hint="eastAsia" w:ascii="宋体" w:hAnsi="宋体"/>
                <w:szCs w:val="21"/>
              </w:rPr>
            </w:pPr>
            <w:r>
              <w:rPr>
                <w:rFonts w:hint="eastAsia" w:ascii="宋体" w:hAnsi="宋体"/>
                <w:szCs w:val="21"/>
              </w:rPr>
              <w:t>规格型号</w:t>
            </w:r>
          </w:p>
        </w:tc>
        <w:tc>
          <w:tcPr>
            <w:tcW w:w="878" w:type="dxa"/>
            <w:tcBorders>
              <w:top w:val="single" w:color="auto" w:sz="6" w:space="0"/>
              <w:left w:val="single" w:color="auto" w:sz="4" w:space="0"/>
              <w:bottom w:val="single" w:color="auto" w:sz="6" w:space="0"/>
              <w:right w:val="single" w:color="auto" w:sz="6" w:space="0"/>
            </w:tcBorders>
            <w:noWrap w:val="0"/>
            <w:vAlign w:val="center"/>
          </w:tcPr>
          <w:p w14:paraId="2B545C6E">
            <w:pPr>
              <w:spacing w:after="120" w:line="300" w:lineRule="exact"/>
              <w:jc w:val="center"/>
              <w:rPr>
                <w:rFonts w:hint="eastAsia" w:ascii="宋体" w:hAnsi="宋体"/>
                <w:szCs w:val="21"/>
              </w:rPr>
            </w:pPr>
            <w:r>
              <w:rPr>
                <w:rFonts w:hint="eastAsia" w:ascii="宋体" w:hAnsi="宋体"/>
                <w:szCs w:val="21"/>
              </w:rPr>
              <w:t>数量</w:t>
            </w:r>
          </w:p>
        </w:tc>
        <w:tc>
          <w:tcPr>
            <w:tcW w:w="850" w:type="dxa"/>
            <w:tcBorders>
              <w:top w:val="single" w:color="auto" w:sz="6" w:space="0"/>
              <w:left w:val="single" w:color="auto" w:sz="6" w:space="0"/>
              <w:bottom w:val="single" w:color="auto" w:sz="6" w:space="0"/>
              <w:right w:val="single" w:color="auto" w:sz="4" w:space="0"/>
            </w:tcBorders>
            <w:noWrap w:val="0"/>
            <w:vAlign w:val="center"/>
          </w:tcPr>
          <w:p w14:paraId="364C7D92">
            <w:pPr>
              <w:spacing w:after="120" w:line="300" w:lineRule="exact"/>
              <w:jc w:val="center"/>
              <w:rPr>
                <w:rFonts w:hint="eastAsia" w:ascii="宋体" w:hAnsi="宋体"/>
                <w:szCs w:val="21"/>
              </w:rPr>
            </w:pPr>
            <w:r>
              <w:rPr>
                <w:rFonts w:hint="eastAsia" w:ascii="宋体" w:hAnsi="宋体"/>
                <w:szCs w:val="21"/>
              </w:rPr>
              <w:t>单价</w:t>
            </w:r>
          </w:p>
          <w:p w14:paraId="1DBE57D2">
            <w:pPr>
              <w:spacing w:after="120" w:line="300" w:lineRule="exact"/>
              <w:jc w:val="center"/>
              <w:rPr>
                <w:rFonts w:hint="eastAsia" w:ascii="宋体" w:hAnsi="宋体"/>
                <w:szCs w:val="21"/>
              </w:rPr>
            </w:pPr>
            <w:r>
              <w:rPr>
                <w:rFonts w:hint="eastAsia" w:ascii="宋体" w:hAnsi="宋体"/>
                <w:szCs w:val="21"/>
              </w:rPr>
              <w:t>（元）</w:t>
            </w:r>
          </w:p>
        </w:tc>
        <w:tc>
          <w:tcPr>
            <w:tcW w:w="934" w:type="dxa"/>
            <w:tcBorders>
              <w:top w:val="single" w:color="auto" w:sz="6" w:space="0"/>
              <w:left w:val="single" w:color="auto" w:sz="4" w:space="0"/>
              <w:bottom w:val="single" w:color="auto" w:sz="6" w:space="0"/>
              <w:right w:val="single" w:color="auto" w:sz="4" w:space="0"/>
            </w:tcBorders>
            <w:noWrap w:val="0"/>
            <w:vAlign w:val="center"/>
          </w:tcPr>
          <w:p w14:paraId="5A62D6FE">
            <w:pPr>
              <w:spacing w:after="120" w:line="300" w:lineRule="exact"/>
              <w:jc w:val="center"/>
              <w:rPr>
                <w:rFonts w:hint="eastAsia" w:ascii="宋体" w:hAnsi="宋体"/>
                <w:szCs w:val="21"/>
              </w:rPr>
            </w:pPr>
            <w:r>
              <w:rPr>
                <w:rFonts w:hint="eastAsia" w:ascii="宋体" w:hAnsi="宋体"/>
                <w:szCs w:val="21"/>
              </w:rPr>
              <w:t>品牌</w:t>
            </w:r>
          </w:p>
        </w:tc>
        <w:tc>
          <w:tcPr>
            <w:tcW w:w="1042" w:type="dxa"/>
            <w:tcBorders>
              <w:top w:val="single" w:color="auto" w:sz="6" w:space="0"/>
              <w:left w:val="single" w:color="auto" w:sz="4" w:space="0"/>
              <w:bottom w:val="single" w:color="auto" w:sz="6" w:space="0"/>
              <w:right w:val="single" w:color="auto" w:sz="6" w:space="0"/>
            </w:tcBorders>
            <w:noWrap w:val="0"/>
            <w:vAlign w:val="center"/>
          </w:tcPr>
          <w:p w14:paraId="781CEE4F">
            <w:pPr>
              <w:spacing w:after="120" w:line="300" w:lineRule="exact"/>
              <w:jc w:val="center"/>
              <w:rPr>
                <w:rFonts w:hint="eastAsia" w:ascii="宋体" w:hAnsi="宋体"/>
                <w:szCs w:val="21"/>
              </w:rPr>
            </w:pPr>
            <w:r>
              <w:rPr>
                <w:rFonts w:hint="eastAsia" w:ascii="宋体" w:hAnsi="宋体"/>
                <w:szCs w:val="21"/>
              </w:rPr>
              <w:t>产地</w:t>
            </w:r>
          </w:p>
        </w:tc>
        <w:tc>
          <w:tcPr>
            <w:tcW w:w="1007" w:type="dxa"/>
            <w:tcBorders>
              <w:top w:val="single" w:color="auto" w:sz="6" w:space="0"/>
              <w:left w:val="single" w:color="auto" w:sz="6" w:space="0"/>
              <w:bottom w:val="single" w:color="auto" w:sz="6" w:space="0"/>
              <w:right w:val="single" w:color="auto" w:sz="4" w:space="0"/>
            </w:tcBorders>
            <w:noWrap w:val="0"/>
            <w:vAlign w:val="center"/>
          </w:tcPr>
          <w:p w14:paraId="1954D66A">
            <w:pPr>
              <w:spacing w:after="120" w:line="300" w:lineRule="exact"/>
              <w:jc w:val="center"/>
              <w:rPr>
                <w:rFonts w:hint="eastAsia" w:ascii="宋体" w:hAnsi="宋体"/>
                <w:szCs w:val="21"/>
              </w:rPr>
            </w:pPr>
            <w:r>
              <w:rPr>
                <w:rFonts w:hint="eastAsia" w:ascii="宋体" w:hAnsi="宋体"/>
                <w:szCs w:val="21"/>
              </w:rPr>
              <w:t>金额</w:t>
            </w:r>
          </w:p>
          <w:p w14:paraId="44B0D42B">
            <w:pPr>
              <w:spacing w:after="120" w:line="300" w:lineRule="exact"/>
              <w:jc w:val="center"/>
              <w:rPr>
                <w:rFonts w:hint="eastAsia" w:ascii="宋体" w:hAnsi="宋体"/>
                <w:szCs w:val="21"/>
              </w:rPr>
            </w:pPr>
            <w:r>
              <w:rPr>
                <w:rFonts w:hint="eastAsia" w:ascii="宋体" w:hAnsi="宋体"/>
                <w:szCs w:val="21"/>
              </w:rPr>
              <w:t>（元）</w:t>
            </w:r>
          </w:p>
        </w:tc>
        <w:tc>
          <w:tcPr>
            <w:tcW w:w="842" w:type="dxa"/>
            <w:tcBorders>
              <w:top w:val="single" w:color="auto" w:sz="6" w:space="0"/>
              <w:left w:val="single" w:color="auto" w:sz="4" w:space="0"/>
              <w:bottom w:val="single" w:color="auto" w:sz="6" w:space="0"/>
              <w:right w:val="single" w:color="auto" w:sz="6" w:space="0"/>
            </w:tcBorders>
            <w:noWrap w:val="0"/>
            <w:vAlign w:val="center"/>
          </w:tcPr>
          <w:p w14:paraId="3CAA74AF">
            <w:pPr>
              <w:spacing w:after="120" w:line="300" w:lineRule="exact"/>
              <w:jc w:val="center"/>
              <w:rPr>
                <w:rFonts w:hint="eastAsia" w:ascii="宋体" w:hAnsi="宋体"/>
                <w:szCs w:val="21"/>
              </w:rPr>
            </w:pPr>
            <w:r>
              <w:rPr>
                <w:rFonts w:hint="eastAsia" w:ascii="宋体" w:hAnsi="宋体"/>
                <w:szCs w:val="21"/>
              </w:rPr>
              <w:t>备注</w:t>
            </w:r>
          </w:p>
        </w:tc>
      </w:tr>
      <w:tr w14:paraId="75797319">
        <w:tblPrEx>
          <w:tblCellMar>
            <w:top w:w="0" w:type="dxa"/>
            <w:left w:w="28" w:type="dxa"/>
            <w:bottom w:w="0" w:type="dxa"/>
            <w:right w:w="28" w:type="dxa"/>
          </w:tblCellMar>
        </w:tblPrEx>
        <w:trPr>
          <w:trHeight w:val="237" w:hRule="atLeast"/>
        </w:trPr>
        <w:tc>
          <w:tcPr>
            <w:tcW w:w="626" w:type="dxa"/>
            <w:tcBorders>
              <w:top w:val="single" w:color="auto" w:sz="6" w:space="0"/>
              <w:left w:val="single" w:color="auto" w:sz="6" w:space="0"/>
              <w:bottom w:val="single" w:color="auto" w:sz="6" w:space="0"/>
            </w:tcBorders>
            <w:noWrap w:val="0"/>
            <w:vAlign w:val="center"/>
          </w:tcPr>
          <w:p w14:paraId="77659A07">
            <w:pPr>
              <w:spacing w:after="120" w:line="300" w:lineRule="exact"/>
              <w:jc w:val="center"/>
              <w:rPr>
                <w:rFonts w:hint="eastAsia" w:ascii="宋体" w:hAnsi="宋体"/>
                <w:szCs w:val="21"/>
              </w:rPr>
            </w:pPr>
          </w:p>
        </w:tc>
        <w:tc>
          <w:tcPr>
            <w:tcW w:w="1979" w:type="dxa"/>
            <w:tcBorders>
              <w:top w:val="single" w:color="auto" w:sz="6" w:space="0"/>
              <w:left w:val="single" w:color="auto" w:sz="6" w:space="0"/>
              <w:bottom w:val="single" w:color="auto" w:sz="6" w:space="0"/>
              <w:right w:val="single" w:color="auto" w:sz="6" w:space="0"/>
            </w:tcBorders>
            <w:noWrap w:val="0"/>
            <w:vAlign w:val="center"/>
          </w:tcPr>
          <w:p w14:paraId="613824A5">
            <w:pPr>
              <w:spacing w:after="120" w:line="300" w:lineRule="exact"/>
              <w:jc w:val="center"/>
              <w:rPr>
                <w:rFonts w:hint="eastAsia" w:ascii="宋体" w:hAnsi="宋体"/>
                <w:szCs w:val="21"/>
              </w:rPr>
            </w:pPr>
          </w:p>
        </w:tc>
        <w:tc>
          <w:tcPr>
            <w:tcW w:w="1365" w:type="dxa"/>
            <w:tcBorders>
              <w:top w:val="single" w:color="auto" w:sz="6" w:space="0"/>
              <w:left w:val="single" w:color="auto" w:sz="6" w:space="0"/>
              <w:bottom w:val="single" w:color="auto" w:sz="6" w:space="0"/>
              <w:right w:val="single" w:color="auto" w:sz="4" w:space="0"/>
            </w:tcBorders>
            <w:noWrap w:val="0"/>
            <w:vAlign w:val="center"/>
          </w:tcPr>
          <w:p w14:paraId="065D8DB3">
            <w:pPr>
              <w:spacing w:after="120" w:line="300" w:lineRule="exact"/>
              <w:jc w:val="center"/>
              <w:rPr>
                <w:rFonts w:hint="eastAsia" w:ascii="宋体" w:hAnsi="宋体"/>
                <w:szCs w:val="21"/>
              </w:rPr>
            </w:pPr>
          </w:p>
        </w:tc>
        <w:tc>
          <w:tcPr>
            <w:tcW w:w="878" w:type="dxa"/>
            <w:tcBorders>
              <w:top w:val="single" w:color="auto" w:sz="6" w:space="0"/>
              <w:left w:val="single" w:color="auto" w:sz="4" w:space="0"/>
              <w:bottom w:val="single" w:color="auto" w:sz="6" w:space="0"/>
              <w:right w:val="single" w:color="auto" w:sz="6" w:space="0"/>
            </w:tcBorders>
            <w:noWrap w:val="0"/>
            <w:vAlign w:val="center"/>
          </w:tcPr>
          <w:p w14:paraId="1677B654">
            <w:pPr>
              <w:spacing w:after="120" w:line="300" w:lineRule="exact"/>
              <w:jc w:val="center"/>
              <w:rPr>
                <w:rFonts w:hint="eastAsia" w:ascii="宋体" w:hAnsi="宋体"/>
                <w:szCs w:val="21"/>
              </w:rPr>
            </w:pPr>
          </w:p>
        </w:tc>
        <w:tc>
          <w:tcPr>
            <w:tcW w:w="850" w:type="dxa"/>
            <w:tcBorders>
              <w:top w:val="single" w:color="auto" w:sz="6" w:space="0"/>
              <w:left w:val="single" w:color="auto" w:sz="6" w:space="0"/>
              <w:bottom w:val="single" w:color="auto" w:sz="6" w:space="0"/>
              <w:right w:val="single" w:color="auto" w:sz="4" w:space="0"/>
            </w:tcBorders>
            <w:noWrap w:val="0"/>
            <w:vAlign w:val="center"/>
          </w:tcPr>
          <w:p w14:paraId="60925E03">
            <w:pPr>
              <w:spacing w:after="120" w:line="300" w:lineRule="exact"/>
              <w:jc w:val="center"/>
              <w:rPr>
                <w:rFonts w:hint="eastAsia" w:ascii="宋体" w:hAnsi="宋体"/>
                <w:szCs w:val="21"/>
              </w:rPr>
            </w:pPr>
          </w:p>
        </w:tc>
        <w:tc>
          <w:tcPr>
            <w:tcW w:w="934" w:type="dxa"/>
            <w:tcBorders>
              <w:top w:val="single" w:color="auto" w:sz="6" w:space="0"/>
              <w:left w:val="single" w:color="auto" w:sz="4" w:space="0"/>
              <w:bottom w:val="single" w:color="auto" w:sz="6" w:space="0"/>
              <w:right w:val="single" w:color="auto" w:sz="4" w:space="0"/>
            </w:tcBorders>
            <w:noWrap w:val="0"/>
            <w:vAlign w:val="center"/>
          </w:tcPr>
          <w:p w14:paraId="222D9B6D">
            <w:pPr>
              <w:spacing w:after="120" w:line="300" w:lineRule="exact"/>
              <w:jc w:val="center"/>
              <w:rPr>
                <w:rFonts w:hint="eastAsia" w:ascii="宋体" w:hAnsi="宋体"/>
                <w:szCs w:val="21"/>
              </w:rPr>
            </w:pPr>
          </w:p>
        </w:tc>
        <w:tc>
          <w:tcPr>
            <w:tcW w:w="1042" w:type="dxa"/>
            <w:tcBorders>
              <w:top w:val="single" w:color="auto" w:sz="6" w:space="0"/>
              <w:left w:val="single" w:color="auto" w:sz="4" w:space="0"/>
              <w:bottom w:val="single" w:color="auto" w:sz="6" w:space="0"/>
              <w:right w:val="single" w:color="auto" w:sz="6" w:space="0"/>
            </w:tcBorders>
            <w:noWrap w:val="0"/>
            <w:vAlign w:val="center"/>
          </w:tcPr>
          <w:p w14:paraId="3C427F66">
            <w:pPr>
              <w:spacing w:after="120" w:line="300" w:lineRule="exact"/>
              <w:jc w:val="center"/>
              <w:rPr>
                <w:rFonts w:hint="eastAsia" w:ascii="宋体" w:hAnsi="宋体"/>
                <w:szCs w:val="21"/>
              </w:rPr>
            </w:pPr>
          </w:p>
        </w:tc>
        <w:tc>
          <w:tcPr>
            <w:tcW w:w="1007" w:type="dxa"/>
            <w:tcBorders>
              <w:top w:val="single" w:color="auto" w:sz="6" w:space="0"/>
              <w:left w:val="single" w:color="auto" w:sz="6" w:space="0"/>
              <w:bottom w:val="single" w:color="auto" w:sz="6" w:space="0"/>
              <w:right w:val="single" w:color="auto" w:sz="4" w:space="0"/>
            </w:tcBorders>
            <w:noWrap w:val="0"/>
            <w:vAlign w:val="center"/>
          </w:tcPr>
          <w:p w14:paraId="7793CF82">
            <w:pPr>
              <w:spacing w:after="120" w:line="300" w:lineRule="exact"/>
              <w:jc w:val="center"/>
              <w:rPr>
                <w:rFonts w:hint="eastAsia" w:ascii="宋体" w:hAnsi="宋体"/>
                <w:szCs w:val="21"/>
              </w:rPr>
            </w:pPr>
          </w:p>
        </w:tc>
        <w:tc>
          <w:tcPr>
            <w:tcW w:w="842" w:type="dxa"/>
            <w:tcBorders>
              <w:top w:val="single" w:color="auto" w:sz="6" w:space="0"/>
              <w:left w:val="single" w:color="auto" w:sz="4" w:space="0"/>
              <w:bottom w:val="single" w:color="auto" w:sz="6" w:space="0"/>
              <w:right w:val="single" w:color="auto" w:sz="6" w:space="0"/>
            </w:tcBorders>
            <w:noWrap w:val="0"/>
            <w:vAlign w:val="center"/>
          </w:tcPr>
          <w:p w14:paraId="44115C4F">
            <w:pPr>
              <w:spacing w:after="120" w:line="300" w:lineRule="exact"/>
              <w:jc w:val="center"/>
              <w:rPr>
                <w:rFonts w:hint="eastAsia" w:ascii="宋体" w:hAnsi="宋体"/>
                <w:szCs w:val="21"/>
              </w:rPr>
            </w:pPr>
          </w:p>
        </w:tc>
      </w:tr>
      <w:tr w14:paraId="20B25441">
        <w:tblPrEx>
          <w:tblCellMar>
            <w:top w:w="0" w:type="dxa"/>
            <w:left w:w="28" w:type="dxa"/>
            <w:bottom w:w="0" w:type="dxa"/>
            <w:right w:w="28" w:type="dxa"/>
          </w:tblCellMar>
        </w:tblPrEx>
        <w:trPr>
          <w:trHeight w:val="478" w:hRule="atLeast"/>
        </w:trPr>
        <w:tc>
          <w:tcPr>
            <w:tcW w:w="2605" w:type="dxa"/>
            <w:gridSpan w:val="2"/>
            <w:tcBorders>
              <w:top w:val="single" w:color="auto" w:sz="6" w:space="0"/>
              <w:left w:val="single" w:color="auto" w:sz="6" w:space="0"/>
              <w:bottom w:val="single" w:color="auto" w:sz="6" w:space="0"/>
              <w:right w:val="single" w:color="auto" w:sz="6" w:space="0"/>
            </w:tcBorders>
            <w:noWrap w:val="0"/>
            <w:vAlign w:val="center"/>
          </w:tcPr>
          <w:p w14:paraId="2AF55A6C">
            <w:pPr>
              <w:spacing w:before="249" w:beforeLines="50" w:line="300" w:lineRule="exact"/>
              <w:jc w:val="center"/>
              <w:rPr>
                <w:rFonts w:hint="eastAsia" w:ascii="宋体" w:hAnsi="宋体"/>
                <w:szCs w:val="21"/>
              </w:rPr>
            </w:pPr>
            <w:r>
              <w:rPr>
                <w:rFonts w:hint="eastAsia" w:ascii="宋体" w:hAnsi="宋体"/>
                <w:szCs w:val="21"/>
              </w:rPr>
              <w:t>合计</w:t>
            </w:r>
          </w:p>
        </w:tc>
        <w:tc>
          <w:tcPr>
            <w:tcW w:w="6918" w:type="dxa"/>
            <w:gridSpan w:val="7"/>
            <w:tcBorders>
              <w:top w:val="single" w:color="auto" w:sz="6" w:space="0"/>
              <w:left w:val="single" w:color="auto" w:sz="6" w:space="0"/>
              <w:bottom w:val="single" w:color="auto" w:sz="6" w:space="0"/>
              <w:right w:val="single" w:color="auto" w:sz="6" w:space="0"/>
            </w:tcBorders>
            <w:noWrap w:val="0"/>
            <w:vAlign w:val="top"/>
          </w:tcPr>
          <w:p w14:paraId="49E4C923">
            <w:pPr>
              <w:spacing w:before="249" w:beforeLines="50" w:line="300" w:lineRule="exact"/>
              <w:rPr>
                <w:rFonts w:hint="eastAsia" w:ascii="宋体" w:hAnsi="宋体"/>
                <w:b/>
                <w:szCs w:val="21"/>
              </w:rPr>
            </w:pPr>
            <w:r>
              <w:rPr>
                <w:rFonts w:hint="eastAsia" w:ascii="宋体" w:hAnsi="宋体"/>
                <w:b/>
                <w:szCs w:val="21"/>
              </w:rPr>
              <w:t>人民币：（大写）</w:t>
            </w:r>
          </w:p>
          <w:p w14:paraId="20FDCF13">
            <w:pPr>
              <w:spacing w:before="249" w:beforeLines="50" w:line="300" w:lineRule="exact"/>
              <w:rPr>
                <w:rFonts w:hint="eastAsia" w:ascii="宋体" w:hAnsi="宋体"/>
                <w:b/>
                <w:szCs w:val="21"/>
              </w:rPr>
            </w:pPr>
            <w:r>
              <w:rPr>
                <w:rFonts w:hint="eastAsia" w:ascii="宋体" w:hAnsi="宋体"/>
                <w:b/>
                <w:szCs w:val="21"/>
              </w:rPr>
              <w:t xml:space="preserve">       （小写）￥</w:t>
            </w:r>
          </w:p>
        </w:tc>
      </w:tr>
    </w:tbl>
    <w:p w14:paraId="7F9C9D3A">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b/>
          <w:szCs w:val="21"/>
        </w:rPr>
        <w:t>二、合同价款</w:t>
      </w:r>
    </w:p>
    <w:p w14:paraId="053285FE">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 xml:space="preserve">（一）合同总价款为人民币（大写）          </w:t>
      </w:r>
      <w:r>
        <w:rPr>
          <w:rFonts w:hint="eastAsia" w:ascii="宋体" w:hAnsi="宋体"/>
          <w:b/>
          <w:bCs/>
          <w:szCs w:val="21"/>
          <w:lang w:eastAsia="zh-CN"/>
        </w:rPr>
        <w:t>元</w:t>
      </w:r>
      <w:r>
        <w:rPr>
          <w:rFonts w:hint="eastAsia" w:ascii="宋体" w:hAnsi="宋体" w:eastAsia="宋体" w:cs="宋体"/>
          <w:b/>
          <w:bCs/>
          <w:szCs w:val="21"/>
        </w:rPr>
        <w:t>整</w:t>
      </w:r>
      <w:r>
        <w:rPr>
          <w:rFonts w:hint="eastAsia" w:ascii="仿宋" w:hAnsi="仿宋" w:eastAsia="仿宋" w:cs="仿宋"/>
          <w:b/>
          <w:bCs/>
          <w:szCs w:val="21"/>
        </w:rPr>
        <w:t xml:space="preserve"> </w:t>
      </w:r>
      <w:r>
        <w:rPr>
          <w:rFonts w:hint="eastAsia" w:ascii="宋体" w:hAnsi="宋体"/>
          <w:b/>
          <w:bCs/>
          <w:szCs w:val="21"/>
        </w:rPr>
        <w:t>（￥     元）</w:t>
      </w:r>
      <w:r>
        <w:rPr>
          <w:rFonts w:hint="eastAsia" w:ascii="宋体" w:hAnsi="宋体"/>
          <w:szCs w:val="21"/>
        </w:rPr>
        <w:t>。</w:t>
      </w:r>
    </w:p>
    <w:p w14:paraId="76E04B55">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（二）合同总价包括：货物费、运输费（含保险费）、装卸费、安装调试费、检测验收费、培训费及其他乙方履行合同义务所需的全部费用。</w:t>
      </w:r>
    </w:p>
    <w:p w14:paraId="6367A6A1">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（三）合同总价一次性包死，不受市场价格变化因素的影响。</w:t>
      </w:r>
    </w:p>
    <w:p w14:paraId="61494095">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（四）甲方不再另付任何费用。</w:t>
      </w:r>
    </w:p>
    <w:p w14:paraId="6F6FEE4E">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rPr>
        <w:t>三、款项结算</w:t>
      </w:r>
    </w:p>
    <w:p w14:paraId="53A25C0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8"/>
          <w:lang w:val="en-US" w:eastAsia="zh-CN"/>
        </w:rPr>
      </w:pPr>
      <w:r>
        <w:rPr>
          <w:rFonts w:hint="eastAsia" w:ascii="宋体" w:hAnsi="宋体"/>
          <w:szCs w:val="28"/>
          <w:lang w:val="en-US" w:eastAsia="zh-CN"/>
        </w:rPr>
        <w:t>1、（适用于非授予中小企业政府采购合同）</w:t>
      </w:r>
    </w:p>
    <w:p w14:paraId="6FF68DC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b/>
          <w:bCs/>
          <w:color w:val="000000"/>
          <w:szCs w:val="28"/>
        </w:rPr>
      </w:pPr>
      <w:r>
        <w:rPr>
          <w:rFonts w:hint="eastAsia" w:ascii="宋体" w:hAnsi="宋体"/>
          <w:szCs w:val="28"/>
        </w:rPr>
        <w:t>（1</w:t>
      </w:r>
      <w:r>
        <w:rPr>
          <w:rFonts w:hint="eastAsia" w:hAnsi="宋体"/>
          <w:bCs/>
          <w:color w:val="000000"/>
          <w:sz w:val="24"/>
        </w:rPr>
        <w:t>）</w:t>
      </w:r>
      <w:r>
        <w:rPr>
          <w:rFonts w:hint="eastAsia" w:ascii="宋体" w:hAnsi="宋体"/>
          <w:color w:val="000000"/>
          <w:szCs w:val="28"/>
        </w:rPr>
        <w:t>第一次付款：</w:t>
      </w:r>
      <w:r>
        <w:rPr>
          <w:rFonts w:ascii="宋体" w:hAnsi="宋体"/>
          <w:color w:val="000000"/>
          <w:szCs w:val="28"/>
        </w:rPr>
        <w:t>所有货物到达甲方指定地点</w:t>
      </w:r>
      <w:r>
        <w:rPr>
          <w:rFonts w:hAnsi="宋体"/>
          <w:bCs/>
          <w:color w:val="000000"/>
          <w:sz w:val="24"/>
        </w:rPr>
        <w:t>，</w:t>
      </w:r>
      <w:r>
        <w:rPr>
          <w:rFonts w:hint="eastAsia" w:ascii="宋体" w:hAnsi="宋体"/>
          <w:color w:val="000000"/>
          <w:szCs w:val="28"/>
        </w:rPr>
        <w:t>安装、调试完毕</w:t>
      </w:r>
      <w:r>
        <w:rPr>
          <w:rFonts w:hint="eastAsia" w:ascii="宋体" w:hAnsi="宋体"/>
          <w:color w:val="000000"/>
          <w:szCs w:val="28"/>
          <w:lang w:eastAsia="zh-CN"/>
        </w:rPr>
        <w:t>，</w:t>
      </w:r>
      <w:r>
        <w:rPr>
          <w:rFonts w:ascii="宋体" w:hAnsi="宋体"/>
          <w:color w:val="000000"/>
          <w:szCs w:val="28"/>
        </w:rPr>
        <w:t>设备运转正常</w:t>
      </w:r>
      <w:r>
        <w:rPr>
          <w:rFonts w:hint="eastAsia" w:ascii="宋体" w:hAnsi="宋体"/>
          <w:color w:val="000000"/>
          <w:szCs w:val="28"/>
        </w:rPr>
        <w:t>并验收合格</w:t>
      </w:r>
      <w:r>
        <w:rPr>
          <w:rFonts w:ascii="宋体" w:hAnsi="宋体"/>
          <w:color w:val="000000"/>
          <w:szCs w:val="28"/>
        </w:rPr>
        <w:t>后</w:t>
      </w:r>
      <w:r>
        <w:rPr>
          <w:rFonts w:hint="eastAsia" w:ascii="宋体" w:hAnsi="宋体"/>
          <w:color w:val="000000"/>
          <w:szCs w:val="28"/>
        </w:rPr>
        <w:t>，</w:t>
      </w:r>
      <w:r>
        <w:rPr>
          <w:rFonts w:hint="eastAsia" w:ascii="宋体" w:hAnsi="宋体"/>
          <w:color w:val="000000"/>
          <w:szCs w:val="28"/>
          <w:lang w:val="en-US" w:eastAsia="zh-CN"/>
        </w:rPr>
        <w:t>60个日内</w:t>
      </w:r>
      <w:r>
        <w:rPr>
          <w:rFonts w:hint="eastAsia" w:ascii="宋体" w:hAnsi="宋体"/>
          <w:color w:val="000000"/>
          <w:szCs w:val="28"/>
        </w:rPr>
        <w:t>支付合同总价款的9</w:t>
      </w:r>
      <w:r>
        <w:rPr>
          <w:rFonts w:hint="eastAsia" w:ascii="宋体" w:hAnsi="宋体"/>
          <w:color w:val="000000"/>
          <w:szCs w:val="28"/>
          <w:lang w:val="en-US" w:eastAsia="zh-CN"/>
        </w:rPr>
        <w:t>0</w:t>
      </w:r>
      <w:r>
        <w:rPr>
          <w:rFonts w:hint="eastAsia" w:ascii="宋体" w:hAnsi="宋体"/>
          <w:color w:val="000000"/>
          <w:szCs w:val="28"/>
        </w:rPr>
        <w:t>％</w:t>
      </w:r>
      <w:r>
        <w:rPr>
          <w:rFonts w:hint="eastAsia" w:ascii="宋体" w:hAnsi="宋体"/>
          <w:bCs/>
          <w:color w:val="000000"/>
          <w:szCs w:val="28"/>
          <w:lang w:eastAsia="zh-CN"/>
        </w:rPr>
        <w:t>，</w:t>
      </w:r>
      <w:r>
        <w:rPr>
          <w:rFonts w:hint="eastAsia" w:ascii="宋体" w:hAnsi="宋体"/>
          <w:szCs w:val="21"/>
        </w:rPr>
        <w:t>即人民币（大写）</w:t>
      </w:r>
      <w:r>
        <w:rPr>
          <w:rFonts w:hint="eastAsia" w:ascii="宋体" w:hAnsi="宋体"/>
          <w:szCs w:val="21"/>
          <w:lang w:val="en-US" w:eastAsia="zh-CN"/>
        </w:rPr>
        <w:t xml:space="preserve">          </w:t>
      </w:r>
      <w:r>
        <w:rPr>
          <w:rFonts w:hint="eastAsia" w:ascii="宋体" w:hAnsi="宋体"/>
          <w:b/>
          <w:bCs/>
          <w:szCs w:val="21"/>
          <w:lang w:eastAsia="zh-CN"/>
        </w:rPr>
        <w:t>元</w:t>
      </w:r>
      <w:r>
        <w:rPr>
          <w:rFonts w:hint="eastAsia" w:ascii="宋体" w:hAnsi="宋体"/>
          <w:b/>
          <w:bCs/>
          <w:szCs w:val="21"/>
        </w:rPr>
        <w:t>整（￥</w:t>
      </w:r>
      <w:r>
        <w:rPr>
          <w:rFonts w:hint="eastAsia" w:ascii="宋体" w:hAnsi="宋体"/>
          <w:b/>
          <w:bCs/>
          <w:szCs w:val="21"/>
          <w:lang w:val="en-US" w:eastAsia="zh-CN"/>
        </w:rPr>
        <w:t xml:space="preserve">   </w:t>
      </w:r>
      <w:r>
        <w:rPr>
          <w:rFonts w:hint="eastAsia" w:ascii="宋体" w:hAnsi="宋体"/>
          <w:b/>
          <w:bCs/>
          <w:szCs w:val="21"/>
        </w:rPr>
        <w:t>元）。</w:t>
      </w:r>
    </w:p>
    <w:p w14:paraId="7E08F6EB">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bCs/>
          <w:color w:val="auto"/>
          <w:szCs w:val="21"/>
        </w:rPr>
      </w:pPr>
      <w:r>
        <w:rPr>
          <w:rFonts w:hint="eastAsia" w:ascii="宋体" w:hAnsi="宋体"/>
          <w:bCs/>
          <w:color w:val="000000"/>
          <w:szCs w:val="28"/>
        </w:rPr>
        <w:t>（2）</w:t>
      </w:r>
      <w:r>
        <w:rPr>
          <w:rFonts w:hint="eastAsia" w:ascii="宋体" w:hAnsi="宋体"/>
          <w:szCs w:val="21"/>
        </w:rPr>
        <w:t>第二次付款：</w:t>
      </w:r>
      <w:r>
        <w:rPr>
          <w:rFonts w:hint="eastAsia"/>
          <w:color w:val="auto"/>
          <w:highlight w:val="none"/>
          <w:lang w:eastAsia="zh-CN"/>
        </w:rPr>
        <w:t>设备正式运行服务期满后</w:t>
      </w:r>
      <w:r>
        <w:rPr>
          <w:rFonts w:hint="eastAsia"/>
          <w:color w:val="auto"/>
          <w:highlight w:val="none"/>
          <w:lang w:val="en-US" w:eastAsia="zh-CN"/>
        </w:rPr>
        <w:t>，</w:t>
      </w:r>
      <w:r>
        <w:rPr>
          <w:rFonts w:hint="eastAsia" w:ascii="宋体" w:hAnsi="宋体"/>
          <w:color w:val="auto"/>
          <w:szCs w:val="21"/>
          <w:highlight w:val="none"/>
        </w:rPr>
        <w:t>如无任何质量、服务等问题时</w:t>
      </w:r>
      <w:r>
        <w:rPr>
          <w:rFonts w:hint="eastAsia"/>
          <w:color w:val="auto"/>
          <w:highlight w:val="none"/>
          <w:lang w:val="en-US" w:eastAsia="zh-CN"/>
        </w:rPr>
        <w:t>，终验收合格后</w:t>
      </w:r>
      <w:r>
        <w:rPr>
          <w:rFonts w:hint="eastAsia" w:ascii="宋体" w:hAnsi="宋体"/>
          <w:color w:val="auto"/>
          <w:szCs w:val="21"/>
          <w:lang w:val="en-US" w:eastAsia="zh-CN"/>
        </w:rPr>
        <w:t>60个日内</w:t>
      </w:r>
      <w:r>
        <w:rPr>
          <w:rFonts w:hint="eastAsia" w:ascii="宋体" w:hAnsi="宋体"/>
          <w:color w:val="auto"/>
          <w:szCs w:val="21"/>
        </w:rPr>
        <w:t>无息支付合同总价款的</w:t>
      </w:r>
      <w:r>
        <w:rPr>
          <w:rFonts w:hint="eastAsia" w:ascii="宋体" w:hAnsi="宋体"/>
          <w:color w:val="auto"/>
          <w:szCs w:val="21"/>
          <w:lang w:val="en-US" w:eastAsia="zh-CN"/>
        </w:rPr>
        <w:t>10</w:t>
      </w:r>
      <w:r>
        <w:rPr>
          <w:rFonts w:hint="eastAsia" w:ascii="宋体" w:hAnsi="宋体"/>
          <w:color w:val="auto"/>
          <w:szCs w:val="28"/>
        </w:rPr>
        <w:t>％</w:t>
      </w:r>
      <w:r>
        <w:rPr>
          <w:rFonts w:hint="eastAsia" w:ascii="宋体" w:hAnsi="宋体"/>
          <w:color w:val="auto"/>
          <w:szCs w:val="21"/>
        </w:rPr>
        <w:t>，即人民币（大写）</w:t>
      </w:r>
      <w:r>
        <w:rPr>
          <w:rFonts w:hint="eastAsia" w:ascii="宋体" w:hAnsi="宋体"/>
          <w:color w:val="auto"/>
          <w:szCs w:val="21"/>
          <w:lang w:val="en-US" w:eastAsia="zh-CN"/>
        </w:rPr>
        <w:t xml:space="preserve">          </w:t>
      </w:r>
      <w:r>
        <w:rPr>
          <w:rFonts w:hint="eastAsia" w:ascii="宋体" w:hAnsi="宋体"/>
          <w:b/>
          <w:bCs/>
          <w:color w:val="auto"/>
          <w:szCs w:val="21"/>
          <w:lang w:eastAsia="zh-CN"/>
        </w:rPr>
        <w:t>元</w:t>
      </w:r>
      <w:r>
        <w:rPr>
          <w:rFonts w:hint="eastAsia" w:ascii="宋体" w:hAnsi="宋体"/>
          <w:b/>
          <w:bCs/>
          <w:color w:val="auto"/>
          <w:szCs w:val="21"/>
        </w:rPr>
        <w:t>整（￥</w:t>
      </w:r>
      <w:r>
        <w:rPr>
          <w:rFonts w:hint="eastAsia" w:ascii="宋体" w:hAnsi="宋体"/>
          <w:b/>
          <w:bCs/>
          <w:color w:val="auto"/>
          <w:szCs w:val="21"/>
          <w:lang w:val="en-US" w:eastAsia="zh-CN"/>
        </w:rPr>
        <w:t xml:space="preserve">     </w:t>
      </w:r>
      <w:r>
        <w:rPr>
          <w:rFonts w:hint="eastAsia" w:ascii="宋体" w:hAnsi="宋体"/>
          <w:b/>
          <w:bCs/>
          <w:color w:val="auto"/>
          <w:szCs w:val="21"/>
        </w:rPr>
        <w:t>元）。</w:t>
      </w:r>
    </w:p>
    <w:p w14:paraId="3793F92A">
      <w:pPr>
        <w:pStyle w:val="4"/>
        <w:spacing w:line="360" w:lineRule="auto"/>
        <w:rPr>
          <w:rFonts w:hint="eastAsia"/>
          <w:color w:val="auto"/>
          <w:lang w:val="en-US" w:eastAsia="zh-CN"/>
        </w:rPr>
      </w:pPr>
      <w:r>
        <w:rPr>
          <w:rFonts w:hint="eastAsia" w:ascii="宋体" w:hAnsi="宋体" w:eastAsia="宋体" w:cs="宋体"/>
          <w:color w:val="auto"/>
          <w:sz w:val="21"/>
          <w:szCs w:val="21"/>
          <w:lang w:val="en-US" w:eastAsia="zh-CN"/>
        </w:rPr>
        <w:t>2</w:t>
      </w:r>
      <w:r>
        <w:rPr>
          <w:rFonts w:hint="eastAsia"/>
          <w:color w:val="auto"/>
          <w:lang w:val="en-US" w:eastAsia="zh-CN"/>
        </w:rPr>
        <w:t>、</w:t>
      </w:r>
      <w:r>
        <w:rPr>
          <w:rFonts w:hint="eastAsia" w:ascii="宋体" w:hAnsi="宋体"/>
          <w:color w:val="auto"/>
          <w:szCs w:val="28"/>
          <w:lang w:eastAsia="zh-CN"/>
        </w:rPr>
        <w:t>（</w:t>
      </w:r>
      <w:r>
        <w:rPr>
          <w:rFonts w:hint="eastAsia" w:ascii="宋体" w:hAnsi="宋体"/>
          <w:color w:val="auto"/>
          <w:szCs w:val="28"/>
          <w:lang w:val="en-US" w:eastAsia="zh-CN"/>
        </w:rPr>
        <w:t>适用于</w:t>
      </w:r>
      <w:r>
        <w:rPr>
          <w:rFonts w:hint="eastAsia"/>
          <w:color w:val="auto"/>
          <w:lang w:val="en-US" w:eastAsia="zh-CN"/>
        </w:rPr>
        <w:t>授予中小企业政府采购合同，残疾人、福利单位视同小微企业）</w:t>
      </w:r>
    </w:p>
    <w:p w14:paraId="5FDD6A3B">
      <w:pPr>
        <w:pStyle w:val="4"/>
        <w:spacing w:line="360" w:lineRule="auto"/>
        <w:rPr>
          <w:rFonts w:hint="eastAsia"/>
          <w:color w:val="auto"/>
          <w:lang w:eastAsia="zh-CN"/>
        </w:rPr>
      </w:pPr>
      <w:r>
        <w:rPr>
          <w:rFonts w:hint="eastAsia" w:ascii="宋体" w:hAnsi="宋体"/>
          <w:color w:val="auto"/>
          <w:szCs w:val="28"/>
        </w:rPr>
        <w:t>（1</w:t>
      </w:r>
      <w:r>
        <w:rPr>
          <w:rFonts w:hint="eastAsia" w:hAnsi="宋体"/>
          <w:bCs/>
          <w:color w:val="auto"/>
          <w:sz w:val="24"/>
        </w:rPr>
        <w:t>）</w:t>
      </w:r>
      <w:r>
        <w:rPr>
          <w:rFonts w:hint="eastAsia" w:ascii="宋体" w:hAnsi="宋体"/>
          <w:color w:val="auto"/>
          <w:szCs w:val="28"/>
        </w:rPr>
        <w:t>第一次付款：</w:t>
      </w:r>
      <w:r>
        <w:rPr>
          <w:color w:val="auto"/>
        </w:rPr>
        <w:t>合同签订</w:t>
      </w:r>
      <w:r>
        <w:rPr>
          <w:rFonts w:hint="eastAsia"/>
          <w:color w:val="auto"/>
          <w:lang w:val="en-US" w:eastAsia="zh-CN"/>
        </w:rPr>
        <w:t>后</w:t>
      </w:r>
      <w:r>
        <w:rPr>
          <w:color w:val="auto"/>
        </w:rPr>
        <w:t xml:space="preserve">，达到付款条件起 </w:t>
      </w:r>
      <w:r>
        <w:rPr>
          <w:rFonts w:hint="eastAsia"/>
          <w:color w:val="auto"/>
          <w:lang w:val="en-US" w:eastAsia="zh-CN"/>
        </w:rPr>
        <w:t>60</w:t>
      </w:r>
      <w:r>
        <w:rPr>
          <w:color w:val="auto"/>
        </w:rPr>
        <w:t xml:space="preserve"> 日内，支付合同总金额的</w:t>
      </w:r>
      <w:r>
        <w:rPr>
          <w:rFonts w:hint="eastAsia" w:ascii="宋体" w:hAnsi="宋体"/>
          <w:color w:val="auto"/>
          <w:szCs w:val="28"/>
          <w:lang w:val="en-US" w:eastAsia="zh-CN"/>
        </w:rPr>
        <w:t>40</w:t>
      </w:r>
      <w:r>
        <w:rPr>
          <w:rFonts w:hint="eastAsia" w:ascii="宋体" w:hAnsi="宋体"/>
          <w:color w:val="auto"/>
          <w:szCs w:val="28"/>
        </w:rPr>
        <w:t>％</w:t>
      </w:r>
      <w:r>
        <w:rPr>
          <w:rFonts w:hint="eastAsia"/>
          <w:color w:val="auto"/>
          <w:lang w:eastAsia="zh-CN"/>
        </w:rPr>
        <w:t>预付款，</w:t>
      </w:r>
      <w:r>
        <w:rPr>
          <w:rFonts w:hint="eastAsia" w:ascii="宋体" w:hAnsi="宋体"/>
          <w:color w:val="auto"/>
          <w:szCs w:val="21"/>
        </w:rPr>
        <w:t>即人民币（大写）</w:t>
      </w:r>
      <w:r>
        <w:rPr>
          <w:rFonts w:hint="eastAsia" w:ascii="宋体" w:hAnsi="宋体"/>
          <w:color w:val="auto"/>
          <w:szCs w:val="21"/>
          <w:lang w:val="en-US" w:eastAsia="zh-CN"/>
        </w:rPr>
        <w:t xml:space="preserve">          </w:t>
      </w:r>
      <w:r>
        <w:rPr>
          <w:rFonts w:hint="eastAsia" w:ascii="宋体" w:hAnsi="宋体"/>
          <w:b/>
          <w:bCs/>
          <w:color w:val="auto"/>
          <w:szCs w:val="21"/>
          <w:lang w:eastAsia="zh-CN"/>
        </w:rPr>
        <w:t>元</w:t>
      </w:r>
      <w:r>
        <w:rPr>
          <w:rFonts w:hint="eastAsia" w:ascii="宋体" w:hAnsi="宋体"/>
          <w:b/>
          <w:bCs/>
          <w:color w:val="auto"/>
          <w:szCs w:val="21"/>
        </w:rPr>
        <w:t>整（￥</w:t>
      </w:r>
      <w:r>
        <w:rPr>
          <w:rFonts w:hint="eastAsia" w:ascii="宋体" w:hAnsi="宋体"/>
          <w:b/>
          <w:bCs/>
          <w:color w:val="auto"/>
          <w:szCs w:val="21"/>
          <w:lang w:val="en-US" w:eastAsia="zh-CN"/>
        </w:rPr>
        <w:t xml:space="preserve">   </w:t>
      </w:r>
      <w:r>
        <w:rPr>
          <w:rFonts w:hint="eastAsia" w:ascii="宋体" w:hAnsi="宋体"/>
          <w:b/>
          <w:bCs/>
          <w:color w:val="auto"/>
          <w:szCs w:val="21"/>
        </w:rPr>
        <w:t>元）。</w:t>
      </w:r>
    </w:p>
    <w:p w14:paraId="4167C75B">
      <w:pPr>
        <w:rPr>
          <w:rFonts w:hint="eastAsia" w:ascii="宋体" w:hAnsi="宋体"/>
          <w:b/>
          <w:bCs/>
          <w:color w:val="auto"/>
          <w:szCs w:val="21"/>
        </w:rPr>
      </w:pPr>
      <w:r>
        <w:rPr>
          <w:rFonts w:hint="eastAsia" w:ascii="宋体" w:hAnsi="宋体"/>
          <w:bCs/>
          <w:color w:val="auto"/>
          <w:szCs w:val="28"/>
        </w:rPr>
        <w:t>（2）</w:t>
      </w:r>
      <w:r>
        <w:rPr>
          <w:rFonts w:hint="eastAsia" w:ascii="宋体" w:hAnsi="宋体"/>
          <w:color w:val="auto"/>
          <w:szCs w:val="21"/>
        </w:rPr>
        <w:t>第二次付款：</w:t>
      </w:r>
      <w:r>
        <w:rPr>
          <w:color w:val="auto"/>
        </w:rPr>
        <w:t>所有设备供货到位，安装、调试、培训、使用部门</w:t>
      </w:r>
      <w:r>
        <w:rPr>
          <w:rFonts w:hint="eastAsia"/>
          <w:color w:val="auto"/>
          <w:lang w:eastAsia="zh-CN"/>
        </w:rPr>
        <w:t>初步</w:t>
      </w:r>
      <w:r>
        <w:rPr>
          <w:color w:val="auto"/>
        </w:rPr>
        <w:t>验收</w:t>
      </w:r>
      <w:r>
        <w:rPr>
          <w:rFonts w:hint="eastAsia"/>
          <w:color w:val="auto"/>
          <w:lang w:val="en-US" w:eastAsia="zh-CN"/>
        </w:rPr>
        <w:t>后，</w:t>
      </w:r>
      <w:r>
        <w:rPr>
          <w:color w:val="auto"/>
        </w:rPr>
        <w:t xml:space="preserve">达到付款条件起 </w:t>
      </w:r>
      <w:r>
        <w:rPr>
          <w:rFonts w:hint="eastAsia"/>
          <w:color w:val="auto"/>
          <w:lang w:val="en-US" w:eastAsia="zh-CN"/>
        </w:rPr>
        <w:t>6</w:t>
      </w:r>
      <w:r>
        <w:rPr>
          <w:color w:val="auto"/>
        </w:rPr>
        <w:t>0 日内，支付合同总金额的</w:t>
      </w:r>
      <w:r>
        <w:rPr>
          <w:rFonts w:hint="eastAsia" w:ascii="宋体" w:hAnsi="宋体"/>
          <w:color w:val="auto"/>
          <w:szCs w:val="28"/>
          <w:lang w:val="en-US" w:eastAsia="zh-CN"/>
        </w:rPr>
        <w:t>50</w:t>
      </w:r>
      <w:r>
        <w:rPr>
          <w:rFonts w:hint="eastAsia" w:ascii="宋体" w:hAnsi="宋体"/>
          <w:color w:val="auto"/>
          <w:szCs w:val="28"/>
        </w:rPr>
        <w:t>％</w:t>
      </w:r>
      <w:r>
        <w:rPr>
          <w:rFonts w:hint="eastAsia"/>
          <w:color w:val="auto"/>
          <w:lang w:eastAsia="zh-CN"/>
        </w:rPr>
        <w:t>，</w:t>
      </w:r>
      <w:r>
        <w:rPr>
          <w:rFonts w:hint="eastAsia" w:ascii="宋体" w:hAnsi="宋体"/>
          <w:color w:val="auto"/>
          <w:szCs w:val="21"/>
        </w:rPr>
        <w:t>即人民币（大写）</w:t>
      </w:r>
      <w:r>
        <w:rPr>
          <w:rFonts w:hint="eastAsia" w:ascii="宋体" w:hAnsi="宋体"/>
          <w:color w:val="auto"/>
          <w:szCs w:val="21"/>
          <w:lang w:val="en-US" w:eastAsia="zh-CN"/>
        </w:rPr>
        <w:t xml:space="preserve">          </w:t>
      </w:r>
      <w:r>
        <w:rPr>
          <w:rFonts w:hint="eastAsia" w:ascii="宋体" w:hAnsi="宋体"/>
          <w:b/>
          <w:bCs/>
          <w:color w:val="auto"/>
          <w:szCs w:val="21"/>
          <w:lang w:eastAsia="zh-CN"/>
        </w:rPr>
        <w:t>元</w:t>
      </w:r>
      <w:r>
        <w:rPr>
          <w:rFonts w:hint="eastAsia" w:ascii="宋体" w:hAnsi="宋体"/>
          <w:b/>
          <w:bCs/>
          <w:color w:val="auto"/>
          <w:szCs w:val="21"/>
        </w:rPr>
        <w:t>整（￥</w:t>
      </w:r>
      <w:r>
        <w:rPr>
          <w:rFonts w:hint="eastAsia" w:ascii="宋体" w:hAnsi="宋体"/>
          <w:b/>
          <w:bCs/>
          <w:color w:val="auto"/>
          <w:szCs w:val="21"/>
          <w:lang w:val="en-US" w:eastAsia="zh-CN"/>
        </w:rPr>
        <w:t xml:space="preserve">   </w:t>
      </w:r>
      <w:r>
        <w:rPr>
          <w:rFonts w:hint="eastAsia" w:ascii="宋体" w:hAnsi="宋体"/>
          <w:b/>
          <w:bCs/>
          <w:color w:val="auto"/>
          <w:szCs w:val="21"/>
        </w:rPr>
        <w:t>元）。</w:t>
      </w:r>
    </w:p>
    <w:p w14:paraId="1F17E8DC">
      <w:pPr>
        <w:rPr>
          <w:rFonts w:hint="eastAsia"/>
          <w:color w:val="auto"/>
        </w:rPr>
      </w:pPr>
      <w:r>
        <w:rPr>
          <w:rFonts w:hint="eastAsia" w:ascii="宋体" w:hAnsi="宋体"/>
          <w:bCs/>
          <w:color w:val="auto"/>
          <w:szCs w:val="28"/>
        </w:rPr>
        <w:t>（</w:t>
      </w:r>
      <w:r>
        <w:rPr>
          <w:rFonts w:hint="eastAsia" w:ascii="宋体" w:hAnsi="宋体"/>
          <w:bCs/>
          <w:color w:val="auto"/>
          <w:szCs w:val="28"/>
          <w:lang w:val="en-US" w:eastAsia="zh-CN"/>
        </w:rPr>
        <w:t>3</w:t>
      </w:r>
      <w:r>
        <w:rPr>
          <w:rFonts w:hint="eastAsia" w:ascii="宋体" w:hAnsi="宋体"/>
          <w:bCs/>
          <w:color w:val="auto"/>
          <w:szCs w:val="28"/>
        </w:rPr>
        <w:t>）</w:t>
      </w:r>
      <w:r>
        <w:rPr>
          <w:rFonts w:hint="eastAsia" w:ascii="宋体" w:hAnsi="宋体"/>
          <w:color w:val="auto"/>
          <w:szCs w:val="21"/>
        </w:rPr>
        <w:t>第</w:t>
      </w:r>
      <w:r>
        <w:rPr>
          <w:rFonts w:hint="eastAsia" w:ascii="宋体" w:hAnsi="宋体"/>
          <w:color w:val="auto"/>
          <w:szCs w:val="21"/>
          <w:lang w:eastAsia="zh-CN"/>
        </w:rPr>
        <w:t>三</w:t>
      </w:r>
      <w:r>
        <w:rPr>
          <w:rFonts w:hint="eastAsia" w:ascii="宋体" w:hAnsi="宋体"/>
          <w:color w:val="auto"/>
          <w:szCs w:val="21"/>
        </w:rPr>
        <w:t>次付款：</w:t>
      </w:r>
      <w:r>
        <w:rPr>
          <w:rFonts w:hint="eastAsia"/>
          <w:color w:val="auto"/>
          <w:highlight w:val="none"/>
          <w:lang w:eastAsia="zh-CN"/>
        </w:rPr>
        <w:t>设备正式运行服务期满后</w:t>
      </w:r>
      <w:r>
        <w:rPr>
          <w:rFonts w:hint="eastAsia"/>
          <w:color w:val="auto"/>
          <w:highlight w:val="none"/>
          <w:lang w:val="en-US" w:eastAsia="zh-CN"/>
        </w:rPr>
        <w:t>，</w:t>
      </w:r>
      <w:r>
        <w:rPr>
          <w:rFonts w:hint="eastAsia" w:ascii="宋体" w:hAnsi="宋体"/>
          <w:color w:val="auto"/>
          <w:szCs w:val="21"/>
          <w:highlight w:val="none"/>
        </w:rPr>
        <w:t>如无任何质量、服务等问题时</w:t>
      </w:r>
      <w:r>
        <w:rPr>
          <w:rFonts w:hint="eastAsia"/>
          <w:color w:val="auto"/>
          <w:highlight w:val="none"/>
          <w:lang w:val="en-US" w:eastAsia="zh-CN"/>
        </w:rPr>
        <w:t>，终验收合格后</w:t>
      </w:r>
      <w:r>
        <w:rPr>
          <w:rFonts w:hint="eastAsia" w:ascii="宋体" w:hAnsi="宋体"/>
          <w:color w:val="auto"/>
          <w:szCs w:val="21"/>
          <w:lang w:val="en-US" w:eastAsia="zh-CN"/>
        </w:rPr>
        <w:t>60个日内</w:t>
      </w:r>
      <w:r>
        <w:rPr>
          <w:rFonts w:hint="eastAsia" w:ascii="宋体" w:hAnsi="宋体"/>
          <w:color w:val="auto"/>
          <w:szCs w:val="21"/>
        </w:rPr>
        <w:t>无息支付合同总价款的</w:t>
      </w:r>
      <w:r>
        <w:rPr>
          <w:rFonts w:hint="eastAsia" w:ascii="宋体" w:hAnsi="宋体"/>
          <w:color w:val="auto"/>
          <w:szCs w:val="21"/>
          <w:lang w:val="en-US" w:eastAsia="zh-CN"/>
        </w:rPr>
        <w:t>10</w:t>
      </w:r>
      <w:r>
        <w:rPr>
          <w:rFonts w:hint="eastAsia" w:ascii="宋体" w:hAnsi="宋体"/>
          <w:color w:val="auto"/>
          <w:szCs w:val="28"/>
        </w:rPr>
        <w:t>％</w:t>
      </w:r>
      <w:r>
        <w:rPr>
          <w:rFonts w:hint="eastAsia" w:ascii="宋体" w:hAnsi="宋体"/>
          <w:color w:val="auto"/>
          <w:szCs w:val="21"/>
        </w:rPr>
        <w:t>，即人民币（大写）</w:t>
      </w:r>
      <w:r>
        <w:rPr>
          <w:rFonts w:hint="eastAsia" w:ascii="宋体" w:hAnsi="宋体"/>
          <w:color w:val="auto"/>
          <w:szCs w:val="21"/>
          <w:lang w:val="en-US" w:eastAsia="zh-CN"/>
        </w:rPr>
        <w:t xml:space="preserve">          </w:t>
      </w:r>
      <w:r>
        <w:rPr>
          <w:rFonts w:hint="eastAsia" w:ascii="宋体" w:hAnsi="宋体"/>
          <w:b/>
          <w:bCs/>
          <w:color w:val="auto"/>
          <w:szCs w:val="21"/>
          <w:lang w:eastAsia="zh-CN"/>
        </w:rPr>
        <w:t>元</w:t>
      </w:r>
      <w:r>
        <w:rPr>
          <w:rFonts w:hint="eastAsia" w:ascii="宋体" w:hAnsi="宋体"/>
          <w:b/>
          <w:bCs/>
          <w:color w:val="auto"/>
          <w:szCs w:val="21"/>
        </w:rPr>
        <w:t>整（￥</w:t>
      </w:r>
      <w:r>
        <w:rPr>
          <w:rFonts w:hint="eastAsia" w:ascii="宋体" w:hAnsi="宋体"/>
          <w:b/>
          <w:bCs/>
          <w:color w:val="auto"/>
          <w:szCs w:val="21"/>
          <w:lang w:val="en-US" w:eastAsia="zh-CN"/>
        </w:rPr>
        <w:t xml:space="preserve">     </w:t>
      </w:r>
      <w:r>
        <w:rPr>
          <w:rFonts w:hint="eastAsia" w:ascii="宋体" w:hAnsi="宋体"/>
          <w:b/>
          <w:bCs/>
          <w:color w:val="auto"/>
          <w:szCs w:val="21"/>
        </w:rPr>
        <w:t>元）。</w:t>
      </w:r>
    </w:p>
    <w:p w14:paraId="5B6B8C66">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lang w:val="en-US" w:eastAsia="zh-CN"/>
        </w:rPr>
        <w:t>3、</w:t>
      </w:r>
      <w:r>
        <w:rPr>
          <w:rFonts w:hint="eastAsia" w:ascii="宋体" w:hAnsi="宋体"/>
          <w:szCs w:val="21"/>
        </w:rPr>
        <w:t>支付方式：银行转帐。</w:t>
      </w:r>
    </w:p>
    <w:p w14:paraId="5181DD3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lang w:val="en-US" w:eastAsia="zh-CN"/>
        </w:rPr>
      </w:pPr>
      <w:r>
        <w:rPr>
          <w:rFonts w:hint="eastAsia"/>
          <w:lang w:val="en-US" w:eastAsia="zh-CN"/>
        </w:rPr>
        <w:t>账户全称：</w:t>
      </w:r>
    </w:p>
    <w:p w14:paraId="594BAB8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lang w:val="en-US" w:eastAsia="zh-CN"/>
        </w:rPr>
      </w:pPr>
      <w:r>
        <w:rPr>
          <w:rFonts w:hint="eastAsia"/>
          <w:lang w:val="en-US" w:eastAsia="zh-CN"/>
        </w:rPr>
        <w:t>账    号：</w:t>
      </w:r>
    </w:p>
    <w:p w14:paraId="5A454B3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lang w:val="en-US" w:eastAsia="zh-CN"/>
        </w:rPr>
      </w:pPr>
      <w:r>
        <w:rPr>
          <w:rFonts w:hint="eastAsia"/>
          <w:lang w:val="en-US" w:eastAsia="zh-CN"/>
        </w:rPr>
        <w:t>开 户 行：</w:t>
      </w:r>
    </w:p>
    <w:p w14:paraId="7F897C3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rPr>
      </w:pPr>
      <w:r>
        <w:rPr>
          <w:rFonts w:hint="eastAsia"/>
          <w:lang w:val="en-US" w:eastAsia="zh-CN"/>
        </w:rPr>
        <w:t>甲方仅认可上述指定账户并向该账户付款。甲方有权拒绝向指定账户之外的任何账户付款，并且由此导致的付款延迟责任由乙方承担。</w:t>
      </w:r>
    </w:p>
    <w:p w14:paraId="70146ADA">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hint="eastAsia" w:ascii="宋体" w:hAnsi="宋体"/>
          <w:szCs w:val="21"/>
        </w:rPr>
        <w:t>（4）结算方式：</w:t>
      </w:r>
      <w:r>
        <w:rPr>
          <w:rFonts w:ascii="宋体" w:hAnsi="宋体"/>
          <w:szCs w:val="21"/>
        </w:rPr>
        <w:t>第一次付款时，乙方</w:t>
      </w:r>
      <w:r>
        <w:rPr>
          <w:rFonts w:hint="eastAsia" w:ascii="宋体" w:hAnsi="宋体"/>
          <w:szCs w:val="21"/>
        </w:rPr>
        <w:t>持</w:t>
      </w:r>
      <w:r>
        <w:rPr>
          <w:rFonts w:ascii="宋体" w:hAnsi="宋体"/>
          <w:szCs w:val="21"/>
        </w:rPr>
        <w:t>发票（按合同总价</w:t>
      </w:r>
      <w:r>
        <w:rPr>
          <w:rFonts w:hint="eastAsia" w:ascii="宋体" w:hAnsi="宋体"/>
          <w:szCs w:val="21"/>
        </w:rPr>
        <w:t>值</w:t>
      </w:r>
      <w:r>
        <w:rPr>
          <w:rFonts w:ascii="宋体" w:hAnsi="宋体"/>
          <w:szCs w:val="21"/>
        </w:rPr>
        <w:t>开甲方）、中标通知书、供货合同、发票复印件、</w:t>
      </w:r>
      <w:r>
        <w:rPr>
          <w:rFonts w:hint="eastAsia" w:ascii="宋体" w:hAnsi="宋体"/>
          <w:szCs w:val="21"/>
        </w:rPr>
        <w:t>甲、乙双方设备验收单</w:t>
      </w:r>
      <w:r>
        <w:rPr>
          <w:rFonts w:ascii="宋体" w:hAnsi="宋体"/>
          <w:szCs w:val="21"/>
        </w:rPr>
        <w:t>，与甲方办理资金结算。</w:t>
      </w:r>
      <w:r>
        <w:rPr>
          <w:rFonts w:hint="eastAsia" w:ascii="宋体" w:hAnsi="宋体"/>
          <w:szCs w:val="21"/>
        </w:rPr>
        <w:t>否则，甲方有权拒付费用且不承担任何责任。</w:t>
      </w:r>
    </w:p>
    <w:p w14:paraId="12EDBDB6">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（5）本合同以人民币付款。</w:t>
      </w:r>
    </w:p>
    <w:p w14:paraId="039855E4">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（6）乙方应按照双方签订的合同规定交货,货物由甲方验收合格并出具货物验</w:t>
      </w:r>
      <w:r>
        <w:rPr>
          <w:rFonts w:hint="eastAsia" w:ascii="宋体" w:hAnsi="宋体"/>
          <w:szCs w:val="21"/>
          <w:lang w:eastAsia="zh-CN"/>
        </w:rPr>
        <w:t>验收</w:t>
      </w:r>
      <w:r>
        <w:rPr>
          <w:rFonts w:hint="eastAsia" w:ascii="宋体" w:hAnsi="宋体"/>
          <w:szCs w:val="21"/>
        </w:rPr>
        <w:t>单，货物发票交甲方。</w:t>
      </w:r>
    </w:p>
    <w:p w14:paraId="7E782D9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rPr>
        <w:t>四、双方权利与义务</w:t>
      </w:r>
    </w:p>
    <w:p w14:paraId="7857B88F">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（一）甲方的权利和义务：甲方有权利要求乙方保质保量按时将货物运送到甲方指定地点。</w:t>
      </w:r>
    </w:p>
    <w:p w14:paraId="08D3CC7E">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（二）乙方的权利和义务：乙方有义务根据合同要求保质保量供货</w:t>
      </w:r>
      <w:r>
        <w:rPr>
          <w:rFonts w:hint="eastAsia" w:ascii="宋体" w:hAnsi="宋体"/>
          <w:szCs w:val="21"/>
        </w:rPr>
        <w:t>，确保所供货物系达到现行国家、行业标准的全新产品</w:t>
      </w:r>
      <w:r>
        <w:rPr>
          <w:rFonts w:ascii="宋体" w:hAnsi="宋体"/>
          <w:szCs w:val="21"/>
        </w:rPr>
        <w:t>。</w:t>
      </w:r>
      <w:r>
        <w:rPr>
          <w:rFonts w:hint="eastAsia" w:ascii="宋体" w:hAnsi="宋体"/>
          <w:szCs w:val="21"/>
        </w:rPr>
        <w:t>否则，视为乙方未完成交货义务。</w:t>
      </w:r>
    </w:p>
    <w:p w14:paraId="40D8FC44">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b/>
          <w:szCs w:val="21"/>
        </w:rPr>
        <w:t>五、交货条件：</w:t>
      </w:r>
    </w:p>
    <w:p w14:paraId="14F65F86">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（一）交货地点：甲方指定地点。</w:t>
      </w:r>
    </w:p>
    <w:p w14:paraId="71C0C1C9">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（二）交货期：合同签订后</w:t>
      </w:r>
      <w:r>
        <w:rPr>
          <w:rFonts w:hint="eastAsia" w:ascii="宋体" w:hAnsi="宋体"/>
          <w:szCs w:val="21"/>
          <w:u w:val="single"/>
        </w:rPr>
        <w:t xml:space="preserve">   </w:t>
      </w:r>
      <w:r>
        <w:rPr>
          <w:rFonts w:hint="eastAsia" w:ascii="宋体" w:hAnsi="宋体"/>
          <w:szCs w:val="21"/>
        </w:rPr>
        <w:t>日内完成货物的安装调试并正常运行。</w:t>
      </w:r>
    </w:p>
    <w:p w14:paraId="7FA20FCE">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（三）</w:t>
      </w:r>
      <w:r>
        <w:rPr>
          <w:rFonts w:hint="eastAsia" w:ascii="宋体" w:hAnsi="宋体"/>
          <w:szCs w:val="21"/>
          <w:lang w:eastAsia="zh-CN"/>
        </w:rPr>
        <w:t>质保</w:t>
      </w:r>
      <w:r>
        <w:rPr>
          <w:rFonts w:hint="eastAsia" w:ascii="宋体" w:hAnsi="宋体"/>
          <w:szCs w:val="21"/>
        </w:rPr>
        <w:t>期：安装调试验收合格后</w:t>
      </w:r>
      <w:r>
        <w:rPr>
          <w:rFonts w:hint="eastAsia" w:ascii="宋体" w:hAnsi="宋体"/>
          <w:szCs w:val="21"/>
          <w:u w:val="single"/>
          <w:lang w:val="en-US" w:eastAsia="zh-CN"/>
        </w:rPr>
        <w:t xml:space="preserve">   </w:t>
      </w:r>
      <w:r>
        <w:rPr>
          <w:rFonts w:hint="eastAsia" w:ascii="宋体" w:hAnsi="宋体"/>
          <w:szCs w:val="21"/>
        </w:rPr>
        <w:t>年。</w:t>
      </w:r>
    </w:p>
    <w:p w14:paraId="35137BE0">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rPr>
        <w:t>六、运输</w:t>
      </w:r>
    </w:p>
    <w:p w14:paraId="6AE7FF9D">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（一）</w:t>
      </w:r>
      <w:r>
        <w:rPr>
          <w:rFonts w:ascii="宋体" w:hAnsi="宋体"/>
          <w:szCs w:val="21"/>
        </w:rPr>
        <w:t>运输由乙方负责，运杂费已包含在合同总价内，包括从货物供应地点所含的运输费、装卸费、仓储费、保险费等。</w:t>
      </w:r>
    </w:p>
    <w:p w14:paraId="6568F2FB">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（二）运输方式由乙方自行选择，但必须保证按期、保证质保量交货。</w:t>
      </w:r>
    </w:p>
    <w:p w14:paraId="38767E05">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hint="eastAsia" w:ascii="宋体" w:hAnsi="宋体"/>
          <w:szCs w:val="21"/>
        </w:rPr>
        <w:t>（三）甲方接收货物</w:t>
      </w:r>
      <w:r>
        <w:rPr>
          <w:rFonts w:hint="eastAsia" w:ascii="宋体" w:hAnsi="宋体"/>
          <w:szCs w:val="21"/>
          <w:lang w:eastAsia="zh-CN"/>
        </w:rPr>
        <w:t>并获得甲方验收合格</w:t>
      </w:r>
      <w:r>
        <w:rPr>
          <w:rFonts w:hint="eastAsia" w:ascii="宋体" w:hAnsi="宋体"/>
          <w:szCs w:val="21"/>
        </w:rPr>
        <w:t>前，货物毁损、灭失等一切风险由乙方自行承担。</w:t>
      </w:r>
    </w:p>
    <w:p w14:paraId="034DDE3D">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lang w:eastAsia="zh-CN"/>
        </w:rPr>
        <w:t>七、</w:t>
      </w:r>
      <w:r>
        <w:rPr>
          <w:rFonts w:hint="eastAsia" w:ascii="宋体" w:hAnsi="宋体"/>
          <w:b/>
          <w:szCs w:val="21"/>
        </w:rPr>
        <w:t>包装要求</w:t>
      </w:r>
    </w:p>
    <w:p w14:paraId="6952B41B">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（一）除合同另有规定外，乙方提供的全部货物，均应按标准保护措施进行包装。这类包装应适应于远距离运输、防潮、防震、防锈和防野蛮装卸，以确保货物安全无损运抵项目现场。</w:t>
      </w:r>
    </w:p>
    <w:p w14:paraId="1AEFF4A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（二）每一个包装箱内应附一份详细装箱单和质量合格证。</w:t>
      </w:r>
    </w:p>
    <w:p w14:paraId="40F0829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b/>
          <w:szCs w:val="21"/>
          <w:lang w:eastAsia="zh-CN"/>
        </w:rPr>
        <w:t>八、</w:t>
      </w:r>
      <w:r>
        <w:rPr>
          <w:rFonts w:hint="eastAsia" w:ascii="宋体" w:hAnsi="宋体"/>
          <w:b/>
          <w:szCs w:val="21"/>
        </w:rPr>
        <w:t>装运条件</w:t>
      </w:r>
    </w:p>
    <w:p w14:paraId="1C3B945F">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（一）乙方负责安排货物到达交货地点的一切运输、装卸及保存，并承担相应的运杂费用。</w:t>
      </w:r>
    </w:p>
    <w:p w14:paraId="7F8957D4">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（二）乙方装运的货物不应超过合同规定的数量或重量。否则，乙方应对因超数量或重量而产生的一切后果负责。</w:t>
      </w:r>
    </w:p>
    <w:p w14:paraId="4B9F3752">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lang w:eastAsia="zh-CN"/>
        </w:rPr>
        <w:t>九、</w:t>
      </w:r>
      <w:r>
        <w:rPr>
          <w:rFonts w:hint="eastAsia" w:ascii="宋体" w:hAnsi="宋体"/>
          <w:b/>
          <w:szCs w:val="21"/>
        </w:rPr>
        <w:t>保险</w:t>
      </w:r>
    </w:p>
    <w:p w14:paraId="429784B5">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hint="eastAsia" w:ascii="宋体" w:hAnsi="宋体"/>
          <w:szCs w:val="21"/>
        </w:rPr>
        <w:t>保险范围应包括乙方装运的全部货物；由乙方办理货物在运抵目的港/项目现场途中的保险,保险应以人民币按照发票金额的110%办理“一切险”。</w:t>
      </w:r>
    </w:p>
    <w:p w14:paraId="4B13A68A">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lang w:eastAsia="zh-CN"/>
        </w:rPr>
        <w:t>十</w:t>
      </w:r>
      <w:r>
        <w:rPr>
          <w:rFonts w:hint="eastAsia" w:ascii="宋体" w:hAnsi="宋体"/>
          <w:b/>
          <w:szCs w:val="21"/>
        </w:rPr>
        <w:t>、质量保证及索赔</w:t>
      </w:r>
    </w:p>
    <w:p w14:paraId="21BB7A52">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乙方所供货物必须执行下列条款：</w:t>
      </w:r>
    </w:p>
    <w:p w14:paraId="16FD9B0A">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ascii="宋体" w:hAnsi="宋体"/>
          <w:szCs w:val="21"/>
        </w:rPr>
        <w:t>（一）保证技术指标先进、质量性能可靠、进货渠道正常，配置合理，全面满足谈判要求</w:t>
      </w:r>
      <w:r>
        <w:rPr>
          <w:rFonts w:hint="eastAsia" w:ascii="宋体" w:hAnsi="宋体"/>
          <w:szCs w:val="21"/>
        </w:rPr>
        <w:t>，为全新未曾使用过的合格产品</w:t>
      </w:r>
      <w:r>
        <w:rPr>
          <w:rFonts w:ascii="宋体" w:hAnsi="宋体"/>
          <w:szCs w:val="21"/>
        </w:rPr>
        <w:t>。</w:t>
      </w:r>
      <w:r>
        <w:rPr>
          <w:rFonts w:hint="eastAsia" w:ascii="宋体" w:hAnsi="宋体"/>
          <w:szCs w:val="21"/>
        </w:rPr>
        <w:t>货物的质量技术标准按国家法律法规规定的标准，招标文件和乙方投标文件所需求的技术标准执行。进口产品保证是原产地生产的原装产品，否则按退货处理，由此产生的费用由乙方承担。</w:t>
      </w:r>
    </w:p>
    <w:p w14:paraId="32696BA9">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（二）应提供设备的技术白皮书，投标响应及参数数据应和设备的技术白皮书一致</w:t>
      </w:r>
      <w:r>
        <w:rPr>
          <w:rFonts w:hint="eastAsia" w:ascii="宋体" w:hAnsi="宋体"/>
          <w:szCs w:val="21"/>
        </w:rPr>
        <w:t>，</w:t>
      </w:r>
      <w:r>
        <w:rPr>
          <w:rFonts w:ascii="宋体" w:hAnsi="宋体"/>
          <w:szCs w:val="21"/>
        </w:rPr>
        <w:t>在验收时发现不一致，</w:t>
      </w:r>
      <w:r>
        <w:rPr>
          <w:rFonts w:hint="eastAsia" w:ascii="宋体" w:hAnsi="宋体"/>
          <w:szCs w:val="21"/>
        </w:rPr>
        <w:t>甲方有权拒收货物，并要求乙方【</w:t>
      </w:r>
      <w:r>
        <w:rPr>
          <w:rFonts w:hint="eastAsia" w:ascii="宋体" w:hAnsi="宋体"/>
          <w:szCs w:val="21"/>
          <w:lang w:val="en-US" w:eastAsia="zh-CN"/>
        </w:rPr>
        <w:t xml:space="preserve"> </w:t>
      </w:r>
      <w:r>
        <w:rPr>
          <w:rFonts w:hint="eastAsia" w:ascii="宋体" w:hAnsi="宋体"/>
          <w:szCs w:val="21"/>
        </w:rPr>
        <w:t>】日内进行更换或退货；乙方拒不更换的或更换【</w:t>
      </w:r>
      <w:r>
        <w:rPr>
          <w:rFonts w:hint="eastAsia" w:ascii="宋体" w:hAnsi="宋体"/>
          <w:szCs w:val="21"/>
          <w:lang w:val="en-US" w:eastAsia="zh-CN"/>
        </w:rPr>
        <w:t xml:space="preserve"> </w:t>
      </w:r>
      <w:r>
        <w:rPr>
          <w:rFonts w:hint="eastAsia" w:ascii="宋体" w:hAnsi="宋体"/>
          <w:szCs w:val="21"/>
        </w:rPr>
        <w:t>】次仍无法达到约定标准及甲方要求的，甲方有权单方解除合同，合同自甲方书面解除通知送达乙方之日起解除，乙方应按照合同总计的30%向甲方支付违约金，违约金不足以弥补甲方损失的，乙方需另行支付</w:t>
      </w:r>
      <w:r>
        <w:rPr>
          <w:rFonts w:ascii="宋体" w:hAnsi="宋体"/>
          <w:szCs w:val="21"/>
        </w:rPr>
        <w:t>。</w:t>
      </w:r>
    </w:p>
    <w:p w14:paraId="15B513E0">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（三）符合国家有关规范要求，确保达到最佳运行状态。</w:t>
      </w:r>
    </w:p>
    <w:p w14:paraId="340F552B">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（四）具有良好的外观，适合安装场所的使用。</w:t>
      </w:r>
    </w:p>
    <w:p w14:paraId="7DC7C581">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（五）自安装、调试正常运行并验收合格之日起：</w:t>
      </w:r>
    </w:p>
    <w:p w14:paraId="38513399">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1、</w:t>
      </w:r>
      <w:r>
        <w:rPr>
          <w:rFonts w:hint="eastAsia" w:ascii="宋体" w:hAnsi="宋体"/>
          <w:szCs w:val="21"/>
        </w:rPr>
        <w:t>设备终身维修（质保期满后只收取相应的材料成本费用）。质保期内，同一主要部件出现质量问题经过两次维修后仍无法正常使用，可以更换同型号、同规格的产品，维修服务响应时间不超过24小时，解决问题不超过</w:t>
      </w:r>
      <w:r>
        <w:rPr>
          <w:rFonts w:hint="eastAsia" w:ascii="宋体" w:hAnsi="宋体"/>
          <w:color w:val="auto"/>
          <w:szCs w:val="21"/>
          <w:highlight w:val="none"/>
          <w:lang w:val="en-US" w:eastAsia="zh-CN"/>
        </w:rPr>
        <w:t>48</w:t>
      </w:r>
      <w:r>
        <w:rPr>
          <w:rFonts w:hint="eastAsia" w:ascii="宋体" w:hAnsi="宋体"/>
          <w:color w:val="auto"/>
          <w:szCs w:val="21"/>
          <w:highlight w:val="none"/>
        </w:rPr>
        <w:t>小时</w:t>
      </w:r>
      <w:r>
        <w:rPr>
          <w:rFonts w:hint="eastAsia" w:ascii="宋体" w:hAnsi="宋体"/>
          <w:szCs w:val="21"/>
        </w:rPr>
        <w:t>，对问题较大短期内暂不能解决的，为不影响甲方正常工作，乙方在72个小时内免费提供替代产品，确保正常运行；否则，甲方有权委托第三方进行维修，由此产生的风险及费用由乙方承担。</w:t>
      </w:r>
    </w:p>
    <w:p w14:paraId="13E8087B">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2、30个工作日内，如出现质量问题，可以选择换货或退货</w:t>
      </w:r>
      <w:r>
        <w:rPr>
          <w:rFonts w:hint="eastAsia" w:ascii="宋体" w:hAnsi="宋体"/>
          <w:szCs w:val="21"/>
        </w:rPr>
        <w:t>，由此产生的费用由乙方承担</w:t>
      </w:r>
      <w:r>
        <w:rPr>
          <w:rFonts w:ascii="宋体" w:hAnsi="宋体"/>
          <w:szCs w:val="21"/>
        </w:rPr>
        <w:t>；</w:t>
      </w:r>
    </w:p>
    <w:p w14:paraId="57FA6BCD">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ascii="宋体" w:hAnsi="宋体"/>
          <w:szCs w:val="21"/>
        </w:rPr>
        <w:t>3、不得对设备设置密码，否则承担发生的所有损失。</w:t>
      </w:r>
    </w:p>
    <w:p w14:paraId="2B4A3150">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4、设备的配套产品的维修由乙方负责，质保期3年，自甲方验收合格之日起算。</w:t>
      </w:r>
    </w:p>
    <w:p w14:paraId="059F02B4">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5、附设备清单。</w:t>
      </w:r>
    </w:p>
    <w:p w14:paraId="380EA3E9">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六）乙方保证所供货物是全新的、未使用过的，并完全符合合同规定的质量、规格、技术指标及国家、行业相关标准等要求。乙方应保证其货物在正确安装、正常使用和保养条件下，在其使用寿命内应具有满意的性能。在货物最终验收后的质量保证期内，乙方应对由于设计、工艺或材料的缺陷而产生的故障负责。质保期满后如出现此类问题亦应负责。</w:t>
      </w:r>
    </w:p>
    <w:p w14:paraId="1D6A18DC">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（七）在质量保证期内，如果货物的质量、规格、技术指标等与合同有任何一项不符，甲方有权要求乙方【</w:t>
      </w:r>
      <w:r>
        <w:rPr>
          <w:rFonts w:hint="eastAsia" w:ascii="宋体" w:hAnsi="宋体"/>
          <w:szCs w:val="21"/>
          <w:lang w:val="en-US" w:eastAsia="zh-CN"/>
        </w:rPr>
        <w:t xml:space="preserve"> </w:t>
      </w:r>
      <w:r>
        <w:rPr>
          <w:rFonts w:hint="eastAsia" w:ascii="宋体" w:hAnsi="宋体"/>
          <w:szCs w:val="21"/>
        </w:rPr>
        <w:t>】日内进行免费退换，并要求其按照合同总价的【</w:t>
      </w:r>
      <w:r>
        <w:rPr>
          <w:rFonts w:hint="eastAsia" w:ascii="宋体" w:hAnsi="宋体"/>
          <w:szCs w:val="21"/>
          <w:lang w:val="en-US" w:eastAsia="zh-CN"/>
        </w:rPr>
        <w:t xml:space="preserve"> </w:t>
      </w:r>
      <w:r>
        <w:rPr>
          <w:rFonts w:hint="eastAsia" w:ascii="宋体" w:hAnsi="宋体"/>
          <w:szCs w:val="21"/>
        </w:rPr>
        <w:t>】%支付违约金；乙方拒不退换或</w:t>
      </w:r>
      <w:r>
        <w:rPr>
          <w:rFonts w:hint="eastAsia" w:ascii="宋体" w:hAnsi="宋体"/>
          <w:szCs w:val="21"/>
          <w:lang w:val="en-US" w:eastAsia="zh-CN"/>
        </w:rPr>
        <w:t>退</w:t>
      </w:r>
      <w:r>
        <w:rPr>
          <w:rFonts w:hint="eastAsia" w:ascii="宋体" w:hAnsi="宋体"/>
          <w:szCs w:val="21"/>
        </w:rPr>
        <w:t>换【</w:t>
      </w:r>
      <w:r>
        <w:rPr>
          <w:rFonts w:hint="eastAsia" w:ascii="宋体" w:hAnsi="宋体"/>
          <w:szCs w:val="21"/>
          <w:lang w:val="en-US" w:eastAsia="zh-CN"/>
        </w:rPr>
        <w:t xml:space="preserve"> </w:t>
      </w:r>
      <w:r>
        <w:rPr>
          <w:rFonts w:hint="eastAsia" w:ascii="宋体" w:hAnsi="宋体"/>
          <w:szCs w:val="21"/>
        </w:rPr>
        <w:t>】次</w:t>
      </w:r>
      <w:r>
        <w:rPr>
          <w:rFonts w:hint="eastAsia" w:ascii="宋体" w:hAnsi="宋体"/>
          <w:szCs w:val="21"/>
          <w:lang w:val="en-US" w:eastAsia="zh-CN"/>
        </w:rPr>
        <w:t>后</w:t>
      </w:r>
      <w:r>
        <w:rPr>
          <w:rFonts w:hint="eastAsia" w:ascii="宋体" w:hAnsi="宋体"/>
          <w:szCs w:val="21"/>
        </w:rPr>
        <w:t>仍无法达到约定标准及甲方要求的，甲方有权单方解除合同，合同自甲方书面解除通知送达乙方之日起解除，乙方应按照合同总价的30%向甲方支付违约金，违约金不足以弥补甲方损失的，乙方需另行支付。</w:t>
      </w:r>
    </w:p>
    <w:p w14:paraId="4A555B1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lang w:eastAsia="zh-CN"/>
        </w:rPr>
        <w:t>十一</w:t>
      </w:r>
      <w:r>
        <w:rPr>
          <w:rFonts w:hint="eastAsia" w:ascii="宋体" w:hAnsi="宋体"/>
          <w:b/>
          <w:szCs w:val="21"/>
        </w:rPr>
        <w:t>、售后服务</w:t>
      </w:r>
    </w:p>
    <w:p w14:paraId="6A49DEA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ascii="宋体" w:hAnsi="宋体"/>
          <w:szCs w:val="21"/>
        </w:rPr>
        <w:t>乙方所供货物提供以下售后服务：</w:t>
      </w:r>
    </w:p>
    <w:p w14:paraId="4CCB1F6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（一）质保期内：</w:t>
      </w:r>
    </w:p>
    <w:p w14:paraId="3799D14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1、发生质量（包括软件部分）问题，接到甲方通知后，应于当日派出专业的维修人员到现场进行检测维修。</w:t>
      </w:r>
      <w:r>
        <w:rPr>
          <w:rFonts w:ascii="宋体" w:hAnsi="宋体"/>
          <w:szCs w:val="21"/>
        </w:rPr>
        <w:t>发生的全部费用由乙方承担，若需送回生产厂，乙方承担往返费用</w:t>
      </w:r>
      <w:r>
        <w:rPr>
          <w:rFonts w:hint="eastAsia" w:ascii="宋体" w:hAnsi="宋体"/>
          <w:szCs w:val="21"/>
        </w:rPr>
        <w:t>并在【</w:t>
      </w:r>
      <w:r>
        <w:rPr>
          <w:rFonts w:hint="eastAsia" w:ascii="宋体" w:hAnsi="宋体"/>
          <w:szCs w:val="21"/>
          <w:lang w:val="en-US" w:eastAsia="zh-CN"/>
        </w:rPr>
        <w:t xml:space="preserve"> </w:t>
      </w:r>
      <w:r>
        <w:rPr>
          <w:rFonts w:hint="eastAsia" w:ascii="宋体" w:hAnsi="宋体"/>
          <w:szCs w:val="21"/>
        </w:rPr>
        <w:t>】日内向甲方提供替代产品，确保甲方业务的正常开展</w:t>
      </w:r>
      <w:r>
        <w:rPr>
          <w:rFonts w:ascii="宋体" w:hAnsi="宋体"/>
          <w:szCs w:val="21"/>
        </w:rPr>
        <w:t>；</w:t>
      </w:r>
    </w:p>
    <w:p w14:paraId="697AE9A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2、每月派技术人员到现场走访，给予检查维护；</w:t>
      </w:r>
    </w:p>
    <w:p w14:paraId="692DDD7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ascii="宋体" w:hAnsi="宋体"/>
          <w:szCs w:val="21"/>
        </w:rPr>
        <w:t>3、</w:t>
      </w:r>
      <w:r>
        <w:rPr>
          <w:rFonts w:hint="eastAsia" w:ascii="宋体" w:hAnsi="宋体"/>
          <w:szCs w:val="21"/>
        </w:rPr>
        <w:t>2小时内电话响应</w:t>
      </w:r>
      <w:r>
        <w:rPr>
          <w:rFonts w:hint="eastAsia" w:ascii="宋体" w:hAnsi="宋体"/>
          <w:szCs w:val="21"/>
          <w:lang w:eastAsia="zh-CN"/>
        </w:rPr>
        <w:t>，</w:t>
      </w:r>
      <w:r>
        <w:rPr>
          <w:rFonts w:ascii="宋体" w:hAnsi="宋体"/>
          <w:szCs w:val="21"/>
        </w:rPr>
        <w:t>排除故障的期限不得超过48小时。否则甲方有权指定第三方维修，维修费用由乙方承担。</w:t>
      </w:r>
      <w:r>
        <w:rPr>
          <w:rFonts w:hint="eastAsia" w:ascii="宋体" w:hAnsi="宋体"/>
          <w:szCs w:val="21"/>
        </w:rPr>
        <w:t>甲方可在货款和其他应付乙方款项中扣除，不足部分由乙方另行支付。</w:t>
      </w:r>
    </w:p>
    <w:p w14:paraId="7789F74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4、物品在质保期内，如果出现两次以上因质量问题引起的故障，乙方公司负责更换同类全新、合格的物品。</w:t>
      </w:r>
    </w:p>
    <w:p w14:paraId="3B9124F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5、如因乙方物品质量问题，导致甲方损失，乙方应予以赔偿。</w:t>
      </w:r>
    </w:p>
    <w:p w14:paraId="45BC20F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（二）保修期结束前，进行系统测试，全面保养维护，确保正常运行。</w:t>
      </w:r>
    </w:p>
    <w:p w14:paraId="34BA2D7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（三）保修期结束后，乙方对设备终身维护，维修只能按市场最低价收取配件费，人工服务费全免，并提供技术支持。</w:t>
      </w:r>
    </w:p>
    <w:p w14:paraId="09B2AD97">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lang w:eastAsia="zh-CN"/>
        </w:rPr>
        <w:t>十二</w:t>
      </w:r>
      <w:r>
        <w:rPr>
          <w:rFonts w:hint="eastAsia" w:ascii="宋体" w:hAnsi="宋体"/>
          <w:b/>
          <w:szCs w:val="21"/>
        </w:rPr>
        <w:t>、技术与服务</w:t>
      </w:r>
    </w:p>
    <w:p w14:paraId="3EBCC1CD">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（一）技术资料：</w:t>
      </w:r>
    </w:p>
    <w:p w14:paraId="64EC2057">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hint="eastAsia" w:ascii="宋体" w:hAnsi="宋体"/>
          <w:szCs w:val="21"/>
        </w:rPr>
        <w:t>1</w:t>
      </w:r>
      <w:r>
        <w:rPr>
          <w:rFonts w:ascii="宋体" w:hAnsi="宋体"/>
          <w:szCs w:val="21"/>
        </w:rPr>
        <w:t>、货物使用说明书（中文</w:t>
      </w:r>
      <w:r>
        <w:rPr>
          <w:rFonts w:hint="eastAsia" w:ascii="宋体" w:hAnsi="宋体"/>
          <w:szCs w:val="21"/>
        </w:rPr>
        <w:t>对照</w:t>
      </w:r>
      <w:r>
        <w:rPr>
          <w:rFonts w:ascii="宋体" w:hAnsi="宋体"/>
          <w:szCs w:val="21"/>
        </w:rPr>
        <w:t>）；</w:t>
      </w:r>
    </w:p>
    <w:p w14:paraId="77CBFBA5">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hint="eastAsia" w:ascii="宋体" w:hAnsi="宋体"/>
          <w:szCs w:val="21"/>
        </w:rPr>
        <w:t>2</w:t>
      </w:r>
      <w:r>
        <w:rPr>
          <w:rFonts w:ascii="宋体" w:hAnsi="宋体"/>
          <w:szCs w:val="21"/>
        </w:rPr>
        <w:t>、进口货物商检证明和报关单；</w:t>
      </w:r>
    </w:p>
    <w:p w14:paraId="55A121DC">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3</w:t>
      </w:r>
      <w:r>
        <w:rPr>
          <w:rFonts w:ascii="宋体" w:hAnsi="宋体"/>
          <w:szCs w:val="21"/>
        </w:rPr>
        <w:t>、</w:t>
      </w:r>
      <w:r>
        <w:rPr>
          <w:rFonts w:hint="eastAsia" w:ascii="宋体" w:hAnsi="宋体"/>
          <w:szCs w:val="21"/>
        </w:rPr>
        <w:t>检验测试报告；</w:t>
      </w:r>
    </w:p>
    <w:p w14:paraId="5B10FAF7">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4、其它资料。</w:t>
      </w:r>
    </w:p>
    <w:p w14:paraId="385B83C4">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ascii="宋体" w:hAnsi="宋体"/>
          <w:szCs w:val="21"/>
        </w:rPr>
        <w:t>（二）服务承诺：以</w:t>
      </w:r>
      <w:r>
        <w:rPr>
          <w:rFonts w:hint="eastAsia" w:ascii="宋体" w:hAnsi="宋体"/>
          <w:szCs w:val="21"/>
        </w:rPr>
        <w:t>招标</w:t>
      </w:r>
      <w:r>
        <w:rPr>
          <w:rFonts w:ascii="宋体" w:hAnsi="宋体"/>
          <w:szCs w:val="21"/>
        </w:rPr>
        <w:t>响应文件、澄清表（函）、合同和随货物的相关文件为准。</w:t>
      </w:r>
    </w:p>
    <w:p w14:paraId="5A58E464">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（三）伴随服务</w:t>
      </w:r>
    </w:p>
    <w:p w14:paraId="53A5ACD2">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1.乙方应随同每套货物提供相应的每一套设备和仪器的中文的技术文件。例如：产品目录、图纸、操作手册、使用说明、维护手册或服务指南等。</w:t>
      </w:r>
    </w:p>
    <w:p w14:paraId="38E906A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2.对于合同中有要求的货物，乙方还应提供下列服务：</w:t>
      </w:r>
    </w:p>
    <w:p w14:paraId="4F6E9B62">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1）货物的现场安装、调试和启动监督；</w:t>
      </w:r>
    </w:p>
    <w:p w14:paraId="3217C30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2）提供货物组装和维修所需的工具，提供货物调试所需的耗材等。</w:t>
      </w:r>
    </w:p>
    <w:p w14:paraId="045472ED">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3）在双方商定的一定期限内对所供货物实施运行监督、维修，但前提条件是该服务并不能免除乙方在质量保证期应承担的义务。</w:t>
      </w:r>
    </w:p>
    <w:p w14:paraId="69F0506B">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4）在乙方或在甲方项目现场就货物的安装、启动、运营、维护对甲方人员进行培训。</w:t>
      </w:r>
    </w:p>
    <w:p w14:paraId="7656DE29">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3.伴随服务的费用已含在合同价中，不单独进行支付。</w:t>
      </w:r>
    </w:p>
    <w:p w14:paraId="3E33AD1F">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rPr>
        <w:t>十</w:t>
      </w:r>
      <w:r>
        <w:rPr>
          <w:rFonts w:hint="eastAsia" w:ascii="宋体" w:hAnsi="宋体"/>
          <w:b/>
          <w:szCs w:val="21"/>
          <w:lang w:eastAsia="zh-CN"/>
        </w:rPr>
        <w:t>三</w:t>
      </w:r>
      <w:r>
        <w:rPr>
          <w:rFonts w:hint="eastAsia" w:ascii="宋体" w:hAnsi="宋体"/>
          <w:b/>
          <w:szCs w:val="21"/>
        </w:rPr>
        <w:t>、培训</w:t>
      </w:r>
    </w:p>
    <w:p w14:paraId="7595E16A">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乙方现场免费为甲方工作人员进行培训，受培训人员、次数、时间、地点由甲乙双方协商确定，以受培训人员熟练掌握技术并能开展工作为原则。</w:t>
      </w:r>
    </w:p>
    <w:p w14:paraId="628C92B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rPr>
        <w:t>十</w:t>
      </w:r>
      <w:r>
        <w:rPr>
          <w:rFonts w:hint="eastAsia" w:ascii="宋体" w:hAnsi="宋体"/>
          <w:b/>
          <w:szCs w:val="21"/>
          <w:lang w:eastAsia="zh-CN"/>
        </w:rPr>
        <w:t>四</w:t>
      </w:r>
      <w:r>
        <w:rPr>
          <w:rFonts w:hint="eastAsia" w:ascii="宋体" w:hAnsi="宋体"/>
          <w:b/>
          <w:szCs w:val="21"/>
        </w:rPr>
        <w:t>、验收</w:t>
      </w:r>
    </w:p>
    <w:p w14:paraId="1A6FCD1D">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（一）货物到达甲方指定地点后，甲方根据合同要求，进行外观验收，确认产地、规格、型号和数量。</w:t>
      </w:r>
    </w:p>
    <w:p w14:paraId="79CCD10A">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（二）货物安装、调试并正常运行后，由乙方进行自检，合格后，</w:t>
      </w:r>
      <w:r>
        <w:rPr>
          <w:rFonts w:hint="eastAsia" w:ascii="宋体" w:hAnsi="宋体"/>
          <w:szCs w:val="21"/>
        </w:rPr>
        <w:t>向甲方提出验收申请</w:t>
      </w:r>
      <w:r>
        <w:rPr>
          <w:rFonts w:ascii="宋体" w:hAnsi="宋体"/>
          <w:szCs w:val="21"/>
        </w:rPr>
        <w:t>。</w:t>
      </w:r>
    </w:p>
    <w:p w14:paraId="2D0E2B3F">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（三）甲方确认乙方的自检内容后，组织乙方（必要时请有关专家）进行系统验收，验收合格后，填写设备验收单作为对货物的最终认可。</w:t>
      </w:r>
      <w:r>
        <w:rPr>
          <w:rFonts w:hint="eastAsia" w:ascii="宋体" w:hAnsi="宋体"/>
          <w:szCs w:val="21"/>
          <w:lang w:val="en-US" w:eastAsia="zh-CN"/>
        </w:rPr>
        <w:t>但该设备验收单</w:t>
      </w:r>
      <w:r>
        <w:rPr>
          <w:rFonts w:ascii="宋体" w:hAnsi="宋体"/>
          <w:szCs w:val="21"/>
          <w:lang w:val="en-US" w:eastAsia="zh-CN"/>
        </w:rPr>
        <w:t>仅证明乙方所提供的货物截至出具检验报告之日时可以按合同要求予以接受，但不能视为乙方对货物存在的潜在缺陷所应付的责任的解除。此检验不作为对货物内在质量认定的依据</w:t>
      </w:r>
      <w:r>
        <w:rPr>
          <w:rFonts w:hint="eastAsia" w:ascii="宋体" w:hAnsi="宋体"/>
          <w:szCs w:val="21"/>
          <w:lang w:val="en-US" w:eastAsia="zh-CN"/>
        </w:rPr>
        <w:t>。</w:t>
      </w:r>
    </w:p>
    <w:p w14:paraId="2AB14661">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ascii="宋体" w:hAnsi="宋体"/>
          <w:szCs w:val="21"/>
        </w:rPr>
        <w:t>（四）乙方向甲方提交货物实施过程中的所有资料</w:t>
      </w:r>
      <w:r>
        <w:rPr>
          <w:rFonts w:hint="eastAsia" w:ascii="宋体" w:hAnsi="宋体"/>
          <w:szCs w:val="21"/>
        </w:rPr>
        <w:t>，</w:t>
      </w:r>
      <w:r>
        <w:rPr>
          <w:rFonts w:ascii="宋体" w:hAnsi="宋体"/>
          <w:szCs w:val="21"/>
        </w:rPr>
        <w:t>以便甲方日后管理和维护。</w:t>
      </w:r>
    </w:p>
    <w:p w14:paraId="614BEC35">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（五）验收依据：</w:t>
      </w:r>
    </w:p>
    <w:p w14:paraId="7303F247">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1、投标文件、投标响应文件；</w:t>
      </w:r>
    </w:p>
    <w:p w14:paraId="7E056E6F">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2、本合同及附件文本；</w:t>
      </w:r>
    </w:p>
    <w:p w14:paraId="0F44D05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3、国家相应的标准、规范。</w:t>
      </w:r>
    </w:p>
    <w:p w14:paraId="510265F5">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rPr>
        <w:t>十</w:t>
      </w:r>
      <w:r>
        <w:rPr>
          <w:rFonts w:hint="eastAsia" w:ascii="宋体" w:hAnsi="宋体"/>
          <w:b/>
          <w:szCs w:val="21"/>
          <w:lang w:eastAsia="zh-CN"/>
        </w:rPr>
        <w:t>五</w:t>
      </w:r>
      <w:r>
        <w:rPr>
          <w:rFonts w:hint="eastAsia" w:ascii="宋体" w:hAnsi="宋体"/>
          <w:b/>
          <w:szCs w:val="21"/>
        </w:rPr>
        <w:t>、违约责任</w:t>
      </w:r>
    </w:p>
    <w:p w14:paraId="53728EB9">
      <w:pPr>
        <w:keepNext w:val="0"/>
        <w:keepLines w:val="0"/>
        <w:pageBreakBefore w:val="0"/>
        <w:widowControl w:val="0"/>
        <w:kinsoku/>
        <w:wordWrap/>
        <w:overflowPunct/>
        <w:topLinePunct w:val="0"/>
        <w:autoSpaceDE/>
        <w:autoSpaceDN/>
        <w:bidi w:val="0"/>
        <w:adjustRightInd/>
        <w:snapToGrid/>
        <w:spacing w:line="460" w:lineRule="exact"/>
        <w:textAlignment w:val="auto"/>
      </w:pPr>
      <w:r>
        <w:t>（一）按《政府采购法》、《</w:t>
      </w:r>
      <w:r>
        <w:rPr>
          <w:rFonts w:hint="eastAsia"/>
        </w:rPr>
        <w:t>民法典</w:t>
      </w:r>
      <w:r>
        <w:t>》中的相关条款执行。</w:t>
      </w:r>
    </w:p>
    <w:p w14:paraId="335938C0">
      <w:pPr>
        <w:keepNext w:val="0"/>
        <w:keepLines w:val="0"/>
        <w:pageBreakBefore w:val="0"/>
        <w:widowControl w:val="0"/>
        <w:kinsoku/>
        <w:wordWrap/>
        <w:overflowPunct/>
        <w:topLinePunct w:val="0"/>
        <w:autoSpaceDE/>
        <w:autoSpaceDN/>
        <w:bidi w:val="0"/>
        <w:adjustRightInd/>
        <w:snapToGrid/>
        <w:spacing w:line="460" w:lineRule="exact"/>
        <w:textAlignment w:val="auto"/>
      </w:pPr>
      <w:r>
        <w:t>（二）未按合同要求提供货物或质量不能满足谈判技术要求，乙方必须</w:t>
      </w:r>
      <w:r>
        <w:rPr>
          <w:rFonts w:hint="eastAsia"/>
        </w:rPr>
        <w:t>【</w:t>
      </w:r>
      <w:r>
        <w:rPr>
          <w:rFonts w:hint="eastAsia"/>
          <w:lang w:val="en-US" w:eastAsia="zh-CN"/>
        </w:rPr>
        <w:t xml:space="preserve"> </w:t>
      </w:r>
      <w:r>
        <w:rPr>
          <w:rFonts w:hint="eastAsia"/>
        </w:rPr>
        <w:t>】日内</w:t>
      </w:r>
      <w:r>
        <w:t>无条件</w:t>
      </w:r>
      <w:r>
        <w:rPr>
          <w:rFonts w:hint="eastAsia"/>
        </w:rPr>
        <w:t>免费</w:t>
      </w:r>
      <w:r>
        <w:t>更换，提高技术，完善质量，</w:t>
      </w:r>
      <w:r>
        <w:rPr>
          <w:rFonts w:hint="eastAsia"/>
        </w:rPr>
        <w:t>并按照货物总额的【</w:t>
      </w:r>
      <w:r>
        <w:rPr>
          <w:rFonts w:hint="eastAsia"/>
          <w:lang w:val="en-US" w:eastAsia="zh-CN"/>
        </w:rPr>
        <w:t xml:space="preserve"> </w:t>
      </w:r>
      <w:r>
        <w:rPr>
          <w:rFonts w:hint="eastAsia"/>
        </w:rPr>
        <w:t>】%向甲方支付违约金；乙方拒不更换或者更换【</w:t>
      </w:r>
      <w:r>
        <w:rPr>
          <w:rFonts w:hint="eastAsia"/>
          <w:lang w:val="en-US" w:eastAsia="zh-CN"/>
        </w:rPr>
        <w:t xml:space="preserve"> </w:t>
      </w:r>
      <w:r>
        <w:rPr>
          <w:rFonts w:hint="eastAsia"/>
        </w:rPr>
        <w:t>】次后仍无法满足甲方谈判技术要求的，</w:t>
      </w:r>
      <w:r>
        <w:t>甲方有权</w:t>
      </w:r>
      <w:r>
        <w:rPr>
          <w:rFonts w:hint="eastAsia"/>
        </w:rPr>
        <w:t>解除</w:t>
      </w:r>
      <w:r>
        <w:t>合同，</w:t>
      </w:r>
      <w:r>
        <w:rPr>
          <w:rFonts w:hint="eastAsia"/>
        </w:rPr>
        <w:t>合同自书面解除通知送达乙方之日起解除，乙方应当按照合同总额的30%向甲方支付违约金，违约金不足以弥补甲方损失的，乙方需另行支付。同时，甲方有权</w:t>
      </w:r>
      <w:r>
        <w:t>对乙方的违约行为报监管机构进行相应的处罚。</w:t>
      </w:r>
    </w:p>
    <w:p w14:paraId="4FF905DC">
      <w:pPr>
        <w:keepNext w:val="0"/>
        <w:keepLines w:val="0"/>
        <w:pageBreakBefore w:val="0"/>
        <w:widowControl w:val="0"/>
        <w:kinsoku/>
        <w:wordWrap/>
        <w:overflowPunct/>
        <w:topLinePunct w:val="0"/>
        <w:autoSpaceDE/>
        <w:autoSpaceDN/>
        <w:bidi w:val="0"/>
        <w:adjustRightInd/>
        <w:snapToGrid/>
        <w:spacing w:line="460" w:lineRule="exact"/>
        <w:textAlignment w:val="auto"/>
      </w:pPr>
      <w:r>
        <w:t>（三）</w:t>
      </w:r>
      <w:r>
        <w:rPr>
          <w:rFonts w:hint="eastAsia"/>
        </w:rPr>
        <w:t>乙方未按照约定期间交货时，</w:t>
      </w:r>
      <w:r>
        <w:t>交货期每超过一天，乙方</w:t>
      </w:r>
      <w:r>
        <w:rPr>
          <w:rFonts w:hint="eastAsia"/>
        </w:rPr>
        <w:t>应按照</w:t>
      </w:r>
      <w:r>
        <w:t>合同总价款的</w:t>
      </w:r>
      <w:r>
        <w:rPr>
          <w:rFonts w:hint="eastAsia"/>
        </w:rPr>
        <w:t>【</w:t>
      </w:r>
      <w:r>
        <w:rPr>
          <w:rFonts w:hint="eastAsia"/>
          <w:lang w:val="en-US" w:eastAsia="zh-CN"/>
        </w:rPr>
        <w:t xml:space="preserve"> </w:t>
      </w:r>
      <w:r>
        <w:rPr>
          <w:rFonts w:hint="eastAsia"/>
        </w:rPr>
        <w:t>】</w:t>
      </w:r>
      <w:r>
        <w:t>‰</w:t>
      </w:r>
      <w:r>
        <w:rPr>
          <w:rFonts w:hint="eastAsia"/>
        </w:rPr>
        <w:t>向甲方支付违约金；迟延交货超过【</w:t>
      </w:r>
      <w:r>
        <w:rPr>
          <w:rFonts w:hint="eastAsia"/>
          <w:lang w:val="en-US" w:eastAsia="zh-CN"/>
        </w:rPr>
        <w:t xml:space="preserve"> </w:t>
      </w:r>
      <w:r>
        <w:rPr>
          <w:rFonts w:hint="eastAsia"/>
        </w:rPr>
        <w:t>】天的，视为乙方根本违约，甲方有权单方解除合同，合同自甲方书面解除通知送达乙方之日起解除，乙方应当按照合同总额的30%向甲方支付违约金，违约金不足以弥补甲方损失的，乙方需另行支付</w:t>
      </w:r>
      <w:r>
        <w:t>。</w:t>
      </w:r>
    </w:p>
    <w:p w14:paraId="7B5E7215">
      <w:pPr>
        <w:keepNext w:val="0"/>
        <w:keepLines w:val="0"/>
        <w:pageBreakBefore w:val="0"/>
        <w:widowControl w:val="0"/>
        <w:kinsoku/>
        <w:wordWrap/>
        <w:overflowPunct/>
        <w:topLinePunct w:val="0"/>
        <w:autoSpaceDE/>
        <w:autoSpaceDN/>
        <w:bidi w:val="0"/>
        <w:adjustRightInd/>
        <w:snapToGrid/>
        <w:spacing w:line="460" w:lineRule="exact"/>
        <w:textAlignment w:val="auto"/>
      </w:pPr>
      <w:r>
        <w:rPr>
          <w:rFonts w:hint="eastAsia"/>
        </w:rPr>
        <w:t>（四）乙方应确保所供产品、货物不存在任何权利瑕疵，否则，因此产生的纠纷由乙方负责解决并承担全部赔偿责任，甲方因此被索赔时，有权就其支出的全部费用向乙方追偿。</w:t>
      </w:r>
    </w:p>
    <w:p w14:paraId="3EA522C7">
      <w:pPr>
        <w:keepNext w:val="0"/>
        <w:keepLines w:val="0"/>
        <w:pageBreakBefore w:val="0"/>
        <w:widowControl w:val="0"/>
        <w:kinsoku/>
        <w:wordWrap/>
        <w:overflowPunct/>
        <w:topLinePunct w:val="0"/>
        <w:autoSpaceDE/>
        <w:autoSpaceDN/>
        <w:bidi w:val="0"/>
        <w:adjustRightInd/>
        <w:snapToGrid/>
        <w:spacing w:line="460" w:lineRule="exact"/>
        <w:textAlignment w:val="auto"/>
      </w:pPr>
      <w:r>
        <w:rPr>
          <w:rFonts w:hint="eastAsia"/>
        </w:rPr>
        <w:t>（五）乙方违约时，甲方为主张权利而支出的律师费、诉讼费等费用由乙方承担。</w:t>
      </w:r>
    </w:p>
    <w:p w14:paraId="3F50827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rPr>
      </w:pPr>
      <w:r>
        <w:rPr>
          <w:rFonts w:hint="eastAsia"/>
        </w:rPr>
        <w:t>（六）在乙方违约的情况下，甲方报告西安市政府采购管理处后，有权终止合同，并依法向乙方进行索赔。</w:t>
      </w:r>
    </w:p>
    <w:p w14:paraId="3E95CFE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lang w:val="en-US" w:eastAsia="zh-CN"/>
        </w:rPr>
      </w:pPr>
      <w:r>
        <w:rPr>
          <w:rFonts w:hint="eastAsia"/>
          <w:lang w:val="en-US" w:eastAsia="zh-CN"/>
        </w:rPr>
        <w:t xml:space="preserve">（七）因产品质量所造成的医疗事故或纠纷，乙方应承担由此引起的一切法律责任，甲方因此遭遇索赔的，有权向乙方追偿。 </w:t>
      </w:r>
    </w:p>
    <w:p w14:paraId="670BBDA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rPr>
      </w:pPr>
      <w:r>
        <w:rPr>
          <w:rFonts w:hint="eastAsia"/>
          <w:lang w:val="en-US" w:eastAsia="zh-CN"/>
        </w:rPr>
        <w:t>（八）乙方在质保期内累计【 】次未按约定响应，或维修【 】次后设备仍无法正常使用，视为乙方根本违约，甲方有权委托第三方进行维修，同时乙方应当按照合同总额的【 】%向甲方支付违约金，违约金不足以弥补损失的，由乙方另行支付。违约金可先行在甲方应支付价款中扣除。</w:t>
      </w:r>
    </w:p>
    <w:p w14:paraId="7C195D16">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b/>
          <w:sz w:val="24"/>
        </w:rPr>
      </w:pPr>
      <w:r>
        <w:rPr>
          <w:rFonts w:hint="eastAsia" w:ascii="宋体" w:hAnsi="宋体"/>
          <w:b/>
          <w:szCs w:val="21"/>
        </w:rPr>
        <w:t>十</w:t>
      </w:r>
      <w:r>
        <w:rPr>
          <w:rFonts w:hint="eastAsia" w:ascii="宋体" w:hAnsi="宋体"/>
          <w:b/>
          <w:szCs w:val="21"/>
          <w:lang w:eastAsia="zh-CN"/>
        </w:rPr>
        <w:t>六</w:t>
      </w:r>
      <w:r>
        <w:rPr>
          <w:rFonts w:hint="eastAsia" w:ascii="宋体" w:hAnsi="宋体"/>
          <w:b/>
          <w:szCs w:val="21"/>
        </w:rPr>
        <w:t>、</w:t>
      </w:r>
      <w:r>
        <w:rPr>
          <w:rFonts w:hAnsi="宋体"/>
          <w:b/>
          <w:sz w:val="24"/>
        </w:rPr>
        <w:t>合同争议解决的方式</w:t>
      </w:r>
    </w:p>
    <w:p w14:paraId="7B02527A">
      <w:pPr>
        <w:keepNext w:val="0"/>
        <w:keepLines w:val="0"/>
        <w:pageBreakBefore w:val="0"/>
        <w:widowControl w:val="0"/>
        <w:tabs>
          <w:tab w:val="left" w:pos="480"/>
        </w:tabs>
        <w:kinsoku/>
        <w:wordWrap/>
        <w:overflowPunct/>
        <w:topLinePunct w:val="0"/>
        <w:autoSpaceDE/>
        <w:autoSpaceDN/>
        <w:bidi w:val="0"/>
        <w:adjustRightInd/>
        <w:snapToGrid/>
        <w:spacing w:line="460" w:lineRule="exact"/>
        <w:ind w:left="0" w:firstLine="0" w:firstLineChars="0"/>
        <w:textAlignment w:val="auto"/>
        <w:rPr>
          <w:rFonts w:ascii="宋体" w:hAnsi="宋体"/>
          <w:szCs w:val="21"/>
        </w:rPr>
      </w:pPr>
      <w:r>
        <w:rPr>
          <w:rFonts w:ascii="宋体" w:hAnsi="宋体"/>
          <w:szCs w:val="21"/>
        </w:rPr>
        <w:t>本合同在履行过程中发生的争议，由甲、乙双方当事人协商解决，协商不成的</w:t>
      </w:r>
      <w:r>
        <w:rPr>
          <w:rFonts w:hint="eastAsia" w:ascii="宋体" w:hAnsi="宋体"/>
          <w:szCs w:val="21"/>
        </w:rPr>
        <w:t>，任意一方有权依法向</w:t>
      </w:r>
      <w:r>
        <w:rPr>
          <w:rFonts w:hint="eastAsia" w:ascii="宋体" w:hAnsi="宋体"/>
          <w:szCs w:val="21"/>
          <w:lang w:eastAsia="zh-CN"/>
        </w:rPr>
        <w:t>甲方所在地</w:t>
      </w:r>
      <w:r>
        <w:rPr>
          <w:rFonts w:hint="eastAsia" w:ascii="宋体" w:hAnsi="宋体"/>
          <w:szCs w:val="21"/>
        </w:rPr>
        <w:t>人民法院起诉。</w:t>
      </w:r>
    </w:p>
    <w:p w14:paraId="0BA4B57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rPr>
        <w:t>十</w:t>
      </w:r>
      <w:r>
        <w:rPr>
          <w:rFonts w:hint="eastAsia" w:ascii="宋体" w:hAnsi="宋体"/>
          <w:b/>
          <w:szCs w:val="21"/>
          <w:lang w:eastAsia="zh-CN"/>
        </w:rPr>
        <w:t>七</w:t>
      </w:r>
      <w:r>
        <w:rPr>
          <w:rFonts w:hint="eastAsia" w:ascii="宋体" w:hAnsi="宋体"/>
          <w:b/>
          <w:szCs w:val="21"/>
        </w:rPr>
        <w:t>、合同生效</w:t>
      </w:r>
    </w:p>
    <w:p w14:paraId="05A9E83C">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ascii="宋体" w:hAnsi="宋体"/>
          <w:szCs w:val="21"/>
        </w:rPr>
        <w:t>本合同一式</w:t>
      </w:r>
      <w:r>
        <w:rPr>
          <w:rFonts w:hint="eastAsia" w:ascii="宋体" w:hAnsi="宋体"/>
          <w:szCs w:val="21"/>
        </w:rPr>
        <w:t>陆</w:t>
      </w:r>
      <w:r>
        <w:rPr>
          <w:rFonts w:ascii="宋体" w:hAnsi="宋体"/>
          <w:szCs w:val="21"/>
        </w:rPr>
        <w:t>份，甲方执</w:t>
      </w:r>
      <w:r>
        <w:rPr>
          <w:rFonts w:hint="eastAsia" w:ascii="宋体" w:hAnsi="宋体"/>
          <w:szCs w:val="21"/>
        </w:rPr>
        <w:t>肆</w:t>
      </w:r>
      <w:r>
        <w:rPr>
          <w:rFonts w:ascii="宋体" w:hAnsi="宋体"/>
          <w:szCs w:val="21"/>
        </w:rPr>
        <w:t>份</w:t>
      </w:r>
      <w:r>
        <w:rPr>
          <w:rFonts w:hint="eastAsia" w:ascii="宋体" w:hAnsi="宋体"/>
          <w:szCs w:val="21"/>
        </w:rPr>
        <w:t>，</w:t>
      </w:r>
      <w:r>
        <w:rPr>
          <w:rFonts w:ascii="宋体" w:hAnsi="宋体"/>
          <w:szCs w:val="21"/>
        </w:rPr>
        <w:t>乙</w:t>
      </w:r>
      <w:r>
        <w:rPr>
          <w:rFonts w:hint="eastAsia" w:ascii="宋体" w:hAnsi="宋体"/>
          <w:szCs w:val="21"/>
        </w:rPr>
        <w:t>方</w:t>
      </w:r>
      <w:r>
        <w:rPr>
          <w:rFonts w:ascii="宋体" w:hAnsi="宋体"/>
          <w:szCs w:val="21"/>
        </w:rPr>
        <w:t>、鉴证方各执</w:t>
      </w:r>
      <w:r>
        <w:rPr>
          <w:rFonts w:hint="eastAsia" w:ascii="宋体" w:hAnsi="宋体"/>
          <w:szCs w:val="21"/>
        </w:rPr>
        <w:t>壹</w:t>
      </w:r>
      <w:r>
        <w:rPr>
          <w:rFonts w:ascii="宋体" w:hAnsi="宋体"/>
          <w:szCs w:val="21"/>
        </w:rPr>
        <w:t>份，</w:t>
      </w:r>
      <w:r>
        <w:rPr>
          <w:rFonts w:hint="eastAsia" w:ascii="宋体" w:hAnsi="宋体"/>
          <w:szCs w:val="21"/>
        </w:rPr>
        <w:t>具有同等法律效力，</w:t>
      </w:r>
      <w:r>
        <w:rPr>
          <w:rFonts w:ascii="宋体" w:hAnsi="宋体"/>
          <w:szCs w:val="21"/>
        </w:rPr>
        <w:t>本合同甲、乙确认各方签字盖章后生效，合同执行完毕后，自动失效（合同的服务承诺则长期有效）。</w:t>
      </w:r>
    </w:p>
    <w:p w14:paraId="1F477639">
      <w:pPr>
        <w:spacing w:line="420" w:lineRule="exact"/>
        <w:ind w:left="412" w:leftChars="196"/>
        <w:rPr>
          <w:rFonts w:hint="eastAsia" w:ascii="宋体" w:hAnsi="宋体"/>
          <w:szCs w:val="21"/>
        </w:rPr>
      </w:pPr>
    </w:p>
    <w:p w14:paraId="20C1EB75">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szCs w:val="21"/>
        </w:rPr>
      </w:pPr>
      <w:r>
        <w:rPr>
          <w:rFonts w:hint="eastAsia" w:ascii="宋体" w:hAnsi="宋体"/>
          <w:szCs w:val="21"/>
        </w:rPr>
        <w:t>甲  方（</w:t>
      </w:r>
      <w:r>
        <w:rPr>
          <w:rFonts w:hint="eastAsia" w:ascii="宋体" w:hAnsi="宋体"/>
          <w:szCs w:val="21"/>
          <w:lang w:eastAsia="zh-CN"/>
        </w:rPr>
        <w:t>单位合同</w:t>
      </w:r>
      <w:r>
        <w:rPr>
          <w:rFonts w:hint="eastAsia" w:ascii="宋体" w:hAnsi="宋体"/>
          <w:szCs w:val="21"/>
        </w:rPr>
        <w:t>公章）                     乙  方（</w:t>
      </w:r>
      <w:r>
        <w:rPr>
          <w:rFonts w:hint="eastAsia" w:ascii="宋体" w:hAnsi="宋体"/>
          <w:szCs w:val="21"/>
          <w:lang w:eastAsia="zh-CN"/>
        </w:rPr>
        <w:t>单位合同</w:t>
      </w:r>
      <w:r>
        <w:rPr>
          <w:rFonts w:hint="eastAsia" w:ascii="宋体" w:hAnsi="宋体"/>
          <w:szCs w:val="21"/>
        </w:rPr>
        <w:t>公章）</w:t>
      </w:r>
    </w:p>
    <w:p w14:paraId="2D203B1A">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szCs w:val="21"/>
        </w:rPr>
      </w:pPr>
    </w:p>
    <w:p w14:paraId="3D35608B">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ascii="宋体" w:hAnsi="宋体"/>
          <w:szCs w:val="21"/>
        </w:rPr>
      </w:pPr>
      <w:r>
        <w:rPr>
          <w:rFonts w:hint="eastAsia" w:ascii="宋体" w:hAnsi="宋体"/>
          <w:szCs w:val="21"/>
        </w:rPr>
        <w:t>单位名称：</w:t>
      </w:r>
      <w:r>
        <w:rPr>
          <w:rFonts w:hint="eastAsia" w:ascii="宋体" w:hAnsi="宋体"/>
          <w:szCs w:val="21"/>
          <w:lang w:val="en-US" w:eastAsia="zh-CN"/>
        </w:rPr>
        <w:t xml:space="preserve">                  </w:t>
      </w:r>
      <w:r>
        <w:rPr>
          <w:rFonts w:hint="eastAsia" w:ascii="宋体" w:hAnsi="宋体"/>
          <w:szCs w:val="21"/>
        </w:rPr>
        <w:t xml:space="preserve">               单位名称： </w:t>
      </w:r>
    </w:p>
    <w:p w14:paraId="4DB1295E">
      <w:pPr>
        <w:keepNext w:val="0"/>
        <w:keepLines w:val="0"/>
        <w:pageBreakBefore w:val="0"/>
        <w:widowControl w:val="0"/>
        <w:kinsoku/>
        <w:wordWrap/>
        <w:overflowPunct/>
        <w:topLinePunct w:val="0"/>
        <w:autoSpaceDE/>
        <w:autoSpaceDN/>
        <w:bidi w:val="0"/>
        <w:adjustRightInd/>
        <w:snapToGrid w:val="0"/>
        <w:spacing w:line="600" w:lineRule="exact"/>
        <w:ind w:left="5880" w:leftChars="200" w:hanging="5460" w:hangingChars="2600"/>
        <w:textAlignment w:val="auto"/>
        <w:rPr>
          <w:rFonts w:ascii="楷体" w:hAnsi="楷体" w:eastAsia="楷体" w:cs="楷体"/>
          <w:sz w:val="24"/>
        </w:rPr>
      </w:pPr>
      <w:r>
        <w:rPr>
          <w:rFonts w:hint="eastAsia" w:ascii="宋体" w:hAnsi="宋体"/>
          <w:szCs w:val="21"/>
        </w:rPr>
        <w:t>地   址：</w:t>
      </w:r>
      <w:r>
        <w:rPr>
          <w:rFonts w:hint="eastAsia" w:ascii="宋体" w:hAnsi="宋体"/>
          <w:szCs w:val="21"/>
          <w:lang w:val="en-US" w:eastAsia="zh-CN"/>
        </w:rPr>
        <w:t xml:space="preserve">                        </w:t>
      </w:r>
      <w:r>
        <w:rPr>
          <w:rFonts w:hint="eastAsia" w:ascii="宋体" w:hAnsi="宋体"/>
        </w:rPr>
        <w:t xml:space="preserve">          地  址：</w:t>
      </w:r>
    </w:p>
    <w:p w14:paraId="65D128BF">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szCs w:val="21"/>
        </w:rPr>
      </w:pPr>
    </w:p>
    <w:p w14:paraId="74C86DBF">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szCs w:val="21"/>
        </w:rPr>
      </w:pPr>
      <w:r>
        <w:rPr>
          <w:rFonts w:hint="eastAsia" w:ascii="宋体" w:hAnsi="宋体"/>
          <w:szCs w:val="21"/>
        </w:rPr>
        <w:t xml:space="preserve">法定代表人签字或盖章：            </w:t>
      </w:r>
      <w:r>
        <w:rPr>
          <w:rFonts w:hint="eastAsia" w:ascii="宋体" w:hAnsi="宋体"/>
          <w:szCs w:val="21"/>
          <w:lang w:val="en-US" w:eastAsia="zh-CN"/>
        </w:rPr>
        <w:t xml:space="preserve">        </w:t>
      </w:r>
      <w:r>
        <w:rPr>
          <w:rFonts w:hint="eastAsia" w:ascii="宋体" w:hAnsi="宋体"/>
          <w:szCs w:val="21"/>
        </w:rPr>
        <w:t xml:space="preserve"> 法定代表人签字或盖章：                 </w:t>
      </w:r>
    </w:p>
    <w:p w14:paraId="34202B83">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szCs w:val="21"/>
        </w:rPr>
      </w:pPr>
      <w:r>
        <w:rPr>
          <w:rFonts w:hint="eastAsia" w:ascii="宋体" w:hAnsi="宋体"/>
          <w:szCs w:val="21"/>
        </w:rPr>
        <w:t>联系电话：</w:t>
      </w:r>
      <w:r>
        <w:rPr>
          <w:rFonts w:hint="eastAsia" w:ascii="宋体" w:hAnsi="宋体"/>
          <w:szCs w:val="21"/>
          <w:lang w:val="en-US" w:eastAsia="zh-CN"/>
        </w:rPr>
        <w:t xml:space="preserve">        </w:t>
      </w:r>
      <w:r>
        <w:rPr>
          <w:rFonts w:hint="eastAsia" w:ascii="宋体" w:hAnsi="宋体"/>
          <w:szCs w:val="21"/>
        </w:rPr>
        <w:t xml:space="preserve">                         联系电话： </w:t>
      </w:r>
    </w:p>
    <w:p w14:paraId="6C24356E">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szCs w:val="21"/>
        </w:rPr>
      </w:pPr>
      <w:r>
        <w:rPr>
          <w:rFonts w:hint="eastAsia" w:ascii="宋体" w:hAnsi="宋体"/>
          <w:szCs w:val="21"/>
        </w:rPr>
        <w:t xml:space="preserve">签订日期：  </w:t>
      </w:r>
      <w:r>
        <w:rPr>
          <w:rFonts w:hint="eastAsia" w:ascii="宋体" w:hAnsi="宋体"/>
          <w:szCs w:val="21"/>
          <w:lang w:val="en-US" w:eastAsia="zh-CN"/>
        </w:rPr>
        <w:t xml:space="preserve"> </w:t>
      </w:r>
      <w:r>
        <w:rPr>
          <w:rFonts w:hint="eastAsia" w:ascii="宋体" w:hAnsi="宋体"/>
          <w:szCs w:val="21"/>
        </w:rPr>
        <w:t xml:space="preserve"> 年  </w:t>
      </w:r>
      <w:r>
        <w:rPr>
          <w:rFonts w:hint="eastAsia" w:ascii="宋体" w:hAnsi="宋体"/>
          <w:szCs w:val="21"/>
          <w:lang w:val="en-US" w:eastAsia="zh-CN"/>
        </w:rPr>
        <w:t xml:space="preserve"> </w:t>
      </w:r>
      <w:r>
        <w:rPr>
          <w:rFonts w:hint="eastAsia" w:ascii="宋体" w:hAnsi="宋体"/>
          <w:szCs w:val="21"/>
        </w:rPr>
        <w:t>月   日                 签订日期：   年   月   日</w:t>
      </w:r>
    </w:p>
    <w:p w14:paraId="29A780FA">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szCs w:val="21"/>
        </w:rPr>
      </w:pPr>
    </w:p>
    <w:p w14:paraId="13C22B21">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420" w:firstLineChars="200"/>
        <w:textAlignment w:val="auto"/>
        <w:rPr>
          <w:rFonts w:hint="eastAsia" w:ascii="宋体" w:hAnsi="宋体"/>
          <w:szCs w:val="21"/>
        </w:rPr>
      </w:pPr>
    </w:p>
    <w:p w14:paraId="3637A751">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420" w:firstLineChars="200"/>
        <w:textAlignment w:val="auto"/>
        <w:rPr>
          <w:rFonts w:hint="eastAsia" w:ascii="宋体" w:hAnsi="宋体"/>
          <w:szCs w:val="21"/>
        </w:rPr>
      </w:pPr>
      <w:r>
        <w:rPr>
          <w:rFonts w:hint="eastAsia" w:ascii="宋体" w:hAnsi="宋体"/>
          <w:szCs w:val="21"/>
        </w:rPr>
        <w:t>鉴证方（业务专用章）</w:t>
      </w:r>
    </w:p>
    <w:p w14:paraId="74227A42">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315" w:firstLineChars="150"/>
        <w:textAlignment w:val="auto"/>
        <w:rPr>
          <w:rFonts w:hint="eastAsia" w:ascii="宋体" w:hAnsi="宋体"/>
          <w:szCs w:val="21"/>
        </w:rPr>
      </w:pPr>
      <w:r>
        <w:rPr>
          <w:rFonts w:hint="eastAsia" w:ascii="宋体" w:hAnsi="宋体"/>
          <w:szCs w:val="21"/>
        </w:rPr>
        <w:t xml:space="preserve"> 单位名称：   </w:t>
      </w:r>
    </w:p>
    <w:p w14:paraId="691D6999">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420" w:firstLineChars="200"/>
        <w:textAlignment w:val="auto"/>
        <w:rPr>
          <w:rFonts w:hint="eastAsia" w:ascii="宋体" w:hAnsi="宋体"/>
          <w:szCs w:val="21"/>
        </w:rPr>
      </w:pPr>
      <w:r>
        <w:rPr>
          <w:rFonts w:hint="eastAsia" w:ascii="宋体" w:hAnsi="宋体"/>
          <w:szCs w:val="21"/>
        </w:rPr>
        <w:t xml:space="preserve">地  址：  </w:t>
      </w:r>
    </w:p>
    <w:p w14:paraId="06AD69AC">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420" w:firstLineChars="200"/>
        <w:textAlignment w:val="auto"/>
        <w:rPr>
          <w:rFonts w:hint="eastAsia" w:ascii="宋体" w:hAnsi="宋体"/>
          <w:szCs w:val="21"/>
        </w:rPr>
      </w:pPr>
      <w:r>
        <w:rPr>
          <w:rFonts w:hint="eastAsia" w:ascii="宋体" w:hAnsi="宋体"/>
          <w:szCs w:val="21"/>
        </w:rPr>
        <w:t xml:space="preserve">联系电话： </w:t>
      </w:r>
    </w:p>
    <w:p w14:paraId="76A39C92">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420" w:firstLineChars="200"/>
        <w:textAlignment w:val="auto"/>
        <w:rPr>
          <w:rFonts w:hint="eastAsia"/>
          <w:b/>
          <w:sz w:val="44"/>
          <w:szCs w:val="44"/>
        </w:rPr>
      </w:pPr>
      <w:r>
        <w:rPr>
          <w:rFonts w:hint="eastAsia" w:ascii="宋体" w:hAnsi="宋体"/>
          <w:szCs w:val="21"/>
        </w:rPr>
        <w:t xml:space="preserve">签订日期： </w:t>
      </w:r>
      <w:r>
        <w:rPr>
          <w:rFonts w:hint="eastAsia" w:ascii="宋体" w:hAnsi="宋体"/>
          <w:szCs w:val="21"/>
          <w:lang w:val="en-US" w:eastAsia="zh-CN"/>
        </w:rPr>
        <w:t xml:space="preserve">  </w:t>
      </w:r>
      <w:r>
        <w:rPr>
          <w:rFonts w:hint="eastAsia" w:ascii="宋体" w:hAnsi="宋体"/>
          <w:szCs w:val="21"/>
        </w:rPr>
        <w:t xml:space="preserve"> 年   月 </w:t>
      </w:r>
      <w:r>
        <w:rPr>
          <w:rFonts w:hint="eastAsia" w:ascii="宋体" w:hAnsi="宋体"/>
          <w:szCs w:val="21"/>
          <w:lang w:val="en-US" w:eastAsia="zh-CN"/>
        </w:rPr>
        <w:t xml:space="preserve"> </w:t>
      </w:r>
      <w:r>
        <w:rPr>
          <w:rFonts w:hint="eastAsia" w:ascii="宋体" w:hAnsi="宋体"/>
          <w:szCs w:val="21"/>
        </w:rPr>
        <w:t xml:space="preserve"> 日</w:t>
      </w:r>
    </w:p>
    <w:p w14:paraId="73332C06">
      <w:pPr>
        <w:rPr>
          <w:rFonts w:hint="default"/>
        </w:rPr>
      </w:pPr>
    </w:p>
    <w:p w14:paraId="1930940A"/>
    <w:p w14:paraId="353BB10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B55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2024-12-23T03:19:52Z</dcterms:created>
  <dc:creator>Administrator</dc:creator>
  <cp:lastModifiedBy>Li_JF</cp:lastModifiedBy>
  <dcterms:modified xsi:type="dcterms:W3CDTF">2024-12-23T03:20:06Z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0903CD49C4834972B35AA404F3D1E1AB_12</vt:lpwstr>
  </property>
</Properties>
</file>