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版本号：241205001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西安市公安局移动端执法办案APP升级改造项目</w:t>
      </w:r>
    </w:p>
    <w:p>
      <w:pPr>
        <w:pStyle w:val="null3"/>
        <w:jc w:val="center"/>
        <w:outlineLvl w:val="2"/>
      </w:pPr>
      <w:r>
        <w:rPr>
          <w:sz w:val="28"/>
          <w:b/>
        </w:rPr>
        <w:t>采购项目编号：</w:t>
      </w:r>
      <w:r>
        <w:rPr>
          <w:sz w:val="28"/>
          <w:b/>
        </w:rPr>
        <w:t>ZCZX2024-CS-237</w:t>
      </w:r>
      <w:r>
        <w:br/>
      </w:r>
      <w:r>
        <w:br/>
      </w:r>
      <w:r>
        <w:br/>
      </w:r>
    </w:p>
    <w:p>
      <w:pPr>
        <w:pStyle w:val="null3"/>
        <w:jc w:val="center"/>
        <w:outlineLvl w:val="2"/>
      </w:pPr>
      <w:r>
        <w:rPr>
          <w:sz w:val="28"/>
          <w:b/>
        </w:rPr>
        <w:t>西安市公安局（本级）</w:t>
      </w:r>
    </w:p>
    <w:p>
      <w:pPr>
        <w:pStyle w:val="null3"/>
        <w:jc w:val="center"/>
        <w:outlineLvl w:val="2"/>
      </w:pPr>
      <w:r>
        <w:rPr>
          <w:sz w:val="28"/>
          <w:b/>
        </w:rPr>
        <w:t>陕西众诚致信管理咨询有限公司</w:t>
      </w:r>
      <w:r>
        <w:rPr>
          <w:sz w:val="28"/>
          <w:b/>
        </w:rPr>
        <w:t>共同编制</w:t>
      </w:r>
    </w:p>
    <w:p>
      <w:pPr>
        <w:pStyle w:val="null3"/>
        <w:jc w:val="center"/>
        <w:outlineLvl w:val="2"/>
      </w:pPr>
      <w:r>
        <w:rPr>
          <w:sz w:val="28"/>
          <w:b/>
        </w:rPr>
        <w:t>2024年12月05日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陕西众诚致信管理咨询有限公司</w:t>
      </w:r>
      <w:r>
        <w:rPr/>
        <w:t>（以下简称“代理机构”）受</w:t>
      </w:r>
      <w:r>
        <w:rPr/>
        <w:t>西安市公安局（本级）</w:t>
      </w:r>
      <w:r>
        <w:rPr/>
        <w:t>委托，拟对</w:t>
      </w:r>
      <w:r>
        <w:rPr/>
        <w:t>西安市公安局移动端执法办案APP升级改造项目</w:t>
      </w:r>
      <w:r>
        <w:rPr/>
        <w:t>采用竞争性磋商采购方式进行采购，兹邀请供应商参加本项目的竞争性磋商。</w:t>
      </w:r>
    </w:p>
    <w:p>
      <w:pPr>
        <w:pStyle w:val="null3"/>
        <w:outlineLvl w:val="2"/>
      </w:pPr>
      <w:r>
        <w:rPr>
          <w:sz w:val="28"/>
          <w:b/>
        </w:rPr>
        <w:t>一、项目编号：</w:t>
      </w:r>
      <w:r>
        <w:rPr>
          <w:sz w:val="28"/>
          <w:b/>
        </w:rPr>
        <w:t>ZCZX2024-CS-237</w:t>
      </w:r>
    </w:p>
    <w:p>
      <w:pPr>
        <w:pStyle w:val="null3"/>
        <w:outlineLvl w:val="2"/>
      </w:pPr>
      <w:r>
        <w:rPr>
          <w:sz w:val="28"/>
          <w:b/>
        </w:rPr>
        <w:t>二、项目名称：</w:t>
      </w:r>
      <w:r>
        <w:rPr>
          <w:sz w:val="28"/>
          <w:b/>
        </w:rPr>
        <w:t>西安市公安局移动端执法办案APP升级改造项目</w:t>
      </w:r>
    </w:p>
    <w:p>
      <w:pPr>
        <w:pStyle w:val="null3"/>
        <w:outlineLvl w:val="2"/>
      </w:pPr>
      <w:r>
        <w:rPr>
          <w:sz w:val="28"/>
          <w:b/>
        </w:rPr>
        <w:t>三、磋商项目简介</w:t>
      </w:r>
    </w:p>
    <w:p>
      <w:pPr>
        <w:pStyle w:val="null3"/>
        <w:ind w:firstLine="480"/>
      </w:pPr>
      <w:r>
        <w:rPr/>
        <w:t>随着全省新一代执法办案平台的上线，原陕西省公安厅部署在西安市公安局的执法办案平台也进行了割接迁移，西安市公安局执法办案APP将无法正常使用。在此大背景下，在业务应用资源不变的情况下，拟对现有移动端执法办案APP进行升级改造，对所有业务服务对接省厅执法办案新平台，实现办案民警移动办案、掌上办案。</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采购包1（西安市公安局移动端执法办案APP升级改造项目）：属于专门面向中小企业采购。</w:t>
      </w:r>
    </w:p>
    <w:p>
      <w:pPr>
        <w:pStyle w:val="null3"/>
        <w:ind w:firstLine="480"/>
      </w:pPr>
      <w:r>
        <w:rPr/>
        <w:t>（三）本项目的特定资格要求：</w:t>
      </w:r>
    </w:p>
    <w:p>
      <w:pPr>
        <w:pStyle w:val="null3"/>
      </w:pPr>
      <w:r>
        <w:rPr/>
        <w:t>采购包1：</w:t>
      </w:r>
    </w:p>
    <w:p>
      <w:pPr>
        <w:pStyle w:val="null3"/>
      </w:pPr>
      <w:r>
        <w:rPr/>
        <w:t>1、磋商授权：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西安市公安局（本级）</w:t>
      </w:r>
    </w:p>
    <w:p>
      <w:pPr>
        <w:pStyle w:val="null3"/>
      </w:pPr>
      <w:r>
        <w:rPr/>
        <w:t xml:space="preserve"> 地址： </w:t>
      </w:r>
      <w:r>
        <w:rPr/>
        <w:t>西安市西大街63号</w:t>
      </w:r>
    </w:p>
    <w:p>
      <w:pPr>
        <w:pStyle w:val="null3"/>
      </w:pPr>
      <w:r>
        <w:rPr/>
        <w:t xml:space="preserve"> 邮编： </w:t>
      </w:r>
      <w:r>
        <w:rPr/>
        <w:t>710000</w:t>
      </w:r>
    </w:p>
    <w:p>
      <w:pPr>
        <w:pStyle w:val="null3"/>
      </w:pPr>
      <w:r>
        <w:rPr/>
        <w:t xml:space="preserve"> 联系人： </w:t>
      </w:r>
      <w:r>
        <w:rPr/>
        <w:t>梁栩</w:t>
      </w:r>
    </w:p>
    <w:p>
      <w:pPr>
        <w:pStyle w:val="null3"/>
      </w:pPr>
      <w:r>
        <w:rPr/>
        <w:t xml:space="preserve"> 联系电话： </w:t>
      </w:r>
      <w:r>
        <w:rPr/>
        <w:t xml:space="preserve"> 029- 86751485</w:t>
      </w:r>
    </w:p>
    <w:p>
      <w:pPr>
        <w:pStyle w:val="null3"/>
        <w:outlineLvl w:val="3"/>
      </w:pPr>
      <w:r>
        <w:rPr>
          <w:sz w:val="24"/>
          <w:b/>
        </w:rPr>
        <w:t>代理机构：</w:t>
      </w:r>
      <w:r>
        <w:rPr>
          <w:sz w:val="24"/>
          <w:b/>
        </w:rPr>
        <w:t>陕西众诚致信管理咨询有限公司</w:t>
      </w:r>
    </w:p>
    <w:p>
      <w:pPr>
        <w:pStyle w:val="null3"/>
      </w:pPr>
      <w:r>
        <w:rPr/>
        <w:t xml:space="preserve"> 地址： </w:t>
      </w:r>
      <w:r>
        <w:rPr/>
        <w:t>西安曲江新区翠华南路1688号创意盒子13层1304室</w:t>
      </w:r>
    </w:p>
    <w:p>
      <w:pPr>
        <w:pStyle w:val="null3"/>
      </w:pPr>
      <w:r>
        <w:rPr/>
        <w:t xml:space="preserve"> 邮编： </w:t>
      </w:r>
      <w:r>
        <w:rPr/>
        <w:t>710061</w:t>
      </w:r>
    </w:p>
    <w:p>
      <w:pPr>
        <w:pStyle w:val="null3"/>
      </w:pPr>
      <w:r>
        <w:rPr/>
        <w:t xml:space="preserve"> 联系人： </w:t>
      </w:r>
      <w:r>
        <w:rPr/>
        <w:t>吴芳超、高蕊玲</w:t>
      </w:r>
    </w:p>
    <w:p>
      <w:pPr>
        <w:pStyle w:val="null3"/>
      </w:pPr>
      <w:r>
        <w:rPr/>
        <w:t xml:space="preserve"> 联系电话： </w:t>
      </w:r>
      <w:r>
        <w:rPr/>
        <w:t>029-89565998</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采购包1：557,200.00元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说明：本项目需递交履约保证金，递交形式要求为纸质保函。 履约保证金金额为本项目成交价的10%，由成交供应商在领取成交通知书后5个工作日内将银行开具的履约保函原件递交至采购人</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60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不足8000元按8000元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西安市公安局（本级）</w:t>
      </w:r>
      <w:r>
        <w:rPr/>
        <w:t>和</w:t>
      </w:r>
      <w:r>
        <w:rPr/>
        <w:t>陕西众诚致信管理咨询有限公司</w:t>
      </w:r>
      <w:r>
        <w:rPr/>
        <w:t>享有。对磋商文件中供应商参加本次政府采购活动应当具备的条件，磋商项目技术、服务、商务及其他要求，评审细则及标准由</w:t>
      </w:r>
      <w:r>
        <w:rPr/>
        <w:t>西安市公安局（本级）</w:t>
      </w:r>
      <w:r>
        <w:rPr/>
        <w:t>负责解释。除上述磋商文件内容，其他内容由</w:t>
      </w:r>
      <w:r>
        <w:rPr/>
        <w:t>陕西众诚致信管理咨询有限公司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西安市公安局（本级）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陕西众诚致信管理咨询有限公司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详见合同文本</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陕西众诚致信管理咨询有限公司</w:t>
      </w:r>
      <w:r>
        <w:rPr/>
        <w:t xml:space="preserve"> 负责答复；供应商对除采购需求外的采购文件的询问、质疑由</w:t>
      </w:r>
      <w:r>
        <w:rPr/>
        <w:t>陕西众诚致信管理咨询有限公司</w:t>
      </w:r>
      <w:r>
        <w:rPr/>
        <w:t xml:space="preserve"> 负责答复；供应商对采购过程、采购结果的询问、质疑由 </w:t>
      </w:r>
      <w:r>
        <w:rPr/>
        <w:t>陕西众诚致信管理咨询有限公司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联系人：吴芳超</w:t>
      </w:r>
    </w:p>
    <w:p>
      <w:pPr>
        <w:pStyle w:val="null3"/>
      </w:pPr>
      <w:r>
        <w:rPr/>
        <w:t>联系电话：029-89565998</w:t>
      </w:r>
    </w:p>
    <w:p>
      <w:pPr>
        <w:pStyle w:val="null3"/>
      </w:pPr>
      <w:r>
        <w:rPr/>
        <w:t>地址： 西安曲江新区翠华南路1688号创意盒子13层1304室</w:t>
      </w:r>
    </w:p>
    <w:p>
      <w:pPr>
        <w:pStyle w:val="null3"/>
      </w:pPr>
      <w:r>
        <w:rPr/>
        <w:t>邮编：710061</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随着全省新一代执法办案平台的上线，原陕西省公安厅部署在西安市公安局的执法办案平台也进行了割接迁移，西安市公安局执法办案APP将无法正常使用。在此大背景下，在业务应用资源不变的情况下，拟对现有移动端执法办案APP进行升级改造，对所有业务服务对接省厅执法办案新平台，实现办案民警移动办案、掌上办案。</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557,200.00</w:t>
      </w:r>
    </w:p>
    <w:p>
      <w:pPr>
        <w:pStyle w:val="null3"/>
      </w:pPr>
      <w:r>
        <w:rPr/>
        <w:t>采购包最高限价（元）: 557,200.00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服务</w:t>
            </w:r>
          </w:p>
        </w:tc>
        <w:tc>
          <w:tcPr>
            <w:tcW w:type="dxa" w:w="831"/>
          </w:tcPr>
          <w:p>
            <w:pPr>
              <w:pStyle w:val="null3"/>
              <w:jc w:val="right"/>
            </w:pPr>
            <w:r>
              <w:rPr/>
              <w:t>1.00</w:t>
            </w:r>
          </w:p>
        </w:tc>
        <w:tc>
          <w:tcPr>
            <w:tcW w:type="dxa" w:w="831"/>
          </w:tcPr>
          <w:p>
            <w:pPr>
              <w:pStyle w:val="null3"/>
              <w:jc w:val="right"/>
            </w:pPr>
            <w:r>
              <w:rPr/>
              <w:t>557,200.00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详见采购文件</w:t>
            </w:r>
          </w:p>
        </w:tc>
      </w:tr>
      <w:tr>
        <w:tc>
          <w:tcPr>
            <w:tcW w:type="dxa" w:w="2769"/>
          </w:tcPr>
          <w:p/>
        </w:tc>
        <w:tc>
          <w:tcPr>
            <w:tcW w:type="dxa" w:w="2769"/>
          </w:tcPr>
          <w:p>
            <w:pPr>
              <w:pStyle w:val="null3"/>
            </w:pPr>
            <w:r>
              <w:rPr/>
              <w:t>2</w:t>
            </w:r>
          </w:p>
        </w:tc>
        <w:tc>
          <w:tcPr>
            <w:tcW w:type="dxa" w:w="2769"/>
          </w:tcPr>
          <w:p>
            <w:pPr>
              <w:pStyle w:val="null3"/>
              <w:ind w:firstLine="402"/>
              <w:jc w:val="both"/>
            </w:pPr>
            <w:r>
              <w:rPr>
                <w:rFonts w:ascii="宋体" w:hAnsi="宋体" w:cs="宋体" w:eastAsia="宋体"/>
                <w:sz w:val="20"/>
                <w:b/>
              </w:rPr>
              <w:t>一、项目背景</w:t>
            </w:r>
          </w:p>
          <w:p>
            <w:pPr>
              <w:pStyle w:val="null3"/>
              <w:ind w:firstLine="400"/>
              <w:jc w:val="both"/>
            </w:pPr>
            <w:r>
              <w:rPr>
                <w:rFonts w:ascii="宋体" w:hAnsi="宋体" w:cs="宋体" w:eastAsia="宋体"/>
                <w:sz w:val="20"/>
              </w:rPr>
              <w:t>随着全省新一代执法办案平台的上线，原陕西省公安厅部署在西安市公安局的执法办案平台也进行了割接迁移，西安市公安局执法办案APP将无法正常使用。在此大背景下，在业务应用资源不变的情况下，拟对现有移动端执法办案APP进行升级改造，对所有业务服务对接省厅执法办案新平台，实现办案民警移动办案、掌上办案。</w:t>
            </w:r>
          </w:p>
          <w:p>
            <w:pPr>
              <w:pStyle w:val="null3"/>
              <w:ind w:firstLine="402"/>
              <w:jc w:val="both"/>
            </w:pPr>
            <w:r>
              <w:rPr>
                <w:rFonts w:ascii="宋体" w:hAnsi="宋体" w:cs="宋体" w:eastAsia="宋体"/>
                <w:sz w:val="20"/>
                <w:b/>
              </w:rPr>
              <w:t>二、建设内容</w:t>
            </w:r>
          </w:p>
          <w:p>
            <w:pPr>
              <w:pStyle w:val="null3"/>
              <w:ind w:firstLine="402"/>
              <w:jc w:val="both"/>
            </w:pPr>
            <w:r>
              <w:rPr>
                <w:rFonts w:ascii="宋体" w:hAnsi="宋体" w:cs="宋体" w:eastAsia="宋体"/>
                <w:sz w:val="20"/>
                <w:b/>
              </w:rPr>
              <w:t>1</w:t>
            </w:r>
            <w:r>
              <w:rPr>
                <w:rFonts w:ascii="宋体" w:hAnsi="宋体" w:cs="宋体" w:eastAsia="宋体"/>
                <w:sz w:val="20"/>
                <w:b/>
              </w:rPr>
              <w:t>、建设目标</w:t>
            </w:r>
          </w:p>
          <w:p>
            <w:pPr>
              <w:pStyle w:val="null3"/>
              <w:ind w:firstLine="400"/>
              <w:jc w:val="both"/>
            </w:pPr>
            <w:r>
              <w:rPr>
                <w:rFonts w:ascii="宋体" w:hAnsi="宋体" w:cs="宋体" w:eastAsia="宋体"/>
                <w:sz w:val="20"/>
              </w:rPr>
              <w:t>以厅执法办案平台的业务流程为标准，改造现有执法办案APP，业务流程保持与厅执法办案平台流程一致，数据保持与厅执法办案平台实时性，提高系统稳定性，升级自接警、处警登记审批、案件采集、案件办理审批、电子卷宗查看；与110接处警平台对接保证数据的实时性，减少民警系统录入的负担；同时优化系统配置增强APP服务的扩展性，保证在软件实现新业务时，对现有系统功能影响较少，即不需要对现有功能做任何改动或很少改动，软件系统本身与其他存在协同关系的外部系统之间存在松耦合关系，软件系统的变化对其他软件系统无影响，其他软件系统和功能不需要进行改动。</w:t>
            </w:r>
          </w:p>
          <w:p>
            <w:pPr>
              <w:pStyle w:val="null3"/>
              <w:ind w:firstLine="402"/>
              <w:jc w:val="both"/>
            </w:pPr>
            <w:r>
              <w:rPr>
                <w:rFonts w:ascii="宋体" w:hAnsi="宋体" w:cs="宋体" w:eastAsia="宋体"/>
                <w:sz w:val="20"/>
                <w:b/>
              </w:rPr>
              <w:t>2</w:t>
            </w:r>
            <w:r>
              <w:rPr>
                <w:rFonts w:ascii="宋体" w:hAnsi="宋体" w:cs="宋体" w:eastAsia="宋体"/>
                <w:sz w:val="20"/>
                <w:b/>
              </w:rPr>
              <w:t>、建设内容</w:t>
            </w:r>
          </w:p>
          <w:p>
            <w:pPr>
              <w:pStyle w:val="null3"/>
              <w:ind w:firstLine="400"/>
              <w:jc w:val="both"/>
            </w:pPr>
            <w:r>
              <w:rPr>
                <w:rFonts w:ascii="宋体" w:hAnsi="宋体" w:cs="宋体" w:eastAsia="宋体"/>
                <w:sz w:val="20"/>
              </w:rPr>
              <w:t>进行执法办案APP升级改造，在原有边界资源及业务应用资源不变的情况下，对执法办案APP进行升级，对所有业务服务对接省厅执法办案新平台，以满足办案民警移动办案的目的。</w:t>
            </w:r>
          </w:p>
          <w:p>
            <w:pPr>
              <w:pStyle w:val="null3"/>
              <w:ind w:firstLine="402"/>
              <w:jc w:val="both"/>
            </w:pPr>
            <w:r>
              <w:rPr>
                <w:rFonts w:ascii="宋体" w:hAnsi="宋体" w:cs="宋体" w:eastAsia="宋体"/>
                <w:sz w:val="20"/>
                <w:b/>
              </w:rPr>
              <w:t>3</w:t>
            </w:r>
            <w:r>
              <w:rPr>
                <w:rFonts w:ascii="宋体" w:hAnsi="宋体" w:cs="宋体" w:eastAsia="宋体"/>
                <w:sz w:val="20"/>
                <w:b/>
              </w:rPr>
              <w:t>、功能模块具体要求</w:t>
            </w:r>
          </w:p>
          <w:tbl>
            <w:tblPr>
              <w:tblBorders>
                <w:top w:val="none" w:color="000000" w:sz="4"/>
                <w:left w:val="none" w:color="000000" w:sz="4"/>
                <w:bottom w:val="none" w:color="000000" w:sz="4"/>
                <w:right w:val="none" w:color="000000" w:sz="4"/>
                <w:insideH w:val="none"/>
                <w:insideV w:val="none"/>
              </w:tblBorders>
            </w:tblPr>
            <w:tblGrid>
              <w:gridCol w:w="443"/>
              <w:gridCol w:w="808"/>
              <w:gridCol w:w="1303"/>
            </w:tblGrid>
            <w:tr>
              <w:tc>
                <w:tcPr>
                  <w:tcW w:type="dxa" w:w="44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rPr>
                    <w:t>功能模块</w:t>
                  </w:r>
                </w:p>
              </w:tc>
              <w:tc>
                <w:tcPr>
                  <w:tcW w:type="dxa" w:w="80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rPr>
                    <w:t>接口名称</w:t>
                  </w:r>
                </w:p>
              </w:tc>
              <w:tc>
                <w:tcPr>
                  <w:tcW w:type="dxa" w:w="130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rPr>
                    <w:t>功能要求</w:t>
                  </w:r>
                </w:p>
              </w:tc>
            </w:tr>
            <w:tr>
              <w:tc>
                <w:tcPr>
                  <w:tcW w:type="dxa" w:w="4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用户鉴权</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获取token</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00"/>
                    <w:jc w:val="left"/>
                  </w:pPr>
                  <w:r>
                    <w:rPr>
                      <w:rFonts w:ascii="宋体" w:hAnsi="宋体" w:cs="宋体" w:eastAsia="宋体"/>
                      <w:sz w:val="20"/>
                    </w:rPr>
                    <w:t>为登录用户授权</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获取部门列表</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获取用户所在部门</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获取用户权限</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获取用户具备的权限</w:t>
                  </w:r>
                </w:p>
              </w:tc>
            </w:tr>
            <w:tr>
              <w:tc>
                <w:tcPr>
                  <w:tcW w:type="dxa" w:w="4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接处警</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警情新增接口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登记接警信息，并直接流转到警情处置</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警情编辑接口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查询警情信息，并可编辑处警登记需要的出警时间、到达时间等信息，形成处警登记表</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警情审批接口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可审批警情并形成接处警登记表</w:t>
                  </w:r>
                </w:p>
              </w:tc>
            </w:tr>
            <w:tr>
              <w:tc>
                <w:tcPr>
                  <w:tcW w:type="dxa" w:w="4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刑事案件</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刑事案件信息维护接口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进入需要采集的刑事案件进行案件信息修改</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受害人新增接口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进入需要采集的刑事案件进行受害人信息新增</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受害人修改接口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进入需要采集的刑事案件进行受害人信息修改</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嫌疑人新增接口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进入需要采集的刑事案件进行嫌疑人信息新增</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嫌疑人修改接口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进入需要采集的刑事案件进行嫌疑人信息修改</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证人新增接口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进入需要采集的刑事案件进行证人信息新增</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证人修改接口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进入需要采集的刑事案件进行证人信息修改</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报案人新增接口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进入需要采集的刑事案件进行证人信息新增</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报案人修改接口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进入需要采集的刑事案件进行证人信息修改</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相关单位新增接口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进入需要采集的刑事案件进行相关单位信息新增</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相关单位修改接口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进入需要采集的刑事案件进行相关单位信息修改</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涉案物品信息新增接口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进入需要采集的刑事案件进行涉案物品信息新增</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涉案物品信息维护接口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进入需要采集的刑事案件进行涉案物品信息修改</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涉案财物照片上传接口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进入需要采集的刑事案件进行涉案物品照片新增</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涉案财物照片删除接口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进入需要采集的刑事案件进行涉案物品照片删除</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证据扫描上传接口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进入需要采集的行政、刑事案件进行证据扫描信息维护</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刑事案件列表查询接口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支持按照案件编号、案件状态、案件办理部门等查询条件查询刑事案件</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刑事案件详情查询接口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支持按照案件编号查询案件详情</w:t>
                  </w:r>
                </w:p>
              </w:tc>
            </w:tr>
            <w:tr>
              <w:tc>
                <w:tcPr>
                  <w:tcW w:type="dxa" w:w="4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行政案件</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行政案件信息维护接口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进入需要采集的行政案件进行案件信息修改</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受害人新增接口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进入需要采集的行政案件进行受害人信息新增</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受害人修改接口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进入需要采集的行政案件进行受害人信息修改</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嫌疑人新增接口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进入需要采集的行政案件进行嫌疑人信息新增</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嫌疑人修改接口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进入需要采集的行政案件进行嫌疑人信息修改</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证人新增接口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进入需要采集的行政案件进行证人信息新增</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证人修改接口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进入需要采集的行政案件进行证人信息修改</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报案人新增接口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进入需要采集的行政案件进行证人信息新增</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报案人修改接口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进入需要采集的行政案件进行证人信息修改</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相关单位新增接口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进入需要采集的行政案件进行相关单位信息新增</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相关单位修改接口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进入需要采集的行政案件进行相关单位信息修改</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涉案物品信息新增接口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进入需要采集的行政案件进行涉案物品信息新增</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涉案物品信息维护接口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进入需要采集的行政案件进行涉案物品信息修改</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行政案件列表查询接口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支持按照案件编号、案件状态、案件办理部门等查询条件查询行政案件</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行政案件详情查询接口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支持按照案件编号查询案件详情</w:t>
                  </w:r>
                </w:p>
              </w:tc>
            </w:tr>
            <w:tr>
              <w:tc>
                <w:tcPr>
                  <w:tcW w:type="dxa" w:w="4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消息中心</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待办任务查询接口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查询需要我审批或办理的任务信息，并链接进入办理，并可展示相关文书</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已办任务查询接口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查询需要我审批或办理的任务信息，并链接进入办理，并可展示相关文书</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发起的审批查询接口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查询我发起的或办理的任务信息，并链接进入办理，并可展示相关文书</w:t>
                  </w:r>
                </w:p>
              </w:tc>
            </w:tr>
            <w:tr>
              <w:tc>
                <w:tcPr>
                  <w:tcW w:type="dxa" w:w="4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电子卷宗</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文书列表查询接口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支持按照案件编号、文书名称查询文书列表</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文书详情查询接口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支持查看单个文书内容</w:t>
                  </w:r>
                </w:p>
              </w:tc>
            </w:tr>
            <w:tr>
              <w:tc>
                <w:tcPr>
                  <w:tcW w:type="dxa" w:w="4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证据管理</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笔录上传接口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支持笔录文件上传</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笔录删除接口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支持笔录文件上传后删除</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笔录列表查询接口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支持查询上传的笔录文件列表</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笔录详情查看接口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支持查看上传的文件详情</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照片上传接口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支持照片文件上传</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照片列表查询接口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支持查询上传的照片文件列表</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书证上传接口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支持书证文件上传</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书证删除接口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支持书证文件上传后删除</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书证列表查询接口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支持查询上传的书证文件列表</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书证详情查看接口</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支持查看上传的文件详情</w:t>
                  </w:r>
                </w:p>
              </w:tc>
            </w:tr>
            <w:tr>
              <w:tc>
                <w:tcPr>
                  <w:tcW w:type="dxa" w:w="4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案件审批</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选择下一级审批人</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提供登录用户上级审批人进行选择提交审批</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查看审批记录</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查看案件审批记录列表</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审批操作</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对呈请的各类别案件审批表进行审批通过或驳回并提供相关审批意见</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查看审批表</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对未办理或已办理的审批表进行PDF查看，并对审批表填充各级审批意见</w:t>
                  </w:r>
                </w:p>
              </w:tc>
            </w:tr>
            <w:tr>
              <w:tc>
                <w:tcPr>
                  <w:tcW w:type="dxa" w:w="443"/>
                  <w:vMerge/>
                  <w:tcBorders>
                    <w:top w:val="none" w:color="000000" w:sz="4"/>
                    <w:left w:val="singl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完成审批</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对已到达最高审批级别的审批表进行判断并完成审批</w:t>
                  </w:r>
                </w:p>
              </w:tc>
            </w:tr>
          </w:tbl>
          <w:p>
            <w:pPr>
              <w:pStyle w:val="null3"/>
              <w:jc w:val="both"/>
            </w:pPr>
            <w:r>
              <w:rPr>
                <w:rFonts w:ascii="宋体" w:hAnsi="宋体" w:cs="宋体" w:eastAsia="宋体"/>
                <w:sz w:val="20"/>
                <w:b/>
              </w:rPr>
              <w:t>三、数据技术内容及要求</w:t>
            </w:r>
          </w:p>
          <w:p>
            <w:pPr>
              <w:pStyle w:val="null3"/>
              <w:ind w:firstLine="402"/>
              <w:jc w:val="both"/>
            </w:pPr>
            <w:r>
              <w:rPr>
                <w:rFonts w:ascii="宋体" w:hAnsi="宋体" w:cs="宋体" w:eastAsia="宋体"/>
                <w:sz w:val="20"/>
                <w:b/>
              </w:rPr>
              <w:t>（一）技术安全要求</w:t>
            </w:r>
          </w:p>
          <w:p>
            <w:pPr>
              <w:pStyle w:val="null3"/>
              <w:ind w:firstLine="400"/>
              <w:jc w:val="both"/>
            </w:pPr>
            <w:r>
              <w:rPr>
                <w:rFonts w:ascii="宋体" w:hAnsi="宋体" w:cs="宋体" w:eastAsia="宋体"/>
                <w:sz w:val="20"/>
              </w:rPr>
              <w:t>本项目技术内容包含执法办案APP软硬件环境、内外部服务、性能、用户使用情况、日志、报表工具、对接系统接口等方面信息。定期将执法办案APP各方面的健康状况、性能情况、负载情况、响应情况、数据流量等情况进项汇总报告。</w:t>
            </w:r>
          </w:p>
          <w:p>
            <w:pPr>
              <w:pStyle w:val="null3"/>
              <w:ind w:firstLine="402"/>
              <w:jc w:val="both"/>
            </w:pPr>
            <w:r>
              <w:rPr>
                <w:rFonts w:ascii="宋体" w:hAnsi="宋体" w:cs="宋体" w:eastAsia="宋体"/>
                <w:sz w:val="20"/>
                <w:b/>
              </w:rPr>
              <w:t>1</w:t>
            </w:r>
            <w:r>
              <w:rPr>
                <w:rFonts w:ascii="宋体" w:hAnsi="宋体" w:cs="宋体" w:eastAsia="宋体"/>
                <w:sz w:val="20"/>
                <w:b/>
              </w:rPr>
              <w:t>、硬件技术安全</w:t>
            </w:r>
            <w:r>
              <w:rPr>
                <w:rFonts w:ascii="宋体" w:hAnsi="宋体" w:cs="宋体" w:eastAsia="宋体"/>
                <w:sz w:val="20"/>
                <w:b/>
              </w:rPr>
              <w:t>要求</w:t>
            </w:r>
          </w:p>
          <w:p>
            <w:pPr>
              <w:pStyle w:val="null3"/>
              <w:ind w:firstLine="400"/>
              <w:jc w:val="both"/>
            </w:pPr>
            <w:r>
              <w:rPr>
                <w:rFonts w:ascii="宋体" w:hAnsi="宋体" w:cs="宋体" w:eastAsia="宋体"/>
                <w:sz w:val="20"/>
              </w:rPr>
              <w:t>（1）设备管理和监控：管理和监控执法办案APP使用的服务器、存储设备、网络设备和其他硬件设备的运行，以确保它们始终处于良好的运行状态。这包括设备的性能监控、故障排除和维修。</w:t>
            </w:r>
          </w:p>
          <w:p>
            <w:pPr>
              <w:pStyle w:val="null3"/>
              <w:ind w:firstLine="400"/>
              <w:jc w:val="both"/>
            </w:pPr>
            <w:r>
              <w:rPr>
                <w:rFonts w:ascii="宋体" w:hAnsi="宋体" w:cs="宋体" w:eastAsia="宋体"/>
                <w:sz w:val="20"/>
              </w:rPr>
              <w:t>（2）数据备份和恢复：制定和执行数据备份和恢复计划，以确保业务数据的完整性和可用性。这包括定期备份数据、测试备份数据以及在需要时恢复数据。</w:t>
            </w:r>
          </w:p>
          <w:p>
            <w:pPr>
              <w:pStyle w:val="null3"/>
              <w:ind w:firstLine="400"/>
              <w:jc w:val="both"/>
            </w:pPr>
            <w:r>
              <w:rPr>
                <w:rFonts w:ascii="宋体" w:hAnsi="宋体" w:cs="宋体" w:eastAsia="宋体"/>
                <w:sz w:val="20"/>
              </w:rPr>
              <w:t>（3）安全管理和维护：确保硬件设备的安全性，包括物理安全和网络安全。需要采取措施来保护设备免受未经授权的访问和网络攻击，并定期进行安全漏洞扫描和修复。</w:t>
            </w:r>
          </w:p>
          <w:p>
            <w:pPr>
              <w:pStyle w:val="null3"/>
              <w:ind w:firstLine="402"/>
              <w:jc w:val="both"/>
            </w:pPr>
            <w:r>
              <w:rPr>
                <w:rFonts w:ascii="宋体" w:hAnsi="宋体" w:cs="宋体" w:eastAsia="宋体"/>
                <w:sz w:val="20"/>
                <w:b/>
              </w:rPr>
              <w:t>2</w:t>
            </w:r>
            <w:r>
              <w:rPr>
                <w:rFonts w:ascii="宋体" w:hAnsi="宋体" w:cs="宋体" w:eastAsia="宋体"/>
                <w:sz w:val="20"/>
                <w:b/>
              </w:rPr>
              <w:t>、软件技术安全要求</w:t>
            </w:r>
          </w:p>
          <w:p>
            <w:pPr>
              <w:pStyle w:val="null3"/>
              <w:ind w:firstLine="400"/>
              <w:jc w:val="both"/>
            </w:pPr>
            <w:r>
              <w:rPr>
                <w:rFonts w:ascii="宋体" w:hAnsi="宋体" w:cs="宋体" w:eastAsia="宋体"/>
                <w:sz w:val="20"/>
              </w:rPr>
              <w:t>（1）监控并分析系统所有的功能、性能和数据库，对出现的系统问题进行排查、定位并解决。</w:t>
            </w:r>
          </w:p>
          <w:p>
            <w:pPr>
              <w:pStyle w:val="null3"/>
              <w:ind w:firstLine="400"/>
              <w:jc w:val="both"/>
            </w:pPr>
            <w:r>
              <w:rPr>
                <w:rFonts w:ascii="宋体" w:hAnsi="宋体" w:cs="宋体" w:eastAsia="宋体"/>
                <w:sz w:val="20"/>
              </w:rPr>
              <w:t>（2）进行日常巡检及实时监控，统计日常监测数据，分析监测结果，明确影响信息系统运行质量的关键因素，提出优化整改建议。</w:t>
            </w:r>
          </w:p>
          <w:p>
            <w:pPr>
              <w:pStyle w:val="null3"/>
              <w:ind w:firstLine="400"/>
              <w:jc w:val="both"/>
            </w:pPr>
            <w:r>
              <w:rPr>
                <w:rFonts w:ascii="宋体" w:hAnsi="宋体" w:cs="宋体" w:eastAsia="宋体"/>
                <w:sz w:val="20"/>
              </w:rPr>
              <w:t>（3）处理APP在使用中出现的问题及故障，配合完成各系统的检修和安全保障工作。</w:t>
            </w:r>
          </w:p>
          <w:p>
            <w:pPr>
              <w:pStyle w:val="null3"/>
              <w:ind w:firstLine="400"/>
              <w:jc w:val="both"/>
            </w:pPr>
            <w:r>
              <w:rPr>
                <w:rFonts w:ascii="宋体" w:hAnsi="宋体" w:cs="宋体" w:eastAsia="宋体"/>
                <w:sz w:val="20"/>
              </w:rPr>
              <w:t>（4）形成并保存所有技术工作的文档，编写要求的各类文档。</w:t>
            </w:r>
          </w:p>
          <w:p>
            <w:pPr>
              <w:pStyle w:val="null3"/>
              <w:ind w:firstLine="402"/>
              <w:jc w:val="both"/>
            </w:pPr>
            <w:r>
              <w:rPr>
                <w:rFonts w:ascii="宋体" w:hAnsi="宋体" w:cs="宋体" w:eastAsia="宋体"/>
                <w:sz w:val="20"/>
                <w:b/>
              </w:rPr>
              <w:t>（二） 系统保障要求</w:t>
            </w:r>
          </w:p>
          <w:p>
            <w:pPr>
              <w:pStyle w:val="null3"/>
              <w:ind w:firstLine="402"/>
              <w:jc w:val="both"/>
            </w:pPr>
            <w:r>
              <w:rPr>
                <w:rFonts w:ascii="宋体" w:hAnsi="宋体" w:cs="宋体" w:eastAsia="宋体"/>
                <w:sz w:val="20"/>
                <w:b/>
              </w:rPr>
              <w:t>1</w:t>
            </w:r>
            <w:r>
              <w:rPr>
                <w:rFonts w:ascii="宋体" w:hAnsi="宋体" w:cs="宋体" w:eastAsia="宋体"/>
                <w:sz w:val="20"/>
                <w:b/>
              </w:rPr>
              <w:t>、系统保障服务要求</w:t>
            </w:r>
          </w:p>
          <w:p>
            <w:pPr>
              <w:pStyle w:val="null3"/>
              <w:ind w:firstLine="400"/>
              <w:jc w:val="both"/>
            </w:pPr>
            <w:r>
              <w:rPr>
                <w:rFonts w:ascii="宋体" w:hAnsi="宋体" w:cs="宋体" w:eastAsia="宋体"/>
                <w:sz w:val="20"/>
              </w:rPr>
              <w:t>（1）故障巡检、问题定位及排查。</w:t>
            </w:r>
          </w:p>
          <w:p>
            <w:pPr>
              <w:pStyle w:val="null3"/>
              <w:ind w:firstLine="400"/>
              <w:jc w:val="both"/>
            </w:pPr>
            <w:r>
              <w:rPr>
                <w:rFonts w:ascii="宋体" w:hAnsi="宋体" w:cs="宋体" w:eastAsia="宋体"/>
                <w:sz w:val="20"/>
              </w:rPr>
              <w:t>（2）系统、应用的部署。</w:t>
            </w:r>
          </w:p>
          <w:p>
            <w:pPr>
              <w:pStyle w:val="null3"/>
              <w:ind w:firstLine="400"/>
              <w:jc w:val="both"/>
            </w:pPr>
            <w:r>
              <w:rPr>
                <w:rFonts w:ascii="宋体" w:hAnsi="宋体" w:cs="宋体" w:eastAsia="宋体"/>
                <w:sz w:val="20"/>
              </w:rPr>
              <w:t>（3）系统、应用相关参数的配置。</w:t>
            </w:r>
          </w:p>
          <w:p>
            <w:pPr>
              <w:pStyle w:val="null3"/>
              <w:ind w:firstLine="400"/>
              <w:jc w:val="both"/>
            </w:pPr>
            <w:r>
              <w:rPr>
                <w:rFonts w:ascii="宋体" w:hAnsi="宋体" w:cs="宋体" w:eastAsia="宋体"/>
                <w:sz w:val="20"/>
              </w:rPr>
              <w:t>（4）数据备份。</w:t>
            </w:r>
          </w:p>
          <w:p>
            <w:pPr>
              <w:pStyle w:val="null3"/>
              <w:ind w:firstLine="400"/>
              <w:jc w:val="both"/>
            </w:pPr>
            <w:r>
              <w:rPr>
                <w:rFonts w:ascii="宋体" w:hAnsi="宋体" w:cs="宋体" w:eastAsia="宋体"/>
                <w:sz w:val="20"/>
              </w:rPr>
              <w:t>（5）脚本/补丁/升级包的更新。</w:t>
            </w:r>
          </w:p>
          <w:p>
            <w:pPr>
              <w:pStyle w:val="null3"/>
              <w:ind w:firstLine="400"/>
              <w:jc w:val="both"/>
            </w:pPr>
            <w:r>
              <w:rPr>
                <w:rFonts w:ascii="宋体" w:hAnsi="宋体" w:cs="宋体" w:eastAsia="宋体"/>
                <w:sz w:val="20"/>
              </w:rPr>
              <w:t>（6）日常服务器运行状态的监控。</w:t>
            </w:r>
          </w:p>
          <w:p>
            <w:pPr>
              <w:pStyle w:val="null3"/>
              <w:ind w:firstLine="400"/>
              <w:jc w:val="both"/>
            </w:pPr>
            <w:r>
              <w:rPr>
                <w:rFonts w:ascii="宋体" w:hAnsi="宋体" w:cs="宋体" w:eastAsia="宋体"/>
                <w:sz w:val="20"/>
              </w:rPr>
              <w:t>（7）处理紧急技术事故。</w:t>
            </w:r>
          </w:p>
          <w:p>
            <w:pPr>
              <w:pStyle w:val="null3"/>
              <w:ind w:firstLine="400"/>
              <w:jc w:val="both"/>
            </w:pPr>
            <w:r>
              <w:rPr>
                <w:rFonts w:ascii="宋体" w:hAnsi="宋体" w:cs="宋体" w:eastAsia="宋体"/>
                <w:sz w:val="20"/>
              </w:rPr>
              <w:t>（8）技术或服务支持等。</w:t>
            </w:r>
          </w:p>
          <w:p>
            <w:pPr>
              <w:pStyle w:val="null3"/>
              <w:ind w:firstLine="402"/>
              <w:jc w:val="both"/>
            </w:pPr>
            <w:r>
              <w:rPr>
                <w:rFonts w:ascii="宋体" w:hAnsi="宋体" w:cs="宋体" w:eastAsia="宋体"/>
                <w:sz w:val="20"/>
                <w:b/>
              </w:rPr>
              <w:t>2</w:t>
            </w:r>
            <w:r>
              <w:rPr>
                <w:rFonts w:ascii="宋体" w:hAnsi="宋体" w:cs="宋体" w:eastAsia="宋体"/>
                <w:sz w:val="20"/>
                <w:b/>
              </w:rPr>
              <w:t>、重大时间点服务保障</w:t>
            </w:r>
          </w:p>
          <w:p>
            <w:pPr>
              <w:pStyle w:val="null3"/>
              <w:ind w:firstLine="400"/>
              <w:jc w:val="both"/>
            </w:pPr>
            <w:r>
              <w:rPr>
                <w:rFonts w:ascii="宋体" w:hAnsi="宋体" w:cs="宋体" w:eastAsia="宋体"/>
                <w:sz w:val="20"/>
              </w:rPr>
              <w:t>（1）必须建立完善的应急预案，包括针对可能出现的各种故障和异常情况的应对措施，以及针对不同安全事件的应急预案。</w:t>
            </w:r>
          </w:p>
          <w:p>
            <w:pPr>
              <w:pStyle w:val="null3"/>
              <w:ind w:firstLine="400"/>
              <w:jc w:val="both"/>
            </w:pPr>
            <w:r>
              <w:rPr>
                <w:rFonts w:ascii="宋体" w:hAnsi="宋体" w:cs="宋体" w:eastAsia="宋体"/>
                <w:sz w:val="20"/>
              </w:rPr>
              <w:t>（2）对服务器、网络设备、数据库等关键设备进行24小时监控，及时发现并解决问题。</w:t>
            </w:r>
          </w:p>
          <w:p>
            <w:pPr>
              <w:pStyle w:val="null3"/>
              <w:ind w:firstLine="400"/>
              <w:jc w:val="both"/>
            </w:pPr>
            <w:r>
              <w:rPr>
                <w:rFonts w:ascii="宋体" w:hAnsi="宋体" w:cs="宋体" w:eastAsia="宋体"/>
                <w:sz w:val="20"/>
              </w:rPr>
              <w:t>（3）做好数据备份和恢复工作，确保数据安全。</w:t>
            </w:r>
          </w:p>
          <w:p>
            <w:pPr>
              <w:pStyle w:val="null3"/>
              <w:ind w:firstLine="400"/>
              <w:jc w:val="both"/>
            </w:pPr>
            <w:r>
              <w:rPr>
                <w:rFonts w:ascii="宋体" w:hAnsi="宋体" w:cs="宋体" w:eastAsia="宋体"/>
                <w:sz w:val="20"/>
              </w:rPr>
              <w:t>（4）对系统进行安全检查和漏洞扫描，及时发现并修补漏洞。</w:t>
            </w:r>
          </w:p>
          <w:p>
            <w:pPr>
              <w:pStyle w:val="null3"/>
              <w:ind w:firstLine="400"/>
              <w:jc w:val="both"/>
            </w:pPr>
            <w:r>
              <w:rPr>
                <w:rFonts w:ascii="宋体" w:hAnsi="宋体" w:cs="宋体" w:eastAsia="宋体"/>
                <w:sz w:val="20"/>
              </w:rPr>
              <w:t>（5）对系统进行变更操作时，需要严格控制和管理，确保变更操作不会对系统造成安全风险。</w:t>
            </w:r>
          </w:p>
          <w:p>
            <w:pPr>
              <w:pStyle w:val="null3"/>
              <w:ind w:firstLine="400"/>
              <w:jc w:val="both"/>
            </w:pPr>
            <w:r>
              <w:rPr>
                <w:rFonts w:ascii="宋体" w:hAnsi="宋体" w:cs="宋体" w:eastAsia="宋体"/>
                <w:sz w:val="20"/>
              </w:rPr>
              <w:t>（6）在重大时间点期间，需要增加技术支持人员，确保能够快速响应和处理各种问题。</w:t>
            </w:r>
          </w:p>
          <w:p>
            <w:pPr>
              <w:pStyle w:val="null3"/>
              <w:ind w:firstLine="400"/>
              <w:jc w:val="both"/>
            </w:pPr>
            <w:r>
              <w:rPr>
                <w:rFonts w:ascii="宋体" w:hAnsi="宋体" w:cs="宋体" w:eastAsia="宋体"/>
                <w:sz w:val="20"/>
              </w:rPr>
              <w:t>（7）对系统进行定期的维护和优化，提高系统的稳定性和性能。</w:t>
            </w:r>
          </w:p>
          <w:p>
            <w:pPr>
              <w:pStyle w:val="null3"/>
              <w:ind w:firstLine="400"/>
              <w:jc w:val="both"/>
            </w:pPr>
            <w:r>
              <w:rPr>
                <w:rFonts w:ascii="宋体" w:hAnsi="宋体" w:cs="宋体" w:eastAsia="宋体"/>
                <w:sz w:val="20"/>
              </w:rPr>
              <w:t>（8）在重大时间点期间，需要增加安全监控和防护措施，防止各种网络攻击和恶意入侵。</w:t>
            </w:r>
          </w:p>
          <w:p>
            <w:pPr>
              <w:pStyle w:val="null3"/>
              <w:ind w:firstLine="402"/>
              <w:jc w:val="both"/>
            </w:pPr>
            <w:r>
              <w:rPr>
                <w:rFonts w:ascii="宋体" w:hAnsi="宋体" w:cs="宋体" w:eastAsia="宋体"/>
                <w:sz w:val="20"/>
                <w:b/>
              </w:rPr>
              <w:t>（三）故障响应要求</w:t>
            </w:r>
          </w:p>
          <w:p>
            <w:pPr>
              <w:pStyle w:val="null3"/>
              <w:ind w:firstLine="400"/>
              <w:jc w:val="both"/>
            </w:pPr>
            <w:r>
              <w:rPr>
                <w:rFonts w:ascii="宋体" w:hAnsi="宋体" w:cs="宋体" w:eastAsia="宋体"/>
                <w:sz w:val="20"/>
              </w:rPr>
              <w:t>在技术期间需做到全天候7×24小时的故障维护服务和技术业务咨询服务。在接到突发事件后，30分钟内响应并启动应急预案，1小时内安排专人到达现场，4小时内解决问题（不可抗力除外）。</w:t>
            </w:r>
            <w:r>
              <w:rPr>
                <w:rFonts w:ascii="calibri, sans-serif" w:hAnsi="calibri, sans-serif" w:cs="calibri, sans-serif" w:eastAsia="calibri, sans-serif"/>
                <w:sz w:val="21"/>
              </w:rPr>
              <w:t>★</w:t>
            </w:r>
            <w:r>
              <w:rPr>
                <w:rFonts w:ascii="宋体" w:hAnsi="宋体" w:cs="宋体" w:eastAsia="宋体"/>
                <w:sz w:val="20"/>
              </w:rPr>
              <w:t>投标文件中需要针对此项做出书面承诺并加盖公章及对西安市公安局执法办案平台数据安全和保密承诺。</w:t>
            </w:r>
          </w:p>
          <w:p>
            <w:pPr>
              <w:pStyle w:val="null3"/>
              <w:ind w:firstLine="402"/>
              <w:jc w:val="both"/>
            </w:pPr>
            <w:r>
              <w:rPr>
                <w:rFonts w:ascii="宋体" w:hAnsi="宋体" w:cs="宋体" w:eastAsia="宋体"/>
                <w:sz w:val="20"/>
                <w:b/>
              </w:rPr>
              <w:t>四、合同履行期限</w:t>
            </w:r>
          </w:p>
          <w:p>
            <w:pPr>
              <w:pStyle w:val="null3"/>
            </w:pPr>
            <w:r>
              <w:rPr>
                <w:rFonts w:ascii="宋体" w:hAnsi="宋体" w:cs="宋体" w:eastAsia="宋体"/>
                <w:sz w:val="20"/>
              </w:rPr>
              <w:t>自合同签订之日起10日内完成升级改造服务。</w:t>
            </w:r>
          </w:p>
        </w:tc>
      </w:tr>
    </w:tbl>
    <w:p>
      <w:pPr>
        <w:pStyle w:val="null3"/>
        <w:outlineLvl w:val="2"/>
      </w:pPr>
      <w:r>
        <w:rPr>
          <w:sz w:val="28"/>
          <w:b/>
        </w:rPr>
        <w:t>3.2.3人员配置要求</w:t>
      </w:r>
    </w:p>
    <w:p>
      <w:pPr>
        <w:pStyle w:val="null3"/>
      </w:pPr>
      <w:r>
        <w:rPr/>
        <w:t>采购包1：</w:t>
      </w:r>
    </w:p>
    <w:p>
      <w:pPr>
        <w:pStyle w:val="null3"/>
      </w:pPr>
      <w:r>
        <w:rPr/>
        <w:t>/</w:t>
      </w:r>
    </w:p>
    <w:p>
      <w:pPr>
        <w:pStyle w:val="null3"/>
        <w:outlineLvl w:val="2"/>
      </w:pPr>
      <w:r>
        <w:rPr>
          <w:sz w:val="28"/>
          <w:b/>
        </w:rPr>
        <w:t>3.2.4设施设备要求</w:t>
      </w:r>
    </w:p>
    <w:p>
      <w:pPr>
        <w:pStyle w:val="null3"/>
      </w:pPr>
      <w:r>
        <w:rPr/>
        <w:t>采购包1：</w:t>
      </w:r>
    </w:p>
    <w:p>
      <w:pPr>
        <w:pStyle w:val="null3"/>
      </w:pPr>
      <w:r>
        <w:rPr/>
        <w:t>/</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自合同签订之日起10日内完成升级改造服务</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详见合同文本</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详见合同文本</w:t>
      </w:r>
    </w:p>
    <w:p>
      <w:pPr>
        <w:pStyle w:val="null3"/>
        <w:outlineLvl w:val="2"/>
      </w:pPr>
      <w:r>
        <w:rPr>
          <w:sz w:val="28"/>
          <w:b/>
        </w:rPr>
        <w:t>3.4其他要求</w:t>
      </w:r>
    </w:p>
    <w:p>
      <w:pPr>
        <w:pStyle w:val="null3"/>
      </w:pPr>
      <w:r>
        <w:rPr/>
        <w:t>1、关于知识产权和保密事项 1-1、所有涉及知识产权的产品及设计，供应商必须确保委托人、采购人拥有其合法的、不受限制的无偿使用权，并免受任何侵权诉讼或索偿；否则，由此产生的一切经济损失和法律责任由供应商承担。 1-2、由采购人向供应商提供的用户需求书、图纸、样品、模型、模件和所有资料，供应商获得后，应对其保密。除非采购人同意，供应商不得向第三方透露或将其用于本次投 标以外的任何用途。开标后，若采购人有要求，供应商人须归还采购人认为需保密的文件和资料，并销毁所有相应的备份文件及资料。 2、评审现场人员的保密责任 在采购结果确定前，采购人、采购代理机构对评审委员会名单负有保密责任。评审委员会成员、采购人和集中采购代理机构工作人员、相关监督人员等与评审工作有关的人员，对评审情况以及在评审过程中获悉的国家秘密、商业秘密负有保密责任。 3、成交供应商在领取成交通知书前，需向采购代理机构提交纸质版响应文件三份，纸质版文件须为电子响应文件的打印版，封面加盖公司鲜章。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1、供应商合法注册的法人或其他组织的营业执照等证明文件， 自然人的身份证明； 2、具有良好的商业信誉和健全的财务会计制度（提供2023年经审计的财务报告（成立时间至提交响应文件截止时间不足一年的可提供成立以来的资产负债表），或其基本存款账户开户银行出具的资信证明及基本存款账户信息），审计报告必须报备到注册会计师行业统一监管平台，并由该平台赋一个验证码（二维码）和编码；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 2023年经审计的财务报告（成立时间至提交响应文件截止时间不足一年的可提供成立以来的资产负债表），或其基本存款账户开户银行出具的资信证明及基本存款账户信息），审计报告必须报备到注册会计师行业统一监管平台，并由该平台赋一个验证码（二维码）和编码。</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磋商授权</w:t>
            </w:r>
          </w:p>
        </w:tc>
        <w:tc>
          <w:tcPr>
            <w:tcW w:type="dxa" w:w="3322"/>
          </w:tcPr>
          <w:p>
            <w:pPr>
              <w:pStyle w:val="null3"/>
            </w:pPr>
            <w:r>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单位公章</w:t>
            </w:r>
          </w:p>
        </w:tc>
        <w:tc>
          <w:tcPr>
            <w:tcW w:type="dxa" w:w="3322"/>
          </w:tcPr>
          <w:p>
            <w:pPr>
              <w:pStyle w:val="null3"/>
            </w:pPr>
            <w:r>
              <w:rPr/>
              <w:t>磋商响应文件加盖供应商单位公章</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签字或盖章</w:t>
            </w:r>
          </w:p>
        </w:tc>
        <w:tc>
          <w:tcPr>
            <w:tcW w:type="dxa" w:w="3322"/>
          </w:tcPr>
          <w:p>
            <w:pPr>
              <w:pStyle w:val="null3"/>
            </w:pPr>
            <w:r>
              <w:rPr/>
              <w:t>磋商响应文件按磋商文件要求法定代表人（或负责人）或其授权代表签字或盖章</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有效期</w:t>
            </w:r>
          </w:p>
        </w:tc>
        <w:tc>
          <w:tcPr>
            <w:tcW w:type="dxa" w:w="3322"/>
          </w:tcPr>
          <w:p>
            <w:pPr>
              <w:pStyle w:val="null3"/>
            </w:pPr>
            <w:r>
              <w:rPr/>
              <w:t>有效期达到磋商文件的要求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选择性报价</w:t>
            </w:r>
          </w:p>
        </w:tc>
        <w:tc>
          <w:tcPr>
            <w:tcW w:type="dxa" w:w="3322"/>
          </w:tcPr>
          <w:p>
            <w:pPr>
              <w:pStyle w:val="null3"/>
            </w:pPr>
            <w:r>
              <w:rPr/>
              <w:t>供应商磋商报价未出现选择性报价</w:t>
            </w:r>
          </w:p>
        </w:tc>
        <w:tc>
          <w:tcPr>
            <w:tcW w:type="dxa" w:w="1661"/>
          </w:tcPr>
          <w:p>
            <w:pPr>
              <w:pStyle w:val="null3"/>
            </w:pPr>
            <w:r>
              <w:rPr/>
              <w:t>响应报价明细表 标的清单 报价表</w:t>
            </w:r>
          </w:p>
        </w:tc>
      </w:tr>
      <w:tr>
        <w:tc>
          <w:tcPr>
            <w:tcW w:type="dxa" w:w="831"/>
          </w:tcPr>
          <w:p>
            <w:pPr>
              <w:pStyle w:val="null3"/>
            </w:pPr>
            <w:r>
              <w:rPr/>
              <w:t>6</w:t>
            </w:r>
          </w:p>
        </w:tc>
        <w:tc>
          <w:tcPr>
            <w:tcW w:type="dxa" w:w="2492"/>
          </w:tcPr>
          <w:p>
            <w:pPr>
              <w:pStyle w:val="null3"/>
            </w:pPr>
            <w:r>
              <w:rPr/>
              <w:t>磋商报价</w:t>
            </w:r>
          </w:p>
        </w:tc>
        <w:tc>
          <w:tcPr>
            <w:tcW w:type="dxa" w:w="3322"/>
          </w:tcPr>
          <w:p>
            <w:pPr>
              <w:pStyle w:val="null3"/>
            </w:pPr>
            <w:r>
              <w:rPr/>
              <w:t>磋商报价未超出采购预算或最高限价</w:t>
            </w:r>
          </w:p>
        </w:tc>
        <w:tc>
          <w:tcPr>
            <w:tcW w:type="dxa" w:w="1661"/>
          </w:tcPr>
          <w:p>
            <w:pPr>
              <w:pStyle w:val="null3"/>
            </w:pPr>
            <w:r>
              <w:rPr/>
              <w:t>响应报价明细表 标的清单 报价表</w:t>
            </w:r>
          </w:p>
        </w:tc>
      </w:tr>
      <w:tr>
        <w:tc>
          <w:tcPr>
            <w:tcW w:type="dxa" w:w="831"/>
          </w:tcPr>
          <w:p>
            <w:pPr>
              <w:pStyle w:val="null3"/>
            </w:pPr>
            <w:r>
              <w:rPr/>
              <w:t>7</w:t>
            </w:r>
          </w:p>
        </w:tc>
        <w:tc>
          <w:tcPr>
            <w:tcW w:type="dxa" w:w="2492"/>
          </w:tcPr>
          <w:p>
            <w:pPr>
              <w:pStyle w:val="null3"/>
            </w:pPr>
            <w:r>
              <w:rPr/>
              <w:t>服务内容</w:t>
            </w:r>
          </w:p>
        </w:tc>
        <w:tc>
          <w:tcPr>
            <w:tcW w:type="dxa" w:w="3322"/>
          </w:tcPr>
          <w:p>
            <w:pPr>
              <w:pStyle w:val="null3"/>
            </w:pPr>
            <w:r>
              <w:rPr/>
              <w:t>技术、服务内容达到采购要求，未出现重大负偏差，未降低了服务要求</w:t>
            </w:r>
          </w:p>
        </w:tc>
        <w:tc>
          <w:tcPr>
            <w:tcW w:type="dxa" w:w="1661"/>
          </w:tcPr>
          <w:p>
            <w:pPr>
              <w:pStyle w:val="null3"/>
            </w:pPr>
            <w:r>
              <w:rPr/>
              <w:t>商务要求（合同草案条款）偏离表 采购需求偏离表</w:t>
            </w:r>
          </w:p>
        </w:tc>
      </w:tr>
      <w:tr>
        <w:tc>
          <w:tcPr>
            <w:tcW w:type="dxa" w:w="831"/>
          </w:tcPr>
          <w:p>
            <w:pPr>
              <w:pStyle w:val="null3"/>
            </w:pPr>
            <w:r>
              <w:rPr/>
              <w:t>8</w:t>
            </w:r>
          </w:p>
        </w:tc>
        <w:tc>
          <w:tcPr>
            <w:tcW w:type="dxa" w:w="2492"/>
          </w:tcPr>
          <w:p>
            <w:pPr>
              <w:pStyle w:val="null3"/>
            </w:pPr>
            <w:r>
              <w:rPr/>
              <w:t>响应文件中不得附加了采购人难以接受的条件</w:t>
            </w:r>
          </w:p>
        </w:tc>
        <w:tc>
          <w:tcPr>
            <w:tcW w:type="dxa" w:w="3322"/>
          </w:tcPr>
          <w:p>
            <w:pPr>
              <w:pStyle w:val="null3"/>
            </w:pPr>
            <w:r>
              <w:rPr/>
              <w:t>响应文件中未附加采购人难以接受的条件</w:t>
            </w:r>
          </w:p>
        </w:tc>
        <w:tc>
          <w:tcPr>
            <w:tcW w:type="dxa" w:w="1661"/>
          </w:tcPr>
          <w:p>
            <w:pPr>
              <w:pStyle w:val="null3"/>
            </w:pPr>
            <w:r>
              <w:rPr/>
              <w:t>供应商承诺书</w:t>
            </w:r>
          </w:p>
        </w:tc>
      </w:tr>
      <w:tr>
        <w:tc>
          <w:tcPr>
            <w:tcW w:type="dxa" w:w="831"/>
          </w:tcPr>
          <w:p>
            <w:pPr>
              <w:pStyle w:val="null3"/>
            </w:pPr>
            <w:r>
              <w:rPr/>
              <w:t>9</w:t>
            </w:r>
          </w:p>
        </w:tc>
        <w:tc>
          <w:tcPr>
            <w:tcW w:type="dxa" w:w="2492"/>
          </w:tcPr>
          <w:p>
            <w:pPr>
              <w:pStyle w:val="null3"/>
            </w:pPr>
            <w:r>
              <w:rPr/>
              <w:t>信用查询</w:t>
            </w:r>
          </w:p>
        </w:tc>
        <w:tc>
          <w:tcPr>
            <w:tcW w:type="dxa" w:w="3322"/>
          </w:tcPr>
          <w:p>
            <w:pPr>
              <w:pStyle w:val="null3"/>
            </w:pPr>
            <w:r>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t>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1、根据供应商提供的项目实施方案 1-1、人员配备； 1-2、项目管理； 1-3、进度管理。 评审标准：以上服务方案描述详细，条理清晰，切实可行，满足服务要求（共3项，满分15分） （1）满足评审标准的，每项得5分； （2）基本满足评审标准的，每项2.5分； （3）不满足评审标准或未提供的，该项不得分。 2、根据供应商提供的升级改造方案 2-1、项目总体实施方案 2-2、执法办案APP升级改造方案 2-3、与110接处警平台对接保证数据的实时性方案 2-4、优化系统配置增强APP服务的扩展性方案 评审标准：以上服务方案描述详细，条理清晰，切实可行，满足服务要求（共4项，满分20分）。 （1）满足评审标准的，每项得5分； （2）基本满足评审标准的，每项得2.5分； （3）不满足评审标准或未提供的，该项不得分。 3、据供应商提供的技术服务方案 3-1、硬件技术方案 3-2、软件技术方案 3-3、故障响应方案 3-4、紧急事项处理措施方案 3-5、技术服务人员配备 评审标准：以上服务方案描述详细，条理清晰，切实可行，满足服务要求（共5项，满分20分） （1）满足评审标准的，每项得4分； （2）基本满足评审标准的，每项得2分； （3）不满足评审标准或未提供的，该项不得分 4、据供应商提供的验收和检测方案 4-1、验收方案 4-2、检测方案 评审标准：以上服务方案描述详细，条理清晰，切实可行，满足服务要求（共2项，满分5分） （1）满足评审标准的，每项得2.5分； （2）基本满足评审标准的，每项得1.5分； （3）不满足评审标准或未提供的，该项不得分</w:t>
            </w:r>
          </w:p>
        </w:tc>
        <w:tc>
          <w:tcPr>
            <w:tcW w:type="dxa" w:w="831"/>
          </w:tcPr>
          <w:p>
            <w:pPr>
              <w:pStyle w:val="null3"/>
              <w:jc w:val="right"/>
            </w:pPr>
            <w:r>
              <w:rPr/>
              <w:t>60.0000</w:t>
            </w:r>
          </w:p>
        </w:tc>
        <w:tc>
          <w:tcPr>
            <w:tcW w:type="dxa" w:w="831"/>
          </w:tcPr>
          <w:p>
            <w:pPr>
              <w:pStyle w:val="null3"/>
            </w:pPr>
            <w:r>
              <w:rPr/>
              <w:t>主观</w:t>
            </w:r>
          </w:p>
        </w:tc>
        <w:tc>
          <w:tcPr>
            <w:tcW w:type="dxa" w:w="1661"/>
          </w:tcPr>
          <w:p>
            <w:pPr>
              <w:pStyle w:val="null3"/>
            </w:pPr>
            <w:r>
              <w:rPr/>
              <w:t>磋商方案说明</w:t>
            </w:r>
          </w:p>
        </w:tc>
      </w:tr>
      <w:tr>
        <w:tc>
          <w:tcPr>
            <w:tcW w:type="dxa" w:w="831"/>
            <w:vMerge/>
          </w:tcPr>
          <w:p/>
        </w:tc>
        <w:tc>
          <w:tcPr>
            <w:tcW w:type="dxa" w:w="1661"/>
          </w:tcPr>
          <w:p>
            <w:pPr>
              <w:pStyle w:val="null3"/>
            </w:pPr>
            <w:r>
              <w:rPr/>
              <w:t>质量保障措施</w:t>
            </w:r>
          </w:p>
        </w:tc>
        <w:tc>
          <w:tcPr>
            <w:tcW w:type="dxa" w:w="2492"/>
          </w:tcPr>
          <w:p>
            <w:pPr>
              <w:pStyle w:val="null3"/>
            </w:pPr>
            <w:r>
              <w:rPr/>
              <w:t>根据供应商提供的服务质量保证措施方案 1-1、内控制度 1-2、本地化服务能力 评审标准：以上服务方案描述详细，条理清晰，切实可行，满足服务要求（共2项，满分8分）。 （1）满足评审标准的，每项得4分； （2）基本满足评审标准的，每项得2分； （3）不满足评审标准或未提供的，该项不得分。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磋商方案说明</w:t>
            </w:r>
          </w:p>
        </w:tc>
      </w:tr>
      <w:tr>
        <w:tc>
          <w:tcPr>
            <w:tcW w:type="dxa" w:w="831"/>
            <w:vMerge/>
          </w:tcPr>
          <w:p/>
        </w:tc>
        <w:tc>
          <w:tcPr>
            <w:tcW w:type="dxa" w:w="1661"/>
          </w:tcPr>
          <w:p>
            <w:pPr>
              <w:pStyle w:val="null3"/>
            </w:pPr>
            <w:r>
              <w:rPr/>
              <w:t>人员配置</w:t>
            </w:r>
          </w:p>
        </w:tc>
        <w:tc>
          <w:tcPr>
            <w:tcW w:type="dxa" w:w="2492"/>
          </w:tcPr>
          <w:p>
            <w:pPr>
              <w:pStyle w:val="null3"/>
            </w:pPr>
            <w:r>
              <w:rPr/>
              <w:t>拟派项目组成员具有信息系统维护工程师证书，每提供一个得3分，满分3。 以上人员提供相关证书复印件并加盖公章，未提供相关证明材料不计分。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磋商方案说明</w:t>
            </w:r>
          </w:p>
        </w:tc>
      </w:tr>
      <w:tr>
        <w:tc>
          <w:tcPr>
            <w:tcW w:type="dxa" w:w="831"/>
            <w:vMerge/>
          </w:tcPr>
          <w:p/>
        </w:tc>
        <w:tc>
          <w:tcPr>
            <w:tcW w:type="dxa" w:w="1661"/>
          </w:tcPr>
          <w:p>
            <w:pPr>
              <w:pStyle w:val="null3"/>
            </w:pPr>
            <w:r>
              <w:rPr/>
              <w:t>培训方案</w:t>
            </w:r>
          </w:p>
        </w:tc>
        <w:tc>
          <w:tcPr>
            <w:tcW w:type="dxa" w:w="2492"/>
          </w:tcPr>
          <w:p>
            <w:pPr>
              <w:pStyle w:val="null3"/>
            </w:pPr>
            <w:r>
              <w:rPr/>
              <w:t>1、根据供应商提供的培训方案 1-1、培训目标； 1-2、培训内容； 1-3、培训方式； 1-4、课程安排； 1-5、培训讲师及培训教材。 评审标准：以上服务方案描述详细，条理清晰，切实可行，满足服务要求（共5项，满分15分）。 （1）满足评审标准的，每项得3分； （2）基本满足评审标准的，每项得1.5分； （3）不满足评审标准或未提供的，该项不得分。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磋商方案说明</w:t>
            </w:r>
          </w:p>
        </w:tc>
      </w:tr>
      <w:tr>
        <w:tc>
          <w:tcPr>
            <w:tcW w:type="dxa" w:w="831"/>
            <w:vMerge/>
          </w:tcPr>
          <w:p/>
        </w:tc>
        <w:tc>
          <w:tcPr>
            <w:tcW w:type="dxa" w:w="1661"/>
          </w:tcPr>
          <w:p>
            <w:pPr>
              <w:pStyle w:val="null3"/>
            </w:pPr>
            <w:r>
              <w:rPr/>
              <w:t>业绩</w:t>
            </w:r>
          </w:p>
        </w:tc>
        <w:tc>
          <w:tcPr>
            <w:tcW w:type="dxa" w:w="2492"/>
          </w:tcPr>
          <w:p>
            <w:pPr>
              <w:pStyle w:val="null3"/>
            </w:pPr>
            <w:r>
              <w:rPr/>
              <w:t>供应商提供2021年1月至今类似项目业绩，业绩以合同为依据，每提供一个业绩证明计2分，满分4分.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磋商方案说明</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满足磋商文件要求且最后报价最低的供应商的价格为磋商基准价。各供应商的价格分统一按照下列公式计算：磋商报价得分=（磋商基准价/最后磋商报价）×10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详见附件：采购需求偏离表</w:t>
      </w:r>
    </w:p>
    <w:p>
      <w:pPr>
        <w:pStyle w:val="null3"/>
        <w:ind w:firstLine="960"/>
      </w:pPr>
      <w:r>
        <w:rPr/>
        <w:t>详见附件：磋商方案说明</w:t>
      </w:r>
    </w:p>
    <w:p>
      <w:pPr>
        <w:pStyle w:val="null3"/>
        <w:ind w:firstLine="960"/>
      </w:pPr>
      <w:r>
        <w:rPr/>
        <w:t>详见附件：供应商承诺书</w:t>
      </w:r>
    </w:p>
    <w:p>
      <w:pPr>
        <w:pStyle w:val="null3"/>
        <w:ind w:firstLine="960"/>
      </w:pPr>
      <w:r>
        <w:rPr/>
        <w:t>详见附件：商务要求（合同草案条款）偏离表</w:t>
      </w:r>
    </w:p>
    <w:p>
      <w:pPr>
        <w:pStyle w:val="null3"/>
        <w:ind w:firstLine="960"/>
      </w:pPr>
      <w:r>
        <w:rPr/>
        <w:t>详见附件：响应报价明细表</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详见附件：合同草案条款-上传.docx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