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版本号：241205001</w:t>
      </w:r>
      <w:r>
        <w:br/>
      </w:r>
      <w:r>
        <w:br/>
      </w:r>
      <w:r>
        <w:br/>
      </w:r>
      <w:r>
        <w:br/>
      </w:r>
      <w:r>
        <w:br/>
      </w:r>
    </w:p>
    <w:p>
      <w:pPr>
        <w:pStyle w:val="null3"/>
        <w:jc w:val="center"/>
        <w:outlineLvl w:val="0"/>
      </w:pPr>
      <w:r>
        <w:rPr>
          <w:sz w:val="48"/>
          <w:b/>
        </w:rPr>
        <w:t>磋 商 文 件</w:t>
      </w:r>
      <w:r>
        <w:br/>
      </w:r>
      <w:r>
        <w:br/>
      </w:r>
      <w:r>
        <w:br/>
      </w:r>
    </w:p>
    <w:p>
      <w:pPr>
        <w:pStyle w:val="null3"/>
        <w:jc w:val="center"/>
        <w:outlineLvl w:val="1"/>
      </w:pPr>
      <w:r>
        <w:rPr>
          <w:sz w:val="36"/>
          <w:b/>
        </w:rPr>
        <w:t>（服务类）</w:t>
      </w:r>
      <w:r>
        <w:br/>
      </w:r>
      <w:r>
        <w:br/>
      </w:r>
      <w:r>
        <w:br/>
      </w:r>
      <w:r>
        <w:br/>
      </w:r>
      <w:r>
        <w:br/>
      </w:r>
      <w:r>
        <w:br/>
      </w:r>
      <w:r>
        <w:br/>
      </w:r>
      <w:r>
        <w:br/>
      </w:r>
      <w:r>
        <w:br/>
      </w:r>
      <w:r>
        <w:br/>
      </w:r>
      <w:r>
        <w:br/>
      </w:r>
    </w:p>
    <w:p>
      <w:pPr>
        <w:pStyle w:val="null3"/>
        <w:jc w:val="center"/>
        <w:outlineLvl w:val="2"/>
      </w:pPr>
      <w:r>
        <w:rPr>
          <w:sz w:val="28"/>
          <w:b/>
        </w:rPr>
        <w:t>采购项目名称：</w:t>
      </w:r>
      <w:r>
        <w:rPr>
          <w:sz w:val="28"/>
          <w:b/>
        </w:rPr>
        <w:t>西安市公安局智慧法制平台升级建设项目</w:t>
      </w:r>
    </w:p>
    <w:p>
      <w:pPr>
        <w:pStyle w:val="null3"/>
        <w:jc w:val="center"/>
        <w:outlineLvl w:val="2"/>
      </w:pPr>
      <w:r>
        <w:rPr>
          <w:sz w:val="28"/>
          <w:b/>
        </w:rPr>
        <w:t>采购项目编号：</w:t>
      </w:r>
      <w:r>
        <w:rPr>
          <w:sz w:val="28"/>
          <w:b/>
        </w:rPr>
        <w:t>ZCZX2024-CS-236</w:t>
      </w:r>
      <w:r>
        <w:br/>
      </w:r>
      <w:r>
        <w:br/>
      </w:r>
      <w:r>
        <w:br/>
      </w:r>
    </w:p>
    <w:p>
      <w:pPr>
        <w:pStyle w:val="null3"/>
        <w:jc w:val="center"/>
        <w:outlineLvl w:val="2"/>
      </w:pPr>
      <w:r>
        <w:rPr>
          <w:sz w:val="28"/>
          <w:b/>
        </w:rPr>
        <w:t>西安市公安局（本级）</w:t>
      </w:r>
    </w:p>
    <w:p>
      <w:pPr>
        <w:pStyle w:val="null3"/>
        <w:jc w:val="center"/>
        <w:outlineLvl w:val="2"/>
      </w:pPr>
      <w:r>
        <w:rPr>
          <w:sz w:val="28"/>
          <w:b/>
        </w:rPr>
        <w:t>陕西众诚致信管理咨询有限公司</w:t>
      </w:r>
      <w:r>
        <w:rPr>
          <w:sz w:val="28"/>
          <w:b/>
        </w:rPr>
        <w:t>共同编制</w:t>
      </w:r>
    </w:p>
    <w:p>
      <w:pPr>
        <w:pStyle w:val="null3"/>
        <w:jc w:val="center"/>
        <w:outlineLvl w:val="2"/>
      </w:pPr>
      <w:r>
        <w:rPr>
          <w:sz w:val="28"/>
          <w:b/>
        </w:rPr>
        <w:t>2024年12月05日</w:t>
      </w:r>
    </w:p>
    <w:p>
      <w:pPr>
        <w:pStyle w:val="null3"/>
      </w:pPr>
      <w:r>
        <w:rPr/>
        <w:t xml:space="preserve"> </w:t>
        <w:br/>
        <w:br w:type="page"/>
      </w:r>
    </w:p>
    <w:p>
      <w:pPr>
        <w:pStyle w:val="null3"/>
        <w:jc w:val="center"/>
        <w:outlineLvl w:val="1"/>
      </w:pPr>
      <w:r>
        <w:rPr>
          <w:sz w:val="36"/>
          <w:b/>
        </w:rPr>
        <w:t>第一章 竞争性磋商邀请</w:t>
      </w:r>
    </w:p>
    <w:p>
      <w:pPr>
        <w:pStyle w:val="null3"/>
        <w:ind w:firstLine="480"/>
      </w:pPr>
      <w:r>
        <w:rPr/>
        <w:t>陕西众诚致信管理咨询有限公司</w:t>
      </w:r>
      <w:r>
        <w:rPr/>
        <w:t>（以下简称“代理机构”）受</w:t>
      </w:r>
      <w:r>
        <w:rPr/>
        <w:t>西安市公安局（本级）</w:t>
      </w:r>
      <w:r>
        <w:rPr/>
        <w:t>委托，拟对</w:t>
      </w:r>
      <w:r>
        <w:rPr/>
        <w:t>西安市公安局智慧法制平台升级建设项目</w:t>
      </w:r>
      <w:r>
        <w:rPr/>
        <w:t>采用竞争性磋商采购方式进行采购，兹邀请供应商参加本项目的竞争性磋商。</w:t>
      </w:r>
    </w:p>
    <w:p>
      <w:pPr>
        <w:pStyle w:val="null3"/>
        <w:outlineLvl w:val="2"/>
      </w:pPr>
      <w:r>
        <w:rPr>
          <w:sz w:val="28"/>
          <w:b/>
        </w:rPr>
        <w:t>一、项目编号：</w:t>
      </w:r>
      <w:r>
        <w:rPr>
          <w:sz w:val="28"/>
          <w:b/>
        </w:rPr>
        <w:t>ZCZX2024-CS-236</w:t>
      </w:r>
    </w:p>
    <w:p>
      <w:pPr>
        <w:pStyle w:val="null3"/>
        <w:outlineLvl w:val="2"/>
      </w:pPr>
      <w:r>
        <w:rPr>
          <w:sz w:val="28"/>
          <w:b/>
        </w:rPr>
        <w:t>二、项目名称：</w:t>
      </w:r>
      <w:r>
        <w:rPr>
          <w:sz w:val="28"/>
          <w:b/>
        </w:rPr>
        <w:t>西安市公安局智慧法制平台升级建设项目</w:t>
      </w:r>
    </w:p>
    <w:p>
      <w:pPr>
        <w:pStyle w:val="null3"/>
        <w:outlineLvl w:val="2"/>
      </w:pPr>
      <w:r>
        <w:rPr>
          <w:sz w:val="28"/>
          <w:b/>
        </w:rPr>
        <w:t>三、磋商项目简介</w:t>
      </w:r>
    </w:p>
    <w:p>
      <w:pPr>
        <w:pStyle w:val="null3"/>
        <w:ind w:firstLine="480"/>
      </w:pPr>
      <w:r>
        <w:rPr/>
        <w:t>由于陕西省公安厅执法办案平台更新，基础数据发生改变，需要对新执法办案平台进行数据对接以及对智慧法制系统进行相应的功能调整，以适应省厅新办案平台。依托本项目需要将数据从新办案系统同步到正式系统；将涉及新增无法映射数据的模块改造；对历史数据保留，将新的办案平台数据按照现有的数据模式进行治理。同时开发执法办案积分系统，根据执法办案单位和执法岗位民警的执法数量、质量、效率、效果、能力等情况，设置相应的积分标准，进行定期或者实时统计、综合评判、积分量化，以此积分为重要依据衡量执法绩效、落实奖惩措施。</w:t>
      </w:r>
    </w:p>
    <w:p>
      <w:pPr>
        <w:pStyle w:val="null3"/>
        <w:outlineLvl w:val="2"/>
      </w:pPr>
      <w:r>
        <w:rPr>
          <w:sz w:val="28"/>
          <w:b/>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落实政府采购促进中小企业发展的相关政策：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磋商授权：供应商应授权合法的人员参加磋商全过程，其中法定代表人（或负责人）直接参加磋商的，须出具法定代表人（或负责人）身份证，并与营业执照上信息一致。法定代表人（或负责人）授权代表参加磋商的，须出具法定代表人（或负责人）授权书</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t xml:space="preserve"> 注：获取的磋商文件主体格式包括pdf、word两种格式版本，其中以pdf格式为准。</w:t>
      </w:r>
    </w:p>
    <w:p>
      <w:pPr>
        <w:pStyle w:val="null3"/>
        <w:outlineLvl w:val="2"/>
      </w:pPr>
      <w:r>
        <w:rPr>
          <w:sz w:val="28"/>
          <w:b/>
        </w:rPr>
        <w:t>八、首次响应文件提交截止时间及开启时间、地点、方式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西安市公安局（本级）</w:t>
      </w:r>
    </w:p>
    <w:p>
      <w:pPr>
        <w:pStyle w:val="null3"/>
      </w:pPr>
      <w:r>
        <w:rPr/>
        <w:t xml:space="preserve"> 地址： </w:t>
      </w:r>
      <w:r>
        <w:rPr/>
        <w:t>西安市西大街63号</w:t>
      </w:r>
    </w:p>
    <w:p>
      <w:pPr>
        <w:pStyle w:val="null3"/>
      </w:pPr>
      <w:r>
        <w:rPr/>
        <w:t xml:space="preserve"> 邮编： </w:t>
      </w:r>
      <w:r>
        <w:rPr/>
        <w:t>710000</w:t>
      </w:r>
    </w:p>
    <w:p>
      <w:pPr>
        <w:pStyle w:val="null3"/>
      </w:pPr>
      <w:r>
        <w:rPr/>
        <w:t xml:space="preserve"> 联系人： </w:t>
      </w:r>
      <w:r>
        <w:rPr/>
        <w:t>梁栩</w:t>
      </w:r>
    </w:p>
    <w:p>
      <w:pPr>
        <w:pStyle w:val="null3"/>
      </w:pPr>
      <w:r>
        <w:rPr/>
        <w:t xml:space="preserve"> 联系电话： </w:t>
      </w:r>
      <w:r>
        <w:rPr/>
        <w:t xml:space="preserve"> 029-86751485</w:t>
      </w:r>
    </w:p>
    <w:p>
      <w:pPr>
        <w:pStyle w:val="null3"/>
        <w:outlineLvl w:val="3"/>
      </w:pPr>
      <w:r>
        <w:rPr>
          <w:sz w:val="24"/>
          <w:b/>
        </w:rPr>
        <w:t>代理机构：</w:t>
      </w:r>
      <w:r>
        <w:rPr>
          <w:sz w:val="24"/>
          <w:b/>
        </w:rPr>
        <w:t>陕西众诚致信管理咨询有限公司</w:t>
      </w:r>
    </w:p>
    <w:p>
      <w:pPr>
        <w:pStyle w:val="null3"/>
      </w:pPr>
      <w:r>
        <w:rPr/>
        <w:t xml:space="preserve"> 地址： </w:t>
      </w:r>
      <w:r>
        <w:rPr/>
        <w:t>西安曲江新区翠华南路1688号创意盒子13层1304室</w:t>
      </w:r>
    </w:p>
    <w:p>
      <w:pPr>
        <w:pStyle w:val="null3"/>
      </w:pPr>
      <w:r>
        <w:rPr/>
        <w:t xml:space="preserve"> 邮编： </w:t>
      </w:r>
      <w:r>
        <w:rPr/>
        <w:t>710061</w:t>
      </w:r>
    </w:p>
    <w:p>
      <w:pPr>
        <w:pStyle w:val="null3"/>
      </w:pPr>
      <w:r>
        <w:rPr/>
        <w:t xml:space="preserve"> 联系人： </w:t>
      </w:r>
      <w:r>
        <w:rPr/>
        <w:t>吴芳超、高蕊玲</w:t>
      </w:r>
    </w:p>
    <w:p>
      <w:pPr>
        <w:pStyle w:val="null3"/>
      </w:pPr>
      <w:r>
        <w:rPr/>
        <w:t xml:space="preserve"> 联系电话： </w:t>
      </w:r>
      <w:r>
        <w:rPr/>
        <w:t>029-89565998</w:t>
      </w:r>
    </w:p>
    <w:p>
      <w:pPr>
        <w:pStyle w:val="null3"/>
        <w:outlineLvl w:val="3"/>
      </w:pPr>
      <w:r>
        <w:rPr>
          <w:sz w:val="24"/>
          <w:b/>
        </w:rPr>
        <w:t>采购监督机构：</w:t>
      </w:r>
      <w:r>
        <w:rPr>
          <w:sz w:val="24"/>
          <w:b/>
        </w:rPr>
        <w:t>西安市财政局政府采购管理处</w:t>
      </w:r>
    </w:p>
    <w:p>
      <w:pPr>
        <w:pStyle w:val="null3"/>
        <w:ind w:firstLine="480"/>
      </w:pPr>
      <w:r>
        <w:rPr/>
        <w:t>联系人：</w:t>
      </w:r>
      <w:r>
        <w:rPr/>
        <w:t>杜新星</w:t>
      </w:r>
    </w:p>
    <w:p>
      <w:pPr>
        <w:pStyle w:val="null3"/>
        <w:ind w:firstLine="480"/>
      </w:pPr>
      <w:r>
        <w:rPr/>
        <w:t>联系电话：</w:t>
      </w:r>
      <w:r>
        <w:rPr/>
        <w:t>029-89821846</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采购包1：1,453,400.00元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w:t>
            </w:r>
            <w:r>
              <w:rPr/>
              <w:t>产品属于节能产品政府采购品目清单中应强制采购的产品范围，供应商应当提供国家确定的认证机构出具的、处于有效期之内的节能产品认证证书，否则作无效响应处理。</w:t>
            </w:r>
          </w:p>
          <w:p>
            <w:pPr>
              <w:pStyle w:val="null3"/>
            </w:pPr>
            <w:r>
              <w:rPr/>
              <w:t xml:space="preserve"> 3.本项目采购的</w:t>
            </w:r>
            <w:r>
              <w:rPr/>
              <w:t>/</w:t>
            </w:r>
            <w:r>
              <w:rPr/>
              <w:t>产品属于节能产品政府采购品目清单中应优先采购的产品范围，本项目采购的</w:t>
            </w:r>
            <w:r>
              <w:rPr/>
              <w:t>/</w:t>
            </w:r>
            <w:r>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t>核心产品清单详见第三章。</w:t>
            </w:r>
          </w:p>
          <w:p>
            <w:pPr>
              <w:pStyle w:val="null3"/>
            </w:pPr>
            <w:r>
              <w:rPr/>
              <w:t>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采购包1：缴纳</w:t>
            </w:r>
          </w:p>
          <w:p>
            <w:pPr>
              <w:pStyle w:val="null3"/>
            </w:pPr>
            <w:r>
              <w:rPr/>
              <w:t>本采购包履约保证金为合同金额的10.0%</w:t>
            </w:r>
          </w:p>
          <w:p>
            <w:pPr>
              <w:pStyle w:val="null3"/>
            </w:pPr>
            <w:r>
              <w:rPr/>
              <w:t>说明：本项目需递交履约保证金，递交形式要求为纸质保函。 履约保证金金额为本项目成交价的10%，由成交供应商在领取成交通知书后5个工作日内将银行开具的履约保函原件递交至采购人。</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提交首次响应文件的截止之日起不少于</w:t>
            </w:r>
            <w:r>
              <w:rPr/>
              <w:t>60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参照国家计委关于印发《招标代理服务收费管理暂行办法》的通知（计价格〔2002〕1980号）、《国家发展和改革委员会办公厅关于招标代理服务收费有关问题的通知》（发改办价格〔2003〕857号）规定向中标（成交）供应商收取代理服务费。</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出现下列情形之一的，采购人或者代理机构应当中止电子化采购活动，并保留相关证明材料备查： </w:t>
            </w:r>
          </w:p>
          <w:p>
            <w:pPr>
              <w:pStyle w:val="null3"/>
            </w:pPr>
            <w:r>
              <w:rPr/>
              <w:t>（一）交易系统发生故障（包括感染病毒、应用或数据库出错）而无法正常使用的；</w:t>
            </w:r>
          </w:p>
          <w:p>
            <w:pPr>
              <w:pStyle w:val="null3"/>
            </w:pPr>
            <w:r>
              <w:rPr/>
              <w:t>（二）因组织场所停电、断网等原因，导致采购活动无法继续通过交易系统实施的；</w:t>
            </w:r>
          </w:p>
          <w:p>
            <w:pPr>
              <w:pStyle w:val="null3"/>
            </w:pPr>
            <w:r>
              <w:rPr/>
              <w:t>（三）其他无法保证电子化交易的公平、公正和安全的情况。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西安市公安局（本级）</w:t>
      </w:r>
      <w:r>
        <w:rPr/>
        <w:t>和</w:t>
      </w:r>
      <w:r>
        <w:rPr/>
        <w:t>陕西众诚致信管理咨询有限公司</w:t>
      </w:r>
      <w:r>
        <w:rPr/>
        <w:t>享有。对磋商文件中供应商参加本次政府采购活动应当具备的条件，磋商项目技术、服务、商务及其他要求，评审细则及标准由</w:t>
      </w:r>
      <w:r>
        <w:rPr/>
        <w:t>西安市公安局（本级）</w:t>
      </w:r>
      <w:r>
        <w:rPr/>
        <w:t>负责解释。除上述磋商文件内容，其他内容由</w:t>
      </w:r>
      <w:r>
        <w:rPr/>
        <w:t>陕西众诚致信管理咨询有限公司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一、“采购人”是指依法进行政府采购的各级国家机关、事业单位、团体组织。本次磋商的采购人是</w:t>
      </w:r>
      <w:r>
        <w:rPr/>
        <w:t>西安市公安局（本级）</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陕西众诚致信管理咨询有限公司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sz w:val="24"/>
          <w:b/>
        </w:rPr>
        <w:t xml:space="preserve"> 2.2.3响应费用（实质性要求）</w:t>
      </w:r>
    </w:p>
    <w:p>
      <w:pPr>
        <w:pStyle w:val="null3"/>
        <w:ind w:firstLine="480"/>
      </w:pPr>
      <w:r>
        <w:rPr/>
        <w:t>供应商应自行承担参加竞争性磋商采购活动的全部费用。</w:t>
      </w:r>
    </w:p>
    <w:p>
      <w:pPr>
        <w:pStyle w:val="null3"/>
        <w:outlineLvl w:val="2"/>
      </w:pPr>
      <w:r>
        <w:rPr>
          <w:sz w:val="28"/>
          <w:b/>
        </w:rPr>
        <w:t>2.3磋商文件</w:t>
      </w:r>
    </w:p>
    <w:p>
      <w:pPr>
        <w:pStyle w:val="null3"/>
        <w:outlineLvl w:val="3"/>
      </w:pPr>
      <w:r>
        <w:rPr>
          <w:sz w:val="24"/>
          <w:b/>
        </w:rPr>
        <w:t xml:space="preserve"> 2.3.1磋商文件的构成</w:t>
      </w:r>
    </w:p>
    <w:p>
      <w:pPr>
        <w:pStyle w:val="null3"/>
        <w:ind w:firstLine="480"/>
      </w:pPr>
      <w:r>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sz w:val="24"/>
          <w:b/>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ind w:firstLine="480"/>
        <w:jc w:val="left"/>
      </w:pPr>
      <w:r>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除磋商文件中另有规定外，本项目均采用国家法定的计量单位。</w:t>
      </w:r>
    </w:p>
    <w:p>
      <w:pPr>
        <w:pStyle w:val="null3"/>
        <w:outlineLvl w:val="3"/>
      </w:pPr>
      <w:r>
        <w:rPr>
          <w:sz w:val="24"/>
          <w:b/>
        </w:rPr>
        <w:t>2.4.3响应货币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sz w:val="24"/>
          <w:b/>
        </w:rPr>
        <w:t>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sz w:val="24"/>
          <w:b/>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sz w:val="24"/>
          <w:b/>
        </w:rPr>
        <w:t>2.4.7响应报价（实质性要求）</w:t>
      </w:r>
    </w:p>
    <w:p>
      <w:pPr>
        <w:pStyle w:val="null3"/>
        <w:ind w:firstLine="480"/>
      </w:pPr>
      <w:r>
        <w:rPr/>
        <w:t xml:space="preserve"> 一、供应商的报价是供应商响应磋商项目要求的全部工作内容的价格体现，包括供应商完成本项目所需的一切费用。</w:t>
      </w:r>
    </w:p>
    <w:p>
      <w:pPr>
        <w:pStyle w:val="null3"/>
        <w:ind w:firstLine="480"/>
      </w:pPr>
      <w:r>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sz w:val="24"/>
          <w:b/>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2.5开启、资格审查、磋商和确定成交供应商</w:t>
      </w:r>
    </w:p>
    <w:p>
      <w:pPr>
        <w:pStyle w:val="null3"/>
        <w:outlineLvl w:val="3"/>
      </w:pPr>
      <w:r>
        <w:rPr>
          <w:sz w:val="24"/>
          <w:b/>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jc w:val="left"/>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详见磋商文件第四章。</w:t>
      </w:r>
    </w:p>
    <w:p>
      <w:pPr>
        <w:pStyle w:val="null3"/>
        <w:outlineLvl w:val="3"/>
      </w:pPr>
      <w:r>
        <w:rPr>
          <w:sz w:val="24"/>
          <w:b/>
        </w:rPr>
        <w:t>2.5.4磋商</w:t>
      </w:r>
    </w:p>
    <w:p>
      <w:pPr>
        <w:pStyle w:val="null3"/>
        <w:ind w:firstLine="480"/>
      </w:pPr>
      <w:r>
        <w:rPr/>
        <w:t>详见磋商文件第六章。</w:t>
      </w:r>
    </w:p>
    <w:p>
      <w:pPr>
        <w:pStyle w:val="null3"/>
        <w:outlineLvl w:val="3"/>
      </w:pPr>
      <w:r>
        <w:rPr>
          <w:sz w:val="24"/>
          <w:b/>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sz w:val="24"/>
          <w:b/>
        </w:rPr>
        <w:t>2.6.6履行合同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2.6.7履约验收方案</w:t>
      </w:r>
    </w:p>
    <w:p>
      <w:pPr>
        <w:pStyle w:val="null3"/>
      </w:pPr>
      <w:r>
        <w:rPr/>
        <w:t>采购包1：</w:t>
      </w:r>
    </w:p>
    <w:p>
      <w:pPr>
        <w:pStyle w:val="null3"/>
      </w:pPr>
      <w:r>
        <w:rPr/>
        <w:t>详见合同文本</w:t>
      </w:r>
    </w:p>
    <w:p>
      <w:pPr>
        <w:pStyle w:val="null3"/>
        <w:outlineLvl w:val="3"/>
      </w:pPr>
      <w:r>
        <w:rPr>
          <w:sz w:val="24"/>
          <w:b/>
        </w:rPr>
        <w:t>2.6.8资金支付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sz w:val="24"/>
          <w:b/>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八、未按照磋商文件确定的事项签订政府采购合同；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供应商有上述情形的，按照规定追究法律责任，具有前述一至十一条情形之一的，其响应文件无效，或取消被确认为成交供应商的资格或认定成交无效。</w:t>
      </w:r>
    </w:p>
    <w:p>
      <w:pPr>
        <w:pStyle w:val="null3"/>
        <w:outlineLvl w:val="3"/>
      </w:pPr>
      <w:r>
        <w:rPr>
          <w:sz w:val="24"/>
          <w:b/>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陕西众诚致信管理咨询有限公司</w:t>
      </w:r>
      <w:r>
        <w:rPr/>
        <w:t xml:space="preserve"> 负责答复；供应商对除采购需求外的采购文件的询问、质疑由</w:t>
      </w:r>
      <w:r>
        <w:rPr/>
        <w:t>陕西众诚致信管理咨询有限公司</w:t>
      </w:r>
      <w:r>
        <w:rPr/>
        <w:t xml:space="preserve"> 负责答复；供应商对采购过程、采购结果的询问、质疑由 </w:t>
      </w:r>
      <w:r>
        <w:rPr/>
        <w:t>陕西众诚致信管理咨询有限公司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t xml:space="preserve"> （一）对可以质疑的采购文件提出质疑的，为收到采购文件之日或者采购文件公告期限届满之日；</w:t>
      </w:r>
    </w:p>
    <w:p>
      <w:pPr>
        <w:pStyle w:val="null3"/>
        <w:ind w:firstLine="480"/>
        <w:jc w:val="left"/>
      </w:pPr>
      <w:r>
        <w:rPr/>
        <w:t>（二）对采购过程提出质疑的，为各采购程序环节结束之日；</w:t>
      </w:r>
    </w:p>
    <w:p>
      <w:pPr>
        <w:pStyle w:val="null3"/>
        <w:ind w:firstLine="480"/>
        <w:jc w:val="left"/>
      </w:pPr>
      <w:r>
        <w:rPr/>
        <w:t xml:space="preserve"> （三）对中标或者成交结果提出质疑的，为中标或者成交结果公告期限届满之日。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ind w:firstLine="480"/>
      </w:pPr>
      <w:r>
        <w:rPr/>
        <w:t>接收质疑函方式：书面形式。</w:t>
      </w:r>
    </w:p>
    <w:p>
      <w:pPr>
        <w:pStyle w:val="null3"/>
      </w:pPr>
      <w:r>
        <w:rPr/>
        <w:t>答复主体：代理机构</w:t>
      </w:r>
    </w:p>
    <w:p>
      <w:pPr>
        <w:pStyle w:val="null3"/>
      </w:pPr>
      <w:r>
        <w:rPr/>
        <w:t>联系人：吴芳超</w:t>
      </w:r>
    </w:p>
    <w:p>
      <w:pPr>
        <w:pStyle w:val="null3"/>
      </w:pPr>
      <w:r>
        <w:rPr/>
        <w:t>联系电话：029-89565998</w:t>
      </w:r>
    </w:p>
    <w:p>
      <w:pPr>
        <w:pStyle w:val="null3"/>
      </w:pPr>
      <w:r>
        <w:rPr/>
        <w:t>地址：西安曲江新区翠华南路1688号创意盒子13层1304室</w:t>
      </w:r>
    </w:p>
    <w:p>
      <w:pPr>
        <w:pStyle w:val="null3"/>
      </w:pPr>
      <w:r>
        <w:rPr/>
        <w:t>邮编：710061</w:t>
      </w:r>
    </w:p>
    <w:p>
      <w:pPr>
        <w:pStyle w:val="null3"/>
        <w:ind w:firstLine="480"/>
      </w:pPr>
      <w:r>
        <w:rPr/>
        <w:t>注：根据《中华人民共和国政府采购法》的规定，供应商质疑不得超出磋商文件、采购过程、采购结果的范围。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3.1采购项目概况</w:t>
      </w:r>
    </w:p>
    <w:p>
      <w:pPr>
        <w:pStyle w:val="null3"/>
        <w:ind w:firstLine="480"/>
      </w:pPr>
      <w:r>
        <w:rPr>
          <w:rFonts w:ascii="宋体" w:hAnsi="宋体" w:cs="宋体" w:eastAsia="宋体"/>
          <w:sz w:val="20"/>
        </w:rPr>
        <w:t>由于陕西省公安厅执法办案平台更新，基础数据发生改变，需要对新执法办案平台进行数据对接以及对智慧法制系统进行相应的功能调整，以适应省厅新办案平台。依托本项目需要将数据从新办案系统同步到正式系统；将涉及新增无法映射数据的模块改造；对历史数据保留，将新的办案平台数据按照现有的数据模式进行治理。同时开发执法办案积分系统，根据执法办案单位和执法岗位民警的执法数量、质量、效率、效果、能力等情况，设置相应的积分标准，进行定期或者实时统计、综合评判、积分量化，以此积分为重要依据衡量执法绩效、落实奖惩措施。</w:t>
      </w:r>
    </w:p>
    <w:p>
      <w:pPr>
        <w:pStyle w:val="null3"/>
        <w:outlineLvl w:val="2"/>
      </w:pPr>
      <w:r>
        <w:rPr>
          <w:sz w:val="28"/>
          <w:b/>
        </w:rPr>
        <w:t>3.2服务内容及服务要求</w:t>
      </w:r>
    </w:p>
    <w:p>
      <w:pPr>
        <w:pStyle w:val="null3"/>
        <w:outlineLvl w:val="3"/>
      </w:pPr>
      <w:r>
        <w:rPr>
          <w:sz w:val="24"/>
          <w:b/>
        </w:rPr>
        <w:t>3.2.1服务内容</w:t>
      </w:r>
    </w:p>
    <w:p>
      <w:pPr>
        <w:pStyle w:val="null3"/>
      </w:pPr>
      <w:r>
        <w:rPr/>
        <w:t>采购包1：</w:t>
      </w:r>
    </w:p>
    <w:p>
      <w:pPr>
        <w:pStyle w:val="null3"/>
      </w:pPr>
      <w:r>
        <w:rPr/>
        <w:t>采购包预算金额（元）: 1,453,400.00</w:t>
      </w:r>
    </w:p>
    <w:p>
      <w:pPr>
        <w:pStyle w:val="null3"/>
      </w:pPr>
      <w:r>
        <w:rPr/>
        <w:t>采购包最高限价（元）: 1,453,400.00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服务</w:t>
            </w:r>
          </w:p>
        </w:tc>
        <w:tc>
          <w:tcPr>
            <w:tcW w:type="dxa" w:w="831"/>
          </w:tcPr>
          <w:p>
            <w:pPr>
              <w:pStyle w:val="null3"/>
              <w:jc w:val="right"/>
            </w:pPr>
            <w:r>
              <w:rPr/>
              <w:t>1.00</w:t>
            </w:r>
          </w:p>
        </w:tc>
        <w:tc>
          <w:tcPr>
            <w:tcW w:type="dxa" w:w="831"/>
          </w:tcPr>
          <w:p>
            <w:pPr>
              <w:pStyle w:val="null3"/>
              <w:jc w:val="right"/>
            </w:pPr>
            <w:r>
              <w:rPr/>
              <w:t>1,453,400.00</w:t>
            </w:r>
          </w:p>
        </w:tc>
        <w:tc>
          <w:tcPr>
            <w:tcW w:type="dxa" w:w="831"/>
          </w:tcPr>
          <w:p>
            <w:pPr>
              <w:pStyle w:val="null3"/>
            </w:pPr>
            <w:r>
              <w:rPr/>
              <w:t>项</w:t>
            </w:r>
          </w:p>
        </w:tc>
        <w:tc>
          <w:tcPr>
            <w:tcW w:type="dxa" w:w="831"/>
          </w:tcPr>
          <w:p>
            <w:pPr>
              <w:pStyle w:val="null3"/>
            </w:pPr>
            <w:r>
              <w:rPr/>
              <w:t>软件和信息技术服务业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t>详见采购文件</w:t>
            </w:r>
          </w:p>
        </w:tc>
      </w:tr>
      <w:tr>
        <w:tc>
          <w:tcPr>
            <w:tcW w:type="dxa" w:w="2769"/>
          </w:tcPr>
          <w:p/>
        </w:tc>
        <w:tc>
          <w:tcPr>
            <w:tcW w:type="dxa" w:w="2769"/>
          </w:tcPr>
          <w:p>
            <w:pPr>
              <w:pStyle w:val="null3"/>
            </w:pPr>
            <w:r>
              <w:rPr/>
              <w:t>2</w:t>
            </w:r>
          </w:p>
        </w:tc>
        <w:tc>
          <w:tcPr>
            <w:tcW w:type="dxa" w:w="2769"/>
          </w:tcPr>
          <w:p>
            <w:pPr>
              <w:pStyle w:val="null3"/>
              <w:spacing w:before="120" w:after="120"/>
              <w:jc w:val="left"/>
            </w:pPr>
            <w:r>
              <w:rPr>
                <w:rFonts w:ascii="宋体" w:hAnsi="宋体" w:cs="宋体" w:eastAsia="宋体"/>
                <w:sz w:val="18"/>
                <w:b/>
              </w:rPr>
              <w:t>一、项目背景</w:t>
            </w:r>
          </w:p>
          <w:p>
            <w:pPr>
              <w:pStyle w:val="null3"/>
              <w:ind w:firstLine="360"/>
              <w:jc w:val="both"/>
            </w:pPr>
            <w:r>
              <w:rPr>
                <w:rFonts w:ascii="宋体" w:hAnsi="宋体" w:cs="宋体" w:eastAsia="宋体"/>
                <w:sz w:val="18"/>
              </w:rPr>
              <w:t>陕西省公安厅执法办案平台更新升级，西安市公安局现有智慧法制平台需要与省厅执法办案平台重新做数据对接，在此基础上按照公安部执法监督管理机制改革的要求，新增开发建设执法办案积分系统。</w:t>
            </w:r>
          </w:p>
          <w:p>
            <w:pPr>
              <w:pStyle w:val="null3"/>
              <w:spacing w:before="120" w:after="120"/>
              <w:jc w:val="left"/>
            </w:pPr>
            <w:r>
              <w:rPr>
                <w:rFonts w:ascii="宋体" w:hAnsi="宋体" w:cs="宋体" w:eastAsia="宋体"/>
                <w:sz w:val="18"/>
                <w:b/>
              </w:rPr>
              <w:t>二、建设目标</w:t>
            </w:r>
          </w:p>
          <w:p>
            <w:pPr>
              <w:pStyle w:val="null3"/>
              <w:ind w:firstLine="360"/>
              <w:jc w:val="both"/>
            </w:pPr>
            <w:r>
              <w:rPr>
                <w:rFonts w:ascii="宋体" w:hAnsi="宋体" w:cs="宋体" w:eastAsia="宋体"/>
                <w:sz w:val="18"/>
              </w:rPr>
              <w:t>由于陕西省公安厅执法办案平台更新，基础数据发生改变，需要对新执法办案平台进行数据对接以及对智慧法制系统进行相应的功能调整，以适应省厅新办案平台。依托本项目需要将数据从新办案系统同步到正式系统；将涉及新增无法映射数据的模块改造；对历史数据保留，将新的办案平台数据按照现有的数据模式进行治理。同时开发执法办案积分系统，根据执法办案单位和执法岗位民警的执法数量、质量、效率、效果、能力等情况，设置相应的积分标准，进行定期或者实时统计、综合评判、积分量化，以此积分为重要依据衡量执法绩效、落实奖惩措施。</w:t>
            </w:r>
          </w:p>
          <w:p>
            <w:pPr>
              <w:pStyle w:val="null3"/>
              <w:spacing w:before="120" w:after="120"/>
              <w:jc w:val="left"/>
            </w:pPr>
            <w:r>
              <w:rPr>
                <w:rFonts w:ascii="宋体" w:hAnsi="宋体" w:cs="宋体" w:eastAsia="宋体"/>
                <w:sz w:val="18"/>
                <w:b/>
              </w:rPr>
              <w:t>三、需求分析</w:t>
            </w:r>
          </w:p>
          <w:p>
            <w:pPr>
              <w:pStyle w:val="null3"/>
              <w:ind w:firstLine="360"/>
              <w:jc w:val="both"/>
            </w:pPr>
            <w:r>
              <w:rPr>
                <w:rFonts w:ascii="宋体" w:hAnsi="宋体" w:cs="宋体" w:eastAsia="宋体"/>
                <w:sz w:val="18"/>
              </w:rPr>
              <w:t>供应商需了解项目实际情况，确定项目的需求，识别项目的风险，以此作为依据提供相应的技术方案，为项目提供支撑。</w:t>
            </w:r>
          </w:p>
          <w:p>
            <w:pPr>
              <w:pStyle w:val="null3"/>
              <w:spacing w:before="120" w:after="120"/>
              <w:jc w:val="left"/>
            </w:pPr>
            <w:r>
              <w:rPr>
                <w:rFonts w:ascii="宋体" w:hAnsi="宋体" w:cs="宋体" w:eastAsia="宋体"/>
                <w:sz w:val="18"/>
                <w:b/>
              </w:rPr>
              <w:t>四、总体设计要求</w:t>
            </w:r>
          </w:p>
          <w:p>
            <w:pPr>
              <w:pStyle w:val="null3"/>
              <w:ind w:firstLine="360"/>
              <w:jc w:val="both"/>
            </w:pPr>
            <w:r>
              <w:rPr>
                <w:rFonts w:ascii="宋体" w:hAnsi="宋体" w:cs="宋体" w:eastAsia="宋体"/>
                <w:sz w:val="18"/>
              </w:rPr>
              <w:t>供应商需根据项目实际建设内容，以标准规范体系和安全保障体系为支撑，采用分层结构设计，根据项目规划提供总体架构、网络拓扑图，以及技术路线。</w:t>
            </w:r>
          </w:p>
          <w:p>
            <w:pPr>
              <w:pStyle w:val="null3"/>
              <w:spacing w:before="120" w:after="120"/>
              <w:jc w:val="left"/>
            </w:pPr>
            <w:r>
              <w:rPr>
                <w:rFonts w:ascii="宋体" w:hAnsi="宋体" w:cs="宋体" w:eastAsia="宋体"/>
                <w:sz w:val="18"/>
                <w:b/>
              </w:rPr>
              <w:t>五、建设需求</w:t>
            </w:r>
          </w:p>
          <w:p>
            <w:pPr>
              <w:pStyle w:val="null3"/>
              <w:spacing w:before="120" w:after="120"/>
              <w:jc w:val="left"/>
            </w:pPr>
            <w:r>
              <w:rPr>
                <w:rFonts w:ascii="宋体" w:hAnsi="宋体" w:cs="宋体" w:eastAsia="宋体"/>
                <w:sz w:val="18"/>
                <w:b/>
              </w:rPr>
              <w:t>1</w:t>
            </w:r>
            <w:r>
              <w:rPr>
                <w:rFonts w:ascii="宋体" w:hAnsi="宋体" w:cs="宋体" w:eastAsia="宋体"/>
                <w:sz w:val="18"/>
                <w:b/>
              </w:rPr>
              <w:t>、数据对接</w:t>
            </w:r>
          </w:p>
          <w:p>
            <w:pPr>
              <w:pStyle w:val="null3"/>
              <w:ind w:firstLine="360"/>
              <w:jc w:val="both"/>
            </w:pPr>
            <w:r>
              <w:rPr>
                <w:rFonts w:ascii="宋体" w:hAnsi="宋体" w:cs="宋体" w:eastAsia="宋体"/>
                <w:sz w:val="18"/>
              </w:rPr>
              <w:t>通过部署前置库对接方式，需实现省厅执法办案系统数据对接接入以及数据治理。</w:t>
            </w:r>
          </w:p>
          <w:p>
            <w:pPr>
              <w:pStyle w:val="null3"/>
              <w:spacing w:before="120" w:after="120"/>
              <w:jc w:val="left"/>
            </w:pPr>
            <w:r>
              <w:rPr>
                <w:rFonts w:ascii="宋体" w:hAnsi="宋体" w:cs="宋体" w:eastAsia="宋体"/>
                <w:sz w:val="18"/>
                <w:b/>
              </w:rPr>
              <w:t>1-1</w:t>
            </w:r>
            <w:r>
              <w:rPr>
                <w:rFonts w:ascii="宋体" w:hAnsi="宋体" w:cs="宋体" w:eastAsia="宋体"/>
                <w:sz w:val="18"/>
                <w:b/>
              </w:rPr>
              <w:t>、对接方案设计要求</w:t>
            </w:r>
          </w:p>
          <w:p>
            <w:pPr>
              <w:pStyle w:val="null3"/>
              <w:ind w:firstLine="360"/>
              <w:jc w:val="both"/>
            </w:pPr>
            <w:r>
              <w:rPr>
                <w:rFonts w:ascii="宋体" w:hAnsi="宋体" w:cs="宋体" w:eastAsia="宋体"/>
                <w:sz w:val="18"/>
              </w:rPr>
              <w:t>为减少系统的改动，需将新执法办案系统数据治理为现有的数据结构。将系统修改内容降到最少，现有的数据新数据都可以兼容展示，并且系统将不会停用。需新增维护警员基础信息的模块，但不会影响全市办案民警的使用。主要内容需包含数据对接方式、表字段核对、新旧平台数据比对、部门用户信息比对映射、数据集成开发平台升级部署（数据治理系统）、数据交换配置、页面调整、数据调整、新增维护模块。</w:t>
            </w:r>
          </w:p>
          <w:p>
            <w:pPr>
              <w:pStyle w:val="null3"/>
              <w:spacing w:before="120" w:after="120"/>
              <w:jc w:val="left"/>
            </w:pPr>
            <w:r>
              <w:rPr>
                <w:rFonts w:ascii="宋体" w:hAnsi="宋体" w:cs="宋体" w:eastAsia="宋体"/>
                <w:sz w:val="18"/>
                <w:b/>
              </w:rPr>
              <w:t>1-2</w:t>
            </w:r>
            <w:r>
              <w:rPr>
                <w:rFonts w:ascii="宋体" w:hAnsi="宋体" w:cs="宋体" w:eastAsia="宋体"/>
                <w:sz w:val="18"/>
                <w:b/>
              </w:rPr>
              <w:t>、详细对接要求</w:t>
            </w:r>
          </w:p>
          <w:p>
            <w:pPr>
              <w:pStyle w:val="null3"/>
              <w:ind w:firstLine="360"/>
              <w:jc w:val="both"/>
            </w:pPr>
            <w:r>
              <w:rPr>
                <w:rFonts w:ascii="宋体" w:hAnsi="宋体" w:cs="宋体" w:eastAsia="宋体"/>
                <w:sz w:val="18"/>
              </w:rPr>
              <w:t>需提供详细对接方案，主要内容需包含数据集成开发平台升级（数据治理系统）、数据接入调整、数据治理。</w:t>
            </w:r>
          </w:p>
          <w:p>
            <w:pPr>
              <w:pStyle w:val="null3"/>
              <w:spacing w:before="120" w:after="120"/>
              <w:jc w:val="left"/>
            </w:pPr>
            <w:r>
              <w:rPr>
                <w:rFonts w:ascii="宋体" w:hAnsi="宋体" w:cs="宋体" w:eastAsia="宋体"/>
                <w:sz w:val="18"/>
                <w:b/>
              </w:rPr>
              <w:t>2</w:t>
            </w:r>
            <w:r>
              <w:rPr>
                <w:rFonts w:ascii="宋体" w:hAnsi="宋体" w:cs="宋体" w:eastAsia="宋体"/>
                <w:sz w:val="18"/>
                <w:b/>
              </w:rPr>
              <w:t>、系统功能适配新老数据改造</w:t>
            </w:r>
          </w:p>
          <w:p>
            <w:pPr>
              <w:pStyle w:val="null3"/>
              <w:spacing w:before="120" w:after="120"/>
              <w:jc w:val="left"/>
            </w:pPr>
            <w:r>
              <w:rPr>
                <w:rFonts w:ascii="宋体" w:hAnsi="宋体" w:cs="宋体" w:eastAsia="宋体"/>
                <w:sz w:val="18"/>
                <w:b/>
              </w:rPr>
              <w:t>2-1</w:t>
            </w:r>
            <w:r>
              <w:rPr>
                <w:rFonts w:ascii="宋体" w:hAnsi="宋体" w:cs="宋体" w:eastAsia="宋体"/>
                <w:sz w:val="18"/>
                <w:b/>
              </w:rPr>
              <w:t>、执法监督</w:t>
            </w:r>
          </w:p>
          <w:p>
            <w:pPr>
              <w:pStyle w:val="null3"/>
              <w:ind w:firstLine="360"/>
              <w:jc w:val="both"/>
            </w:pPr>
            <w:r>
              <w:rPr>
                <w:rFonts w:ascii="宋体" w:hAnsi="宋体" w:cs="宋体" w:eastAsia="宋体"/>
                <w:sz w:val="18"/>
              </w:rPr>
              <w:t>执法监督平台通过与执法办案平台对接获取警情案件数据，需按照警情案件数据标准进行警情案件库设计建设，主要包含警情信息和案件信息两大类，其中警情信息包括：接警信息、处警信息、接处警涉警人员信息。案件信息包括：案件编号、案件名称、案件状态、涉案人员信息、警员信息。本次改造主要基于数据源和数据结构调整进行，涉及警情巡查、行政案件巡查和刑事案件巡查三大块。主要内容需包含警情巡查改造、行政案件巡查改造、刑事案件巡查改。</w:t>
            </w:r>
          </w:p>
          <w:p>
            <w:pPr>
              <w:pStyle w:val="null3"/>
              <w:spacing w:before="120" w:after="120"/>
              <w:jc w:val="left"/>
            </w:pPr>
            <w:r>
              <w:rPr>
                <w:rFonts w:ascii="宋体" w:hAnsi="宋体" w:cs="宋体" w:eastAsia="宋体"/>
                <w:sz w:val="18"/>
                <w:b/>
              </w:rPr>
              <w:t>2-2</w:t>
            </w:r>
            <w:r>
              <w:rPr>
                <w:rFonts w:ascii="宋体" w:hAnsi="宋体" w:cs="宋体" w:eastAsia="宋体"/>
                <w:sz w:val="18"/>
                <w:b/>
              </w:rPr>
              <w:t>、执法监督（交警）</w:t>
            </w:r>
          </w:p>
          <w:p>
            <w:pPr>
              <w:pStyle w:val="null3"/>
              <w:ind w:firstLine="360"/>
              <w:jc w:val="both"/>
            </w:pPr>
            <w:r>
              <w:rPr>
                <w:rFonts w:ascii="宋体" w:hAnsi="宋体" w:cs="宋体" w:eastAsia="宋体"/>
                <w:sz w:val="18"/>
              </w:rPr>
              <w:t>同执法监督模块，需包含警情巡查改造、行政案件巡查改造、刑事案件巡查改造模块。</w:t>
            </w:r>
          </w:p>
          <w:p>
            <w:pPr>
              <w:pStyle w:val="null3"/>
              <w:spacing w:before="120" w:after="120"/>
              <w:jc w:val="left"/>
            </w:pPr>
            <w:r>
              <w:rPr>
                <w:rFonts w:ascii="宋体" w:hAnsi="宋体" w:cs="宋体" w:eastAsia="宋体"/>
                <w:sz w:val="18"/>
                <w:b/>
              </w:rPr>
              <w:t>2-3</w:t>
            </w:r>
            <w:r>
              <w:rPr>
                <w:rFonts w:ascii="宋体" w:hAnsi="宋体" w:cs="宋体" w:eastAsia="宋体"/>
                <w:sz w:val="18"/>
                <w:b/>
              </w:rPr>
              <w:t>、研判分析</w:t>
            </w:r>
          </w:p>
          <w:p>
            <w:pPr>
              <w:pStyle w:val="null3"/>
              <w:ind w:firstLine="360"/>
              <w:jc w:val="both"/>
            </w:pPr>
            <w:r>
              <w:rPr>
                <w:rFonts w:ascii="宋体" w:hAnsi="宋体" w:cs="宋体" w:eastAsia="宋体"/>
                <w:sz w:val="18"/>
              </w:rPr>
              <w:t>需提供研判分析功能，主要内容需包含综合分析改造、智能统计改造。</w:t>
            </w:r>
          </w:p>
          <w:p>
            <w:pPr>
              <w:pStyle w:val="null3"/>
              <w:spacing w:before="120" w:after="120"/>
              <w:jc w:val="left"/>
            </w:pPr>
            <w:r>
              <w:rPr>
                <w:rFonts w:ascii="宋体" w:hAnsi="宋体" w:cs="宋体" w:eastAsia="宋体"/>
                <w:sz w:val="18"/>
                <w:b/>
              </w:rPr>
              <w:t>2-4</w:t>
            </w:r>
            <w:r>
              <w:rPr>
                <w:rFonts w:ascii="宋体" w:hAnsi="宋体" w:cs="宋体" w:eastAsia="宋体"/>
                <w:sz w:val="18"/>
                <w:b/>
              </w:rPr>
              <w:t>、地图数据处理</w:t>
            </w:r>
          </w:p>
          <w:p>
            <w:pPr>
              <w:pStyle w:val="null3"/>
              <w:ind w:firstLine="360"/>
              <w:jc w:val="both"/>
            </w:pPr>
            <w:r>
              <w:rPr>
                <w:rFonts w:ascii="宋体" w:hAnsi="宋体" w:cs="宋体" w:eastAsia="宋体"/>
                <w:sz w:val="18"/>
              </w:rPr>
              <w:t>根据新对接的数据源，需对执法监督绩效考核得分情况和全市预警分布情况进行数据和表结构对接调整，对地图数据重新过滤，调整地图编码信息，并对数据中的对应地点定位进行调整，实现调整后的数据提取查看功能。</w:t>
            </w:r>
          </w:p>
          <w:p>
            <w:pPr>
              <w:pStyle w:val="null3"/>
              <w:spacing w:before="120" w:after="120"/>
              <w:jc w:val="left"/>
            </w:pPr>
            <w:r>
              <w:rPr>
                <w:rFonts w:ascii="宋体" w:hAnsi="宋体" w:cs="宋体" w:eastAsia="宋体"/>
                <w:sz w:val="18"/>
                <w:b/>
              </w:rPr>
              <w:t>2-5</w:t>
            </w:r>
            <w:r>
              <w:rPr>
                <w:rFonts w:ascii="宋体" w:hAnsi="宋体" w:cs="宋体" w:eastAsia="宋体"/>
                <w:sz w:val="18"/>
                <w:b/>
              </w:rPr>
              <w:t>、执法办案积分系统（新建）</w:t>
            </w:r>
          </w:p>
          <w:p>
            <w:pPr>
              <w:pStyle w:val="null3"/>
              <w:ind w:firstLine="360"/>
              <w:jc w:val="both"/>
            </w:pPr>
            <w:r>
              <w:rPr>
                <w:rFonts w:ascii="宋体" w:hAnsi="宋体" w:cs="宋体" w:eastAsia="宋体"/>
                <w:sz w:val="18"/>
              </w:rPr>
              <w:t>积分系统与智慧法制平台的关系为：执法办案积分系统以智慧法制平台汇聚的各类数据为基础，通过制定积分指标和积分方案定期计算民警执法办案积分，支撑推进执法办案平台业务运行。</w:t>
            </w:r>
          </w:p>
          <w:p>
            <w:pPr>
              <w:pStyle w:val="null3"/>
              <w:ind w:firstLine="360"/>
              <w:jc w:val="both"/>
            </w:pPr>
            <w:r>
              <w:rPr>
                <w:rFonts w:ascii="宋体" w:hAnsi="宋体" w:cs="宋体" w:eastAsia="宋体"/>
                <w:sz w:val="18"/>
              </w:rPr>
              <w:t>需根据执法办案单位和执法岗位民警的执法数量、质量、效率、效果、能力情况，设置相应的积分标准，进行定期或者实时统计、综合评判、积分量化，以此积分为重要依据衡量执法绩效、落实奖惩措施。</w:t>
            </w:r>
          </w:p>
          <w:p>
            <w:pPr>
              <w:pStyle w:val="null3"/>
              <w:ind w:firstLine="360"/>
              <w:jc w:val="both"/>
            </w:pPr>
            <w:r>
              <w:rPr>
                <w:rFonts w:ascii="宋体" w:hAnsi="宋体" w:cs="宋体" w:eastAsia="宋体"/>
                <w:sz w:val="18"/>
                <w:b/>
              </w:rPr>
              <w:t>六、运维要求</w:t>
            </w:r>
          </w:p>
          <w:p>
            <w:pPr>
              <w:pStyle w:val="null3"/>
              <w:ind w:firstLine="360"/>
              <w:jc w:val="both"/>
            </w:pPr>
            <w:r>
              <w:rPr>
                <w:rFonts w:ascii="宋体" w:hAnsi="宋体" w:cs="宋体" w:eastAsia="宋体"/>
                <w:sz w:val="18"/>
              </w:rPr>
              <w:t>1</w:t>
            </w:r>
            <w:r>
              <w:rPr>
                <w:rFonts w:ascii="宋体" w:hAnsi="宋体" w:cs="宋体" w:eastAsia="宋体"/>
                <w:sz w:val="18"/>
              </w:rPr>
              <w:t>、提供1年的售后服务（时间自项目验收之日起计算）。</w:t>
            </w:r>
          </w:p>
          <w:p>
            <w:pPr>
              <w:pStyle w:val="null3"/>
              <w:ind w:firstLine="360"/>
              <w:jc w:val="both"/>
            </w:pPr>
            <w:r>
              <w:rPr>
                <w:rFonts w:ascii="宋体" w:hAnsi="宋体" w:cs="宋体" w:eastAsia="宋体"/>
                <w:sz w:val="18"/>
              </w:rPr>
              <w:t>2</w:t>
            </w:r>
            <w:r>
              <w:rPr>
                <w:rFonts w:ascii="宋体" w:hAnsi="宋体" w:cs="宋体" w:eastAsia="宋体"/>
                <w:sz w:val="18"/>
              </w:rPr>
              <w:t>、售后服务期内，在接到系统故障报修通知后，半小时内提出解决方案、2小时内修复（系统恢复正常运行）。工程师自收到故障接报后，在30分钟内响应以便获得紧急支援服务。</w:t>
            </w:r>
          </w:p>
          <w:p>
            <w:pPr>
              <w:pStyle w:val="null3"/>
              <w:ind w:firstLine="360"/>
              <w:jc w:val="both"/>
            </w:pPr>
            <w:r>
              <w:rPr>
                <w:rFonts w:ascii="宋体" w:hAnsi="宋体" w:cs="宋体" w:eastAsia="宋体"/>
                <w:sz w:val="18"/>
              </w:rPr>
              <w:t>3</w:t>
            </w:r>
            <w:r>
              <w:rPr>
                <w:rFonts w:ascii="宋体" w:hAnsi="宋体" w:cs="宋体" w:eastAsia="宋体"/>
                <w:sz w:val="18"/>
              </w:rPr>
              <w:t>、无论由于哪一方产生的问题而使系统发生不正常情况时，在得到通知后，全力协助公安机关使系统尽快恢复正常。</w:t>
            </w:r>
          </w:p>
          <w:p>
            <w:pPr>
              <w:pStyle w:val="null3"/>
              <w:ind w:firstLine="360"/>
              <w:jc w:val="both"/>
            </w:pPr>
            <w:r>
              <w:rPr>
                <w:rFonts w:ascii="宋体" w:hAnsi="宋体" w:cs="宋体" w:eastAsia="宋体"/>
                <w:sz w:val="18"/>
              </w:rPr>
              <w:t>4</w:t>
            </w:r>
            <w:r>
              <w:rPr>
                <w:rFonts w:ascii="宋体" w:hAnsi="宋体" w:cs="宋体" w:eastAsia="宋体"/>
                <w:sz w:val="18"/>
              </w:rPr>
              <w:t>、针对本项目提供长期技术支持，并在响应文件中提供详细的技术支持方式及方案（通过制定详细服务计划、对客户系统进行例行检查、现场系统监测及其他服务，避免系统发生问题）。</w:t>
            </w:r>
          </w:p>
          <w:p>
            <w:pPr>
              <w:pStyle w:val="null3"/>
              <w:ind w:firstLine="360"/>
              <w:jc w:val="both"/>
            </w:pPr>
            <w:r>
              <w:rPr>
                <w:rFonts w:ascii="宋体" w:hAnsi="宋体" w:cs="宋体" w:eastAsia="宋体"/>
                <w:sz w:val="18"/>
              </w:rPr>
              <w:t>5</w:t>
            </w:r>
            <w:r>
              <w:rPr>
                <w:rFonts w:ascii="宋体" w:hAnsi="宋体" w:cs="宋体" w:eastAsia="宋体"/>
                <w:sz w:val="18"/>
              </w:rPr>
              <w:t>、故障响应要求</w:t>
            </w:r>
          </w:p>
          <w:p>
            <w:pPr>
              <w:pStyle w:val="null3"/>
              <w:ind w:firstLine="360"/>
              <w:jc w:val="both"/>
            </w:pPr>
            <w:r>
              <w:rPr>
                <w:rFonts w:ascii="宋体" w:hAnsi="宋体" w:cs="宋体" w:eastAsia="宋体"/>
                <w:sz w:val="18"/>
              </w:rPr>
              <w:t>如出现紧急技术问题，在采购人提出服务请求后，应即时予以响应，每周7天24小时响应。在维护期内，对于监控系统的使用问题或突发故障，在收到业主函、电后，对突发性的故障，提供紧急抢修服务。</w:t>
            </w:r>
          </w:p>
          <w:p>
            <w:pPr>
              <w:pStyle w:val="null3"/>
              <w:ind w:firstLine="361"/>
              <w:jc w:val="both"/>
            </w:pPr>
            <w:r>
              <w:rPr>
                <w:rFonts w:ascii="宋体" w:hAnsi="宋体" w:cs="宋体" w:eastAsia="宋体"/>
                <w:sz w:val="18"/>
                <w:b/>
              </w:rPr>
              <w:t>七、合同履行期限</w:t>
            </w:r>
          </w:p>
          <w:p>
            <w:pPr>
              <w:pStyle w:val="null3"/>
            </w:pPr>
            <w:r>
              <w:rPr>
                <w:rFonts w:ascii="宋体" w:hAnsi="宋体" w:cs="宋体" w:eastAsia="宋体"/>
                <w:sz w:val="18"/>
              </w:rPr>
              <w:t>自合同签订之日起三个月内完成服务。</w:t>
            </w:r>
          </w:p>
        </w:tc>
      </w:tr>
    </w:tbl>
    <w:p>
      <w:pPr>
        <w:pStyle w:val="null3"/>
        <w:outlineLvl w:val="2"/>
      </w:pPr>
      <w:r>
        <w:rPr>
          <w:sz w:val="28"/>
          <w:b/>
        </w:rPr>
        <w:t>3.2.3人员配置要求</w:t>
      </w:r>
    </w:p>
    <w:p>
      <w:pPr>
        <w:pStyle w:val="null3"/>
      </w:pPr>
      <w:r>
        <w:rPr/>
        <w:t>采购包1：</w:t>
      </w:r>
    </w:p>
    <w:p>
      <w:pPr>
        <w:pStyle w:val="null3"/>
      </w:pPr>
      <w:r>
        <w:rPr/>
        <w:t>/</w:t>
      </w:r>
    </w:p>
    <w:p>
      <w:pPr>
        <w:pStyle w:val="null3"/>
        <w:outlineLvl w:val="2"/>
      </w:pPr>
      <w:r>
        <w:rPr>
          <w:sz w:val="28"/>
          <w:b/>
        </w:rPr>
        <w:t>3.2.4设施设备要求</w:t>
      </w:r>
    </w:p>
    <w:p>
      <w:pPr>
        <w:pStyle w:val="null3"/>
      </w:pPr>
      <w:r>
        <w:rPr/>
        <w:t>采购包1：</w:t>
      </w:r>
    </w:p>
    <w:p>
      <w:pPr>
        <w:pStyle w:val="null3"/>
      </w:pPr>
      <w:r>
        <w:rPr/>
        <w:t>/</w:t>
      </w:r>
    </w:p>
    <w:p>
      <w:pPr>
        <w:pStyle w:val="null3"/>
        <w:outlineLvl w:val="2"/>
      </w:pPr>
      <w:r>
        <w:rPr>
          <w:sz w:val="28"/>
          <w:b/>
        </w:rPr>
        <w:t>3.2.5其他要求</w:t>
      </w:r>
    </w:p>
    <w:p>
      <w:pPr>
        <w:pStyle w:val="null3"/>
      </w:pPr>
      <w:r>
        <w:rPr/>
        <w:t>采购包1：</w:t>
      </w:r>
    </w:p>
    <w:p>
      <w:pPr>
        <w:pStyle w:val="null3"/>
      </w:pPr>
      <w:r>
        <w:rPr/>
        <w:t>/</w:t>
      </w:r>
    </w:p>
    <w:p>
      <w:pPr>
        <w:pStyle w:val="null3"/>
        <w:outlineLvl w:val="2"/>
      </w:pPr>
      <w:r>
        <w:rPr>
          <w:sz w:val="28"/>
          <w:b/>
        </w:rPr>
        <w:t>3.3商务要求</w:t>
      </w:r>
    </w:p>
    <w:p>
      <w:pPr>
        <w:pStyle w:val="null3"/>
        <w:outlineLvl w:val="3"/>
      </w:pPr>
      <w:r>
        <w:rPr>
          <w:sz w:val="24"/>
          <w:b/>
        </w:rPr>
        <w:t>3.3.1服务期限</w:t>
      </w:r>
    </w:p>
    <w:p>
      <w:pPr>
        <w:pStyle w:val="null3"/>
      </w:pPr>
      <w:r>
        <w:rPr/>
        <w:t>采购包1：</w:t>
      </w:r>
    </w:p>
    <w:p>
      <w:pPr>
        <w:pStyle w:val="null3"/>
      </w:pPr>
      <w:r>
        <w:rPr/>
        <w:t>自合同签订之日起三个月内完成服务</w:t>
      </w:r>
    </w:p>
    <w:p>
      <w:pPr>
        <w:pStyle w:val="null3"/>
        <w:outlineLvl w:val="3"/>
      </w:pPr>
      <w:r>
        <w:rPr>
          <w:sz w:val="24"/>
          <w:b/>
        </w:rPr>
        <w:t>3.3.2服务地点</w:t>
      </w:r>
    </w:p>
    <w:p>
      <w:pPr>
        <w:pStyle w:val="null3"/>
      </w:pPr>
      <w:r>
        <w:rPr/>
        <w:t>采购包1：</w:t>
      </w:r>
    </w:p>
    <w:p>
      <w:pPr>
        <w:pStyle w:val="null3"/>
      </w:pPr>
      <w:r>
        <w:rPr/>
        <w:t>采购人指定地点</w:t>
      </w:r>
    </w:p>
    <w:p>
      <w:pPr>
        <w:pStyle w:val="null3"/>
        <w:outlineLvl w:val="3"/>
      </w:pPr>
      <w:r>
        <w:rPr>
          <w:sz w:val="24"/>
          <w:b/>
        </w:rPr>
        <w:t>3.3.3考核（验收）标准和方法</w:t>
      </w:r>
    </w:p>
    <w:p>
      <w:pPr>
        <w:pStyle w:val="null3"/>
      </w:pPr>
      <w:r>
        <w:rPr/>
        <w:t>采购包1：</w:t>
      </w:r>
    </w:p>
    <w:p>
      <w:pPr>
        <w:pStyle w:val="null3"/>
      </w:pPr>
      <w:r>
        <w:rPr/>
        <w:t>详见合同文本</w:t>
      </w:r>
    </w:p>
    <w:p>
      <w:pPr>
        <w:pStyle w:val="null3"/>
        <w:outlineLvl w:val="3"/>
      </w:pPr>
      <w:r>
        <w:rPr>
          <w:sz w:val="24"/>
          <w:b/>
        </w:rPr>
        <w:t>3.3.4支付方式</w:t>
      </w:r>
    </w:p>
    <w:p>
      <w:pPr>
        <w:pStyle w:val="null3"/>
      </w:pPr>
      <w:r>
        <w:rPr/>
        <w:t>采购包1：</w:t>
      </w:r>
    </w:p>
    <w:p>
      <w:pPr>
        <w:pStyle w:val="null3"/>
      </w:pPr>
      <w:r>
        <w:rPr/>
        <w:t>一次付清</w:t>
      </w:r>
    </w:p>
    <w:p>
      <w:pPr>
        <w:pStyle w:val="null3"/>
        <w:outlineLvl w:val="3"/>
      </w:pPr>
      <w:r>
        <w:rPr>
          <w:sz w:val="24"/>
          <w:b/>
        </w:rPr>
        <w:t>3.3.5支付约定</w:t>
      </w:r>
    </w:p>
    <w:p>
      <w:pPr>
        <w:pStyle w:val="null3"/>
      </w:pPr>
      <w:r>
        <w:rPr/>
        <w:t>采购包1：</w:t>
      </w:r>
      <w:r>
        <w:rPr/>
        <w:t xml:space="preserve"> 付款条件说明： </w:t>
      </w:r>
      <w:r>
        <w:rPr/>
        <w:t>合同签订后</w:t>
      </w:r>
      <w:r>
        <w:rPr/>
        <w:t xml:space="preserve"> ，达到付款条件起 </w:t>
      </w:r>
      <w:r>
        <w:rPr/>
        <w:t>30</w:t>
      </w:r>
      <w:r>
        <w:rPr/>
        <w:t xml:space="preserve"> 日内，支付合同总金额的 </w:t>
      </w:r>
      <w:r>
        <w:rPr/>
        <w:t>100.00</w:t>
      </w:r>
      <w:r>
        <w:rPr/>
        <w:t>%。</w:t>
      </w:r>
    </w:p>
    <w:p>
      <w:pPr>
        <w:pStyle w:val="null3"/>
        <w:outlineLvl w:val="3"/>
      </w:pPr>
      <w:r>
        <w:rPr>
          <w:sz w:val="24"/>
          <w:b/>
        </w:rPr>
        <w:t>3.3.6违约责任及解决争议的方法</w:t>
      </w:r>
    </w:p>
    <w:p>
      <w:pPr>
        <w:pStyle w:val="null3"/>
      </w:pPr>
      <w:r>
        <w:rPr/>
        <w:t>采购包1：</w:t>
      </w:r>
    </w:p>
    <w:p>
      <w:pPr>
        <w:pStyle w:val="null3"/>
      </w:pPr>
      <w:r>
        <w:rPr/>
        <w:t>详见合同文本</w:t>
      </w:r>
    </w:p>
    <w:p>
      <w:pPr>
        <w:pStyle w:val="null3"/>
        <w:outlineLvl w:val="2"/>
      </w:pPr>
      <w:r>
        <w:rPr>
          <w:sz w:val="28"/>
          <w:b/>
        </w:rPr>
        <w:t>3.4其他要求</w:t>
      </w:r>
    </w:p>
    <w:p>
      <w:pPr>
        <w:pStyle w:val="null3"/>
      </w:pPr>
      <w:r>
        <w:rPr/>
        <w:t>1、关于知识产权和保密事项 1-1、所有涉及知识产权的产品及设计，供应商必须确保委托人、采购人拥有其合法的、不受限制的无偿使用权，并免受任何侵权诉讼或索偿；否则，由此产生的一切经济损失和法律责任由供应商承担。 1-2、由采购人向供应商提供的用户需求书、图纸、样品、模型、模件和所有资料，供应商获得后，应对其保密。除非采购人同意，供应商不得向第三方透露或将其用于本次投 标以外的任何用途。开标后，若采购人有要求，供应商人须归还采购人认为需保密的文件和资料，并销毁所有相应的备份文件及资料。 2、评审现场人员的保密责任 在采购结果确定前，采购人、采购代理机构对评审委员会名单负有保密责任。评审委员会成员、采购人和集中采购代理机构工作人员、相关监督人员等与评审工作有关的人员，对评审情况以及在评审过程中获悉的国家秘密、商业秘密负有保密责任。 3、成交供应商在领取成交通知书前，需向采购代理机构提交纸质版响应文件三份，纸质版文件须为电子响应文件的打印版，封面加盖公司鲜章。</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1、供应商合法注册的法人或其他组织的营业执照等证明文件， 自然人的身份证明； 2、具有良好的商业信誉和健全的财务会计制度（提供2023年经审计的财务报告（成立时间至提交响应文件截止时间不足一年的可提供成立以来的资产负债表），或其基本存款账户开户银行出具的资信证明及基本存款账户信息），审计报告必须报备到注册会计师行业统一监管平台，并由该平台赋一个验证码（二维码）和编码； 3、具备履行合同所必需的设备和专业技术能力的证明材料或承诺书； 4、有依法缴纳税收和社会保障资金的良好记录相关证明材料； 5、参加政府采购活动前三年内，在经营活动中没有重大违法记录的书面声明。</w:t>
            </w:r>
          </w:p>
        </w:tc>
        <w:tc>
          <w:tcPr>
            <w:tcW w:type="dxa" w:w="1661"/>
          </w:tcPr>
          <w:p>
            <w:pPr>
              <w:pStyle w:val="null3"/>
            </w:pPr>
            <w:r>
              <w:rPr/>
              <w:t>资格证明文件 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具有良好的商业信誉和健全的财务会计制度(提供 2023年经审计的财务报告（成立时间至提交响应文件截止时间不足一年的可提供成立以来的资产负债表），或其基本存款账户开户银行出具的资信证明及基本存款账户信息），审计报告必须报备到注册会计师行业统一监管平台，并由该平台赋一个验证码（二维码）和编码。</w:t>
            </w:r>
          </w:p>
        </w:tc>
        <w:tc>
          <w:tcPr>
            <w:tcW w:type="dxa" w:w="1661"/>
          </w:tcPr>
          <w:p>
            <w:pPr>
              <w:pStyle w:val="null3"/>
            </w:pPr>
            <w:r>
              <w:rPr/>
              <w:t>资格证明文件</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供应商承诺书 响应函</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磋商授权</w:t>
            </w:r>
          </w:p>
        </w:tc>
        <w:tc>
          <w:tcPr>
            <w:tcW w:type="dxa" w:w="3322"/>
          </w:tcPr>
          <w:p>
            <w:pPr>
              <w:pStyle w:val="null3"/>
            </w:pPr>
            <w:r>
              <w:rPr/>
              <w:t>供应商应授权合法的人员参加磋商全过程，其中法定代表人（或负责人）直接参加磋商的，须出具法定代表人（或负责人）身份证，并与营业执照上信息一致。法定代表人（或负责人）授权代表参加磋商的，须出具法定代表人（或负责人）授权书</w:t>
            </w:r>
          </w:p>
        </w:tc>
        <w:tc>
          <w:tcPr>
            <w:tcW w:type="dxa" w:w="1661"/>
          </w:tcPr>
          <w:p>
            <w:pPr>
              <w:pStyle w:val="null3"/>
            </w:pPr>
            <w:r>
              <w:rPr/>
              <w:t>资格证明文件 响应函</w:t>
            </w:r>
          </w:p>
        </w:tc>
      </w:tr>
    </w:tbl>
    <w:p>
      <w:pPr>
        <w:pStyle w:val="null3"/>
      </w:pPr>
      <w:r>
        <w:rPr/>
        <w:t xml:space="preserve"> </w:t>
        <w:br/>
        <w:br w:type="page"/>
      </w:r>
    </w:p>
    <w:p>
      <w:pPr>
        <w:pStyle w:val="null3"/>
        <w:jc w:val="center"/>
        <w:outlineLvl w:val="1"/>
      </w:pPr>
      <w:r>
        <w:rPr>
          <w:sz w:val="36"/>
          <w:b/>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t xml:space="preserve"> </w:t>
        <w:br/>
        <w:br w:type="page"/>
      </w:r>
    </w:p>
    <w:p>
      <w:pPr>
        <w:pStyle w:val="null3"/>
        <w:jc w:val="center"/>
        <w:outlineLvl w:val="1"/>
      </w:pPr>
      <w:r>
        <w:rPr>
          <w:sz w:val="36"/>
          <w:b/>
        </w:rPr>
        <w:t>第六章 磋商办法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三、磋商小组按照磋商文件规定的磋商程序、评分方法和标准进行评审，并独立履行下列职责：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（五）起草资格审查报告、评审报告并进行签署；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sz w:val="24"/>
          <w:b/>
        </w:rPr>
        <w:t xml:space="preserve"> 6.3.2符合性审查</w:t>
      </w:r>
    </w:p>
    <w:p>
      <w:pPr>
        <w:pStyle w:val="null3"/>
        <w:ind w:firstLine="480"/>
      </w:pPr>
      <w:r>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t xml:space="preserve"> 二、在符合性审查过程中，如果出现磋商小组成员意见不一致的情况，按照少数服从多数的原则确定，但不得违背政府采购基本原则和磋商文件规定。</w:t>
      </w:r>
    </w:p>
    <w:p>
      <w:pPr>
        <w:pStyle w:val="null3"/>
        <w:ind w:firstLine="480"/>
      </w:pPr>
      <w:r>
        <w:rPr/>
        <w:t>三、磋商小组对所有响应文件进行审查后，确定参加磋商的供应商名单。</w:t>
      </w:r>
    </w:p>
    <w:p>
      <w:pPr>
        <w:pStyle w:val="null3"/>
        <w:ind w:firstLine="480"/>
      </w:pPr>
      <w:r>
        <w:rPr/>
        <w:t>符合性审查标准见下表：</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响应报价明细表 标的清单 报价表</w:t>
            </w:r>
          </w:p>
        </w:tc>
      </w:tr>
      <w:tr>
        <w:tc>
          <w:tcPr>
            <w:tcW w:type="dxa" w:w="831"/>
          </w:tcPr>
          <w:p>
            <w:pPr>
              <w:pStyle w:val="null3"/>
            </w:pPr>
            <w:r>
              <w:rPr/>
              <w:t>2</w:t>
            </w:r>
          </w:p>
        </w:tc>
        <w:tc>
          <w:tcPr>
            <w:tcW w:type="dxa" w:w="2492"/>
          </w:tcPr>
          <w:p>
            <w:pPr>
              <w:pStyle w:val="null3"/>
            </w:pPr>
            <w:r>
              <w:rPr/>
              <w:t>单位公章</w:t>
            </w:r>
          </w:p>
        </w:tc>
        <w:tc>
          <w:tcPr>
            <w:tcW w:type="dxa" w:w="3322"/>
          </w:tcPr>
          <w:p>
            <w:pPr>
              <w:pStyle w:val="null3"/>
            </w:pPr>
            <w:r>
              <w:rPr/>
              <w:t>磋商响应文件加盖供应商单位公章</w:t>
            </w:r>
          </w:p>
        </w:tc>
        <w:tc>
          <w:tcPr>
            <w:tcW w:type="dxa" w:w="1661"/>
          </w:tcPr>
          <w:p>
            <w:pPr>
              <w:pStyle w:val="null3"/>
            </w:pPr>
            <w:r>
              <w:rPr/>
              <w:t>响应文件封面</w:t>
            </w:r>
          </w:p>
        </w:tc>
      </w:tr>
      <w:tr>
        <w:tc>
          <w:tcPr>
            <w:tcW w:type="dxa" w:w="831"/>
          </w:tcPr>
          <w:p>
            <w:pPr>
              <w:pStyle w:val="null3"/>
            </w:pPr>
            <w:r>
              <w:rPr/>
              <w:t>3</w:t>
            </w:r>
          </w:p>
        </w:tc>
        <w:tc>
          <w:tcPr>
            <w:tcW w:type="dxa" w:w="2492"/>
          </w:tcPr>
          <w:p>
            <w:pPr>
              <w:pStyle w:val="null3"/>
            </w:pPr>
            <w:r>
              <w:rPr/>
              <w:t>签字或盖章</w:t>
            </w:r>
          </w:p>
        </w:tc>
        <w:tc>
          <w:tcPr>
            <w:tcW w:type="dxa" w:w="3322"/>
          </w:tcPr>
          <w:p>
            <w:pPr>
              <w:pStyle w:val="null3"/>
            </w:pPr>
            <w:r>
              <w:rPr/>
              <w:t>磋商响应文件按磋商文件要求法定代表人（或负责人）或其授权代表签字或盖章</w:t>
            </w:r>
          </w:p>
        </w:tc>
        <w:tc>
          <w:tcPr>
            <w:tcW w:type="dxa" w:w="1661"/>
          </w:tcPr>
          <w:p>
            <w:pPr>
              <w:pStyle w:val="null3"/>
            </w:pPr>
            <w:r>
              <w:rPr/>
              <w:t>资格证明文件 响应函</w:t>
            </w:r>
          </w:p>
        </w:tc>
      </w:tr>
      <w:tr>
        <w:tc>
          <w:tcPr>
            <w:tcW w:type="dxa" w:w="831"/>
          </w:tcPr>
          <w:p>
            <w:pPr>
              <w:pStyle w:val="null3"/>
            </w:pPr>
            <w:r>
              <w:rPr/>
              <w:t>4</w:t>
            </w:r>
          </w:p>
        </w:tc>
        <w:tc>
          <w:tcPr>
            <w:tcW w:type="dxa" w:w="2492"/>
          </w:tcPr>
          <w:p>
            <w:pPr>
              <w:pStyle w:val="null3"/>
            </w:pPr>
            <w:r>
              <w:rPr/>
              <w:t>有效期</w:t>
            </w:r>
          </w:p>
        </w:tc>
        <w:tc>
          <w:tcPr>
            <w:tcW w:type="dxa" w:w="3322"/>
          </w:tcPr>
          <w:p>
            <w:pPr>
              <w:pStyle w:val="null3"/>
            </w:pPr>
            <w:r>
              <w:rPr/>
              <w:t>有效期达到磋商文件的要求</w:t>
            </w:r>
          </w:p>
        </w:tc>
        <w:tc>
          <w:tcPr>
            <w:tcW w:type="dxa" w:w="1661"/>
          </w:tcPr>
          <w:p>
            <w:pPr>
              <w:pStyle w:val="null3"/>
            </w:pPr>
            <w:r>
              <w:rPr/>
              <w:t>响应文件封面</w:t>
            </w:r>
          </w:p>
        </w:tc>
      </w:tr>
      <w:tr>
        <w:tc>
          <w:tcPr>
            <w:tcW w:type="dxa" w:w="831"/>
          </w:tcPr>
          <w:p>
            <w:pPr>
              <w:pStyle w:val="null3"/>
            </w:pPr>
            <w:r>
              <w:rPr/>
              <w:t>5</w:t>
            </w:r>
          </w:p>
        </w:tc>
        <w:tc>
          <w:tcPr>
            <w:tcW w:type="dxa" w:w="2492"/>
          </w:tcPr>
          <w:p>
            <w:pPr>
              <w:pStyle w:val="null3"/>
            </w:pPr>
            <w:r>
              <w:rPr/>
              <w:t>选择性报价</w:t>
            </w:r>
          </w:p>
        </w:tc>
        <w:tc>
          <w:tcPr>
            <w:tcW w:type="dxa" w:w="3322"/>
          </w:tcPr>
          <w:p>
            <w:pPr>
              <w:pStyle w:val="null3"/>
            </w:pPr>
            <w:r>
              <w:rPr/>
              <w:t>供应商磋商报价未出现选择性报价</w:t>
            </w:r>
          </w:p>
        </w:tc>
        <w:tc>
          <w:tcPr>
            <w:tcW w:type="dxa" w:w="1661"/>
          </w:tcPr>
          <w:p>
            <w:pPr>
              <w:pStyle w:val="null3"/>
            </w:pPr>
            <w:r>
              <w:rPr/>
              <w:t>响应报价明细表 标的清单 报价表</w:t>
            </w:r>
          </w:p>
        </w:tc>
      </w:tr>
      <w:tr>
        <w:tc>
          <w:tcPr>
            <w:tcW w:type="dxa" w:w="831"/>
          </w:tcPr>
          <w:p>
            <w:pPr>
              <w:pStyle w:val="null3"/>
            </w:pPr>
            <w:r>
              <w:rPr/>
              <w:t>6</w:t>
            </w:r>
          </w:p>
        </w:tc>
        <w:tc>
          <w:tcPr>
            <w:tcW w:type="dxa" w:w="2492"/>
          </w:tcPr>
          <w:p>
            <w:pPr>
              <w:pStyle w:val="null3"/>
            </w:pPr>
            <w:r>
              <w:rPr/>
              <w:t>磋商报价</w:t>
            </w:r>
          </w:p>
        </w:tc>
        <w:tc>
          <w:tcPr>
            <w:tcW w:type="dxa" w:w="3322"/>
          </w:tcPr>
          <w:p>
            <w:pPr>
              <w:pStyle w:val="null3"/>
            </w:pPr>
            <w:r>
              <w:rPr/>
              <w:t>磋商报价未超出采购预算或最高限价</w:t>
            </w:r>
          </w:p>
        </w:tc>
        <w:tc>
          <w:tcPr>
            <w:tcW w:type="dxa" w:w="1661"/>
          </w:tcPr>
          <w:p>
            <w:pPr>
              <w:pStyle w:val="null3"/>
            </w:pPr>
            <w:r>
              <w:rPr/>
              <w:t>响应报价明细表 标的清单 报价表</w:t>
            </w:r>
          </w:p>
        </w:tc>
      </w:tr>
      <w:tr>
        <w:tc>
          <w:tcPr>
            <w:tcW w:type="dxa" w:w="831"/>
          </w:tcPr>
          <w:p>
            <w:pPr>
              <w:pStyle w:val="null3"/>
            </w:pPr>
            <w:r>
              <w:rPr/>
              <w:t>7</w:t>
            </w:r>
          </w:p>
        </w:tc>
        <w:tc>
          <w:tcPr>
            <w:tcW w:type="dxa" w:w="2492"/>
          </w:tcPr>
          <w:p>
            <w:pPr>
              <w:pStyle w:val="null3"/>
            </w:pPr>
            <w:r>
              <w:rPr/>
              <w:t>服务内容</w:t>
            </w:r>
          </w:p>
        </w:tc>
        <w:tc>
          <w:tcPr>
            <w:tcW w:type="dxa" w:w="3322"/>
          </w:tcPr>
          <w:p>
            <w:pPr>
              <w:pStyle w:val="null3"/>
            </w:pPr>
            <w:r>
              <w:rPr/>
              <w:t>技术、服务内容达到采购要求，未出现重大负偏差，未降低了服务要求</w:t>
            </w:r>
          </w:p>
        </w:tc>
        <w:tc>
          <w:tcPr>
            <w:tcW w:type="dxa" w:w="1661"/>
          </w:tcPr>
          <w:p>
            <w:pPr>
              <w:pStyle w:val="null3"/>
            </w:pPr>
            <w:r>
              <w:rPr/>
              <w:t>商务要求（合同草案条款）偏离表 采购需求偏离表</w:t>
            </w:r>
          </w:p>
        </w:tc>
      </w:tr>
      <w:tr>
        <w:tc>
          <w:tcPr>
            <w:tcW w:type="dxa" w:w="831"/>
          </w:tcPr>
          <w:p>
            <w:pPr>
              <w:pStyle w:val="null3"/>
            </w:pPr>
            <w:r>
              <w:rPr/>
              <w:t>8</w:t>
            </w:r>
          </w:p>
        </w:tc>
        <w:tc>
          <w:tcPr>
            <w:tcW w:type="dxa" w:w="2492"/>
          </w:tcPr>
          <w:p>
            <w:pPr>
              <w:pStyle w:val="null3"/>
            </w:pPr>
            <w:r>
              <w:rPr/>
              <w:t>响应文件中不得附加了采购人难以接受的条件</w:t>
            </w:r>
          </w:p>
        </w:tc>
        <w:tc>
          <w:tcPr>
            <w:tcW w:type="dxa" w:w="3322"/>
          </w:tcPr>
          <w:p>
            <w:pPr>
              <w:pStyle w:val="null3"/>
            </w:pPr>
            <w:r>
              <w:rPr/>
              <w:t>响应文件中未附加采购人难以接受的条件</w:t>
            </w:r>
          </w:p>
        </w:tc>
        <w:tc>
          <w:tcPr>
            <w:tcW w:type="dxa" w:w="1661"/>
          </w:tcPr>
          <w:p>
            <w:pPr>
              <w:pStyle w:val="null3"/>
            </w:pPr>
            <w:r>
              <w:rPr/>
              <w:t>商务要求（合同草案条款）偏离表 采购需求偏离表</w:t>
            </w:r>
          </w:p>
        </w:tc>
      </w:tr>
      <w:tr>
        <w:tc>
          <w:tcPr>
            <w:tcW w:type="dxa" w:w="831"/>
          </w:tcPr>
          <w:p>
            <w:pPr>
              <w:pStyle w:val="null3"/>
            </w:pPr>
            <w:r>
              <w:rPr/>
              <w:t>9</w:t>
            </w:r>
          </w:p>
        </w:tc>
        <w:tc>
          <w:tcPr>
            <w:tcW w:type="dxa" w:w="2492"/>
          </w:tcPr>
          <w:p>
            <w:pPr>
              <w:pStyle w:val="null3"/>
            </w:pPr>
            <w:r>
              <w:rPr/>
              <w:t>信用查询</w:t>
            </w:r>
          </w:p>
        </w:tc>
        <w:tc>
          <w:tcPr>
            <w:tcW w:type="dxa" w:w="3322"/>
          </w:tcPr>
          <w:p>
            <w:pPr>
              <w:pStyle w:val="null3"/>
            </w:pPr>
            <w:r>
              <w:rPr/>
              <w:t>信用查询中列入失信被执行人、重大税收违法案件当事人名单、政府采购严重违法失信行为记录名单及其他不符合《中华人民共和国政府采购法》第二十二条规定条件的供应商，拒绝参与政府采购活动</w:t>
            </w:r>
          </w:p>
        </w:tc>
        <w:tc>
          <w:tcPr>
            <w:tcW w:type="dxa" w:w="1661"/>
          </w:tcPr>
          <w:p>
            <w:pPr>
              <w:pStyle w:val="null3"/>
            </w:pPr>
            <w:r>
              <w:rPr/>
              <w:t>响应文件封面</w:t>
            </w:r>
          </w:p>
        </w:tc>
      </w:tr>
    </w:tbl>
    <w:p>
      <w:pPr>
        <w:pStyle w:val="null3"/>
        <w:outlineLvl w:val="3"/>
      </w:pPr>
      <w:r>
        <w:rPr>
          <w:sz w:val="24"/>
          <w:b/>
        </w:rPr>
        <w:t>6.3.3磋商</w:t>
      </w:r>
    </w:p>
    <w:p>
      <w:pPr>
        <w:pStyle w:val="null3"/>
        <w:ind w:firstLine="480"/>
      </w:pPr>
      <w:r>
        <w:rPr/>
        <w:t>一、 磋商小组按照磋商文件的规定与邀请参加磋商的供应商分别进行磋商，磋商顺序由磋商小组确定。</w:t>
      </w:r>
    </w:p>
    <w:p>
      <w:pPr>
        <w:pStyle w:val="null3"/>
        <w:ind w:firstLine="480"/>
      </w:pPr>
      <w:r>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t xml:space="preserve"> 二、磋商小组开启报价后，供应商应随时关注项目电子化交易系统信息提醒，登录项目电子化交易系统，通过“等候大厅”进行报价并签章后提交。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jc w:val="left"/>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sz w:val="24"/>
          <w:b/>
        </w:rPr>
        <w:t>6.3.6比较与评价</w:t>
      </w:r>
    </w:p>
    <w:p>
      <w:pPr>
        <w:pStyle w:val="null3"/>
        <w:ind w:firstLine="480"/>
      </w:pPr>
      <w:r>
        <w:rPr/>
        <w:t xml:space="preserve"> 磋商小组应当按照磋商文件规定的评标细则及标准，对符合性检查合格的响应文件进行商务和技术评估，综合比较和评价。</w:t>
      </w:r>
    </w:p>
    <w:p>
      <w:pPr>
        <w:pStyle w:val="null3"/>
        <w:outlineLvl w:val="3"/>
      </w:pPr>
      <w:r>
        <w:rPr>
          <w:sz w:val="24"/>
          <w:b/>
        </w:rPr>
        <w:t xml:space="preserve"> 6.3.7复核</w:t>
      </w:r>
    </w:p>
    <w:p>
      <w:pPr>
        <w:pStyle w:val="null3"/>
        <w:ind w:firstLine="480"/>
      </w:pPr>
      <w:r>
        <w:rPr/>
        <w:t xml:space="preserve"> 评审结束后，磋商小组应当进行复核，特别要对拟推荐为成交候选供应商的、报价最低的、响应文件被认定为无效的进行重点复核。</w:t>
      </w:r>
    </w:p>
    <w:p>
      <w:pPr>
        <w:pStyle w:val="null3"/>
        <w:ind w:firstLine="480"/>
      </w:pPr>
      <w:r>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sz w:val="24"/>
          <w:b/>
        </w:rPr>
        <w:t>6.3.8推荐成交候选供应商</w:t>
      </w:r>
    </w:p>
    <w:p>
      <w:pPr>
        <w:pStyle w:val="null3"/>
        <w:ind w:firstLine="480"/>
      </w:pPr>
      <w:r>
        <w:rPr/>
        <w:t xml:space="preserve"> 磋商小组应当根据综合评分情况，按照评审得分由高到低顺序推荐如下成交候选供应商，并编写磋商报告。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sz w:val="24"/>
          <w:b/>
        </w:rPr>
        <w:t>6.3.9编写磋商报告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sz w:val="24"/>
          <w:b/>
        </w:rPr>
        <w:t>6.3.10评审争议处理规则</w:t>
      </w:r>
    </w:p>
    <w:p>
      <w:pPr>
        <w:pStyle w:val="null3"/>
        <w:ind w:firstLine="480"/>
      </w:pPr>
      <w:r>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sz w:val="28"/>
          <w:b/>
        </w:rPr>
        <w:t>6.4评审办法及标准</w:t>
      </w:r>
    </w:p>
    <w:p>
      <w:pPr>
        <w:pStyle w:val="null3"/>
        <w:ind w:firstLine="480"/>
      </w:pPr>
      <w:r>
        <w:rPr/>
        <w:t xml:space="preserve"> 一、磋商小组只对通过资格审查的响应文件，根据磋商文件的要求采用相同的评审程序、评分办法及标准进行评价和比较。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sz w:val="24"/>
          <w:b/>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sz w:val="24"/>
          <w:b/>
        </w:rPr>
        <w:t>6.4.2评分标准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详细评审90.0000分</w:t>
            </w:r>
          </w:p>
          <w:p>
            <w:pPr>
              <w:pStyle w:val="null3"/>
            </w:pPr>
            <w:r>
              <w:rPr/>
              <w:t>报价得分10.0000分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服务方案</w:t>
            </w:r>
          </w:p>
        </w:tc>
        <w:tc>
          <w:tcPr>
            <w:tcW w:type="dxa" w:w="2492"/>
          </w:tcPr>
          <w:p>
            <w:pPr>
              <w:pStyle w:val="null3"/>
            </w:pPr>
            <w:r>
              <w:rPr/>
              <w:t>1、根据供应商针对本项目提供的建设内容需求分析方案 1-1、业务需求分析 1-2、系统需求分析 1-3、系统支撑需求分析 评审标准：以上分析内容全面，描述详细，条理清晰，满足服务要求（共3项，满分15分）。 （1）满足评审标准的，每项得5分； （2）基本满足评审标准的，每项得2分； （3）不满足评审标准或未提供的，该项不得分。 2、根据供应商提供的总体设计方案 2-1、总体架构 2-2、网络拓扑图 2-3、技术路线 评审标准：以上方案描述详细，条理清晰，切实可行，满足服务要求（共3项，满分15分）。 （1）满足评审标准的，每项得5分； （2）基本满足评审标准的，每项得2分； （3）不满足评审标准或未提供的，该项不得分。 3、根据供应商提供的技术方案 3-1、数据对接方案 3-2、系统功能适配新老数据改造 3-3、执法办案积分系统（新建） 评审标准：以上方案描述详细，条理清晰，切实可行，满足服务要求（共3项，满分15分）。 （1）满足评审标准的，每项得5分； （2）基本满足评审标准的，每项得2分； （3）不满足评审标准或未提供的，该项不得分。</w:t>
            </w:r>
          </w:p>
        </w:tc>
        <w:tc>
          <w:tcPr>
            <w:tcW w:type="dxa" w:w="831"/>
          </w:tcPr>
          <w:p>
            <w:pPr>
              <w:pStyle w:val="null3"/>
              <w:jc w:val="right"/>
            </w:pPr>
            <w:r>
              <w:rPr/>
              <w:t>45.0000</w:t>
            </w:r>
          </w:p>
        </w:tc>
        <w:tc>
          <w:tcPr>
            <w:tcW w:type="dxa" w:w="831"/>
          </w:tcPr>
          <w:p>
            <w:pPr>
              <w:pStyle w:val="null3"/>
            </w:pPr>
            <w:r>
              <w:rPr/>
              <w:t>主观</w:t>
            </w:r>
          </w:p>
        </w:tc>
        <w:tc>
          <w:tcPr>
            <w:tcW w:type="dxa" w:w="1661"/>
          </w:tcPr>
          <w:p>
            <w:pPr>
              <w:pStyle w:val="null3"/>
            </w:pPr>
            <w:r>
              <w:rPr/>
              <w:t>磋商方案说明</w:t>
            </w:r>
          </w:p>
        </w:tc>
      </w:tr>
      <w:tr>
        <w:tc>
          <w:tcPr>
            <w:tcW w:type="dxa" w:w="831"/>
            <w:vMerge/>
          </w:tcPr>
          <w:p/>
        </w:tc>
        <w:tc>
          <w:tcPr>
            <w:tcW w:type="dxa" w:w="1661"/>
          </w:tcPr>
          <w:p>
            <w:pPr>
              <w:pStyle w:val="null3"/>
            </w:pPr>
            <w:r>
              <w:rPr/>
              <w:t>质量保障措施</w:t>
            </w:r>
          </w:p>
        </w:tc>
        <w:tc>
          <w:tcPr>
            <w:tcW w:type="dxa" w:w="2492"/>
          </w:tcPr>
          <w:p>
            <w:pPr>
              <w:pStyle w:val="null3"/>
            </w:pPr>
            <w:r>
              <w:rPr/>
              <w:t>1、根据供应商提供的服务质量保证措施方案 1-1、项目组织与人员保障 1-2、质量保障体系 1-3、项目进度计划 评审标准：以上服务方案描述详细，条理清晰，切实可行，满足服务要求（共3项，满分15分）。 （1）满足评审标准的，每项得5分； （2）基本满足评审标准的，每项得2分； （3）不满足评审标准或未提供的，该项不得分。</w:t>
            </w:r>
          </w:p>
        </w:tc>
        <w:tc>
          <w:tcPr>
            <w:tcW w:type="dxa" w:w="831"/>
          </w:tcPr>
          <w:p>
            <w:pPr>
              <w:pStyle w:val="null3"/>
              <w:jc w:val="right"/>
            </w:pPr>
            <w:r>
              <w:rPr/>
              <w:t>15.0000</w:t>
            </w:r>
          </w:p>
        </w:tc>
        <w:tc>
          <w:tcPr>
            <w:tcW w:type="dxa" w:w="831"/>
          </w:tcPr>
          <w:p>
            <w:pPr>
              <w:pStyle w:val="null3"/>
            </w:pPr>
            <w:r>
              <w:rPr/>
              <w:t>主观</w:t>
            </w:r>
          </w:p>
        </w:tc>
        <w:tc>
          <w:tcPr>
            <w:tcW w:type="dxa" w:w="1661"/>
          </w:tcPr>
          <w:p>
            <w:pPr>
              <w:pStyle w:val="null3"/>
            </w:pPr>
            <w:r>
              <w:rPr/>
              <w:t>磋商方案说明</w:t>
            </w:r>
          </w:p>
        </w:tc>
      </w:tr>
      <w:tr>
        <w:tc>
          <w:tcPr>
            <w:tcW w:type="dxa" w:w="831"/>
            <w:vMerge/>
          </w:tcPr>
          <w:p/>
        </w:tc>
        <w:tc>
          <w:tcPr>
            <w:tcW w:type="dxa" w:w="1661"/>
          </w:tcPr>
          <w:p>
            <w:pPr>
              <w:pStyle w:val="null3"/>
            </w:pPr>
            <w:r>
              <w:rPr/>
              <w:t>售后及培训方案</w:t>
            </w:r>
          </w:p>
        </w:tc>
        <w:tc>
          <w:tcPr>
            <w:tcW w:type="dxa" w:w="2492"/>
          </w:tcPr>
          <w:p>
            <w:pPr>
              <w:pStyle w:val="null3"/>
            </w:pPr>
            <w:r>
              <w:rPr/>
              <w:t>1、根据供应商提供的售后服务方案 1-1、售后组织体系 1-2、响应及维护体系 1-3、故障响应方案 1-4、应急方案 评审标准：以上服务方案描述详细，条理清晰，切实可行，满足服务要求（共4项，满分8分）。 （1）满足评审标准的，每项得2分； （2）基本满足评审标准的，每项得1分； （3）不满足评审标准或未提供的，该项不得分。 2、根据供应商提供的培训方案 2-1、培训计划； 2-2、培训内容； 2-3、培训方式； 2-4、培训质量控制计划。 评审标准：以上服务方案描述详细，条理清晰，切实可行，满足服务要求（共4项，满分8分）。 （1）满足评审标准的，每项得2分； （2）基本满足评审标准的，每项得1分； （3）不满足评审标准或未提供的，该项不得分。</w:t>
            </w:r>
          </w:p>
        </w:tc>
        <w:tc>
          <w:tcPr>
            <w:tcW w:type="dxa" w:w="831"/>
          </w:tcPr>
          <w:p>
            <w:pPr>
              <w:pStyle w:val="null3"/>
              <w:jc w:val="right"/>
            </w:pPr>
            <w:r>
              <w:rPr/>
              <w:t>16.0000</w:t>
            </w:r>
          </w:p>
        </w:tc>
        <w:tc>
          <w:tcPr>
            <w:tcW w:type="dxa" w:w="831"/>
          </w:tcPr>
          <w:p>
            <w:pPr>
              <w:pStyle w:val="null3"/>
            </w:pPr>
            <w:r>
              <w:rPr/>
              <w:t>主观</w:t>
            </w:r>
          </w:p>
        </w:tc>
        <w:tc>
          <w:tcPr>
            <w:tcW w:type="dxa" w:w="1661"/>
          </w:tcPr>
          <w:p>
            <w:pPr>
              <w:pStyle w:val="null3"/>
            </w:pPr>
            <w:r>
              <w:rPr/>
              <w:t>磋商方案说明</w:t>
            </w:r>
          </w:p>
        </w:tc>
      </w:tr>
      <w:tr>
        <w:tc>
          <w:tcPr>
            <w:tcW w:type="dxa" w:w="831"/>
            <w:vMerge/>
          </w:tcPr>
          <w:p/>
        </w:tc>
        <w:tc>
          <w:tcPr>
            <w:tcW w:type="dxa" w:w="1661"/>
          </w:tcPr>
          <w:p>
            <w:pPr>
              <w:pStyle w:val="null3"/>
            </w:pPr>
            <w:r>
              <w:rPr/>
              <w:t>系统演示</w:t>
            </w:r>
          </w:p>
        </w:tc>
        <w:tc>
          <w:tcPr>
            <w:tcW w:type="dxa" w:w="2492"/>
          </w:tcPr>
          <w:p>
            <w:pPr>
              <w:pStyle w:val="null3"/>
            </w:pPr>
            <w:r>
              <w:rPr/>
              <w:t>供应商需进行远程系统功能演示，招标代理机构创建腾讯会议，在评标室内使用账号密码登录，电话联系供应商加入腾讯会议（联系方式请留移动电话）， “演示”是指供应商采用DEMO的方式（不得以视频、PPT、Word方式进行展示）进行演示。主要演示以下5个功能，每个功能不超过2分钟。本项最高得10分。 1、数据接入功能演示，支持不同的系统数据接入以及数据项管理。 （演示过程须保持系统流畅、功能不报错，演示功能逐项全部演示无失误的得2分，只能演示部分功能得1分，不演示不得分。） 2、指标计算工具功能演示，需支持考评规则类型的新增、修改、启停以及汇总方式规则的新增、修改、启停。 （演示过程须保持系统流畅、功能不报错，演示功能逐项全部演示无失误的得2分，只能演示部分功能得1分，不演示不得分。） 3、指标库管理的功能演示，支持指标类别新增、删除和修改，支持以从上至下逐层分解的指标体系形式对每个考核计划设定不同的考核指标和指标项。 （演示过程须保持系统流畅、功能不报错，演示功能逐项全部演示无失误的得2分，只能演示部分功能得1分，不演示不得分。） 4、考核模板管理的功能演示，支持考核模板中考核指标、考核对象、指标权重和得分规则配置管理，支持考核模板新增、删除和批量启用/停用，支持本单位或下属单位选取考核模板。 （演示过程须保持系统流畅、功能不报错，演示功能逐项全部演示无失误的得2分，只能演示部分功能得1分，不演示不得分。） 5、考核大屏的功能演示，支持从年度、季度和月度维度直观展示个人和单位的考核得分情况，展示分析内容需包括人员绩效得分、扣分维度分析、考核概况、单位平均得分情况、评级分析和职能部门履职分析。 （演示过程须保持系统流畅、功能不报错，演示功能逐项全部演示无失误的得2分，只能演示部分功能得1分，不演示不得分。）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磋商方案说明</w:t>
            </w:r>
          </w:p>
        </w:tc>
      </w:tr>
      <w:tr>
        <w:tc>
          <w:tcPr>
            <w:tcW w:type="dxa" w:w="831"/>
            <w:vMerge/>
          </w:tcPr>
          <w:p/>
        </w:tc>
        <w:tc>
          <w:tcPr>
            <w:tcW w:type="dxa" w:w="1661"/>
          </w:tcPr>
          <w:p>
            <w:pPr>
              <w:pStyle w:val="null3"/>
            </w:pPr>
            <w:r>
              <w:rPr/>
              <w:t>业绩</w:t>
            </w:r>
          </w:p>
        </w:tc>
        <w:tc>
          <w:tcPr>
            <w:tcW w:type="dxa" w:w="2492"/>
          </w:tcPr>
          <w:p>
            <w:pPr>
              <w:pStyle w:val="null3"/>
            </w:pPr>
            <w:r>
              <w:rPr/>
              <w:t>供应商提供2021年1月至今类似项目业绩，业绩以合同为依据，响应文件中附有其证明资料，每提供一个业绩证明计2分，满分4分。</w:t>
            </w:r>
          </w:p>
        </w:tc>
        <w:tc>
          <w:tcPr>
            <w:tcW w:type="dxa" w:w="831"/>
          </w:tcPr>
          <w:p>
            <w:pPr>
              <w:pStyle w:val="null3"/>
              <w:jc w:val="right"/>
            </w:pPr>
            <w:r>
              <w:rPr/>
              <w:t>4.0000</w:t>
            </w:r>
          </w:p>
        </w:tc>
        <w:tc>
          <w:tcPr>
            <w:tcW w:type="dxa" w:w="831"/>
          </w:tcPr>
          <w:p>
            <w:pPr>
              <w:pStyle w:val="null3"/>
            </w:pPr>
            <w:r>
              <w:rPr/>
              <w:t>客观</w:t>
            </w:r>
          </w:p>
        </w:tc>
        <w:tc>
          <w:tcPr>
            <w:tcW w:type="dxa" w:w="1661"/>
          </w:tcPr>
          <w:p>
            <w:pPr>
              <w:pStyle w:val="null3"/>
            </w:pPr>
            <w:r>
              <w:rPr/>
              <w:t>磋商方案说明</w:t>
            </w:r>
          </w:p>
        </w:tc>
      </w:tr>
      <w:tr>
        <w:tc>
          <w:tcPr>
            <w:tcW w:type="dxa" w:w="831"/>
          </w:tcPr>
          <w:p>
            <w:pPr>
              <w:pStyle w:val="null3"/>
            </w:pPr>
            <w:r>
              <w:rPr/>
              <w:t>价格分</w:t>
            </w:r>
          </w:p>
        </w:tc>
        <w:tc>
          <w:tcPr>
            <w:tcW w:type="dxa" w:w="1661"/>
          </w:tcPr>
          <w:p>
            <w:pPr>
              <w:pStyle w:val="null3"/>
            </w:pPr>
            <w:r>
              <w:rPr/>
              <w:t>投标价格得分</w:t>
            </w:r>
          </w:p>
        </w:tc>
        <w:tc>
          <w:tcPr>
            <w:tcW w:type="dxa" w:w="2492"/>
          </w:tcPr>
          <w:p>
            <w:pPr>
              <w:pStyle w:val="null3"/>
            </w:pPr>
            <w:r>
              <w:rPr/>
              <w:t>满足磋商文件要求且最后报价最低的供应商的价格为磋商基准价。各供应商的价格分统一按照下列公式计算：磋商报价得分=（磋商基准价/最后磋商报价）×10</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报价表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中小企业声明函 残疾人福利性单位声明函 监狱企业的证明文件</w:t>
            </w:r>
          </w:p>
        </w:tc>
      </w:tr>
    </w:tbl>
    <w:p>
      <w:pPr>
        <w:pStyle w:val="null3"/>
        <w:outlineLvl w:val="2"/>
      </w:pPr>
      <w:r>
        <w:rPr>
          <w:sz w:val="28"/>
          <w:b/>
        </w:rPr>
        <w:t>6.5终止采购活动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t>（四）法律法规规定的其他情形。</w:t>
      </w:r>
    </w:p>
    <w:p>
      <w:pPr>
        <w:pStyle w:val="null3"/>
        <w:outlineLvl w:val="2"/>
      </w:pPr>
      <w:r>
        <w:rPr>
          <w:sz w:val="28"/>
          <w:b/>
        </w:rPr>
        <w:t>6.6确定成交供应商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6.7评审专家在政府采购活动中承担以下义务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6.8评审专家在政府采购活动中应当遵守以下工作纪律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详见附件：报价表</w:t>
      </w:r>
    </w:p>
    <w:p>
      <w:pPr>
        <w:pStyle w:val="null3"/>
        <w:ind w:firstLine="960"/>
      </w:pPr>
      <w:r>
        <w:rPr/>
        <w:t>详见附件：标的清单</w:t>
      </w:r>
    </w:p>
    <w:p>
      <w:pPr>
        <w:pStyle w:val="null3"/>
        <w:ind w:firstLine="960"/>
      </w:pPr>
      <w:r>
        <w:rPr/>
        <w:t>详见附件：采购需求偏离表</w:t>
      </w:r>
    </w:p>
    <w:p>
      <w:pPr>
        <w:pStyle w:val="null3"/>
        <w:ind w:firstLine="960"/>
      </w:pPr>
      <w:r>
        <w:rPr/>
        <w:t>详见附件：磋商方案说明</w:t>
      </w:r>
    </w:p>
    <w:p>
      <w:pPr>
        <w:pStyle w:val="null3"/>
        <w:ind w:firstLine="960"/>
      </w:pPr>
      <w:r>
        <w:rPr/>
        <w:t>详见附件：供应商承诺书</w:t>
      </w:r>
    </w:p>
    <w:p>
      <w:pPr>
        <w:pStyle w:val="null3"/>
        <w:ind w:firstLine="960"/>
      </w:pPr>
      <w:r>
        <w:rPr/>
        <w:t>详见附件：商务要求（合同草案条款）偏离表</w:t>
      </w:r>
    </w:p>
    <w:p>
      <w:pPr>
        <w:pStyle w:val="null3"/>
        <w:ind w:firstLine="960"/>
      </w:pPr>
      <w:r>
        <w:rPr/>
        <w:t>详见附件：响应报价明细表</w:t>
      </w:r>
    </w:p>
    <w:p>
      <w:pPr>
        <w:pStyle w:val="null3"/>
        <w:ind w:firstLine="960"/>
      </w:pPr>
      <w:r>
        <w:rPr/>
        <w:t>详见附件：资格证明文件</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详见附件：合同草案条款-上传.docx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