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版本号：JXRC-24121320250113002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门诊楼改造及部分老旧楼栋外立面修缮工程项目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JXRC-241213</w:t>
      </w:r>
      <w:r>
        <w:br/>
      </w:r>
      <w:r>
        <w:br/>
      </w:r>
      <w:r>
        <w:br/>
      </w:r>
    </w:p>
    <w:p>
      <w:pPr>
        <w:pStyle w:val="null3"/>
        <w:jc w:val="center"/>
        <w:outlineLvl w:val="2"/>
      </w:pPr>
      <w:r>
        <w:rPr>
          <w:rFonts w:ascii="仿宋_GB2312" w:hAnsi="仿宋_GB2312" w:cs="仿宋_GB2312" w:eastAsia="仿宋_GB2312"/>
          <w:sz w:val="28"/>
          <w:b/>
        </w:rPr>
        <w:t>西安市第九医院</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西安市第九医院</w:t>
      </w:r>
      <w:r>
        <w:rPr>
          <w:rFonts w:ascii="仿宋_GB2312" w:hAnsi="仿宋_GB2312" w:cs="仿宋_GB2312" w:eastAsia="仿宋_GB2312"/>
        </w:rPr>
        <w:t>委托，拟对</w:t>
      </w:r>
      <w:r>
        <w:rPr>
          <w:rFonts w:ascii="仿宋_GB2312" w:hAnsi="仿宋_GB2312" w:cs="仿宋_GB2312" w:eastAsia="仿宋_GB2312"/>
        </w:rPr>
        <w:t>门诊楼改造及部分老旧楼栋外立面修缮工程项目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JXRC-241213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门诊楼改造及部分老旧楼栋外立面修缮工程项目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西安市第九医院门诊楼改造及部分老旧楼栋外立面修缮工程项目。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采购包1（门诊楼改造及部分老旧楼栋外立面修缮工程项目）：属于专门面向中小企业采购。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授权书：法定代表人/负责人直接参加的，只须递交《法定代表人/负责人身份证明》；法定代表人/负责人授权代表参加的，须递交《法定代表人/负责人授权书》，并提供被授权人近三个月在本公司的社会保障资金缴纳证明；并进行电子签章。</w:t>
      </w:r>
    </w:p>
    <w:p>
      <w:pPr>
        <w:pStyle w:val="null3"/>
      </w:pPr>
      <w:r>
        <w:rPr>
          <w:rFonts w:ascii="仿宋_GB2312" w:hAnsi="仿宋_GB2312" w:cs="仿宋_GB2312" w:eastAsia="仿宋_GB2312"/>
        </w:rPr>
        <w:t>2、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rFonts w:ascii="仿宋_GB2312" w:hAnsi="仿宋_GB2312" w:cs="仿宋_GB2312" w:eastAsia="仿宋_GB2312"/>
        </w:rPr>
        <w:t>3、供应商资质：具备建筑装修装饰工程专业承包二级及以上资质，具有有效的安全生产许可证；并进行电子签章。</w:t>
      </w:r>
    </w:p>
    <w:p>
      <w:pPr>
        <w:pStyle w:val="null3"/>
      </w:pPr>
      <w:r>
        <w:rPr>
          <w:rFonts w:ascii="仿宋_GB2312" w:hAnsi="仿宋_GB2312" w:cs="仿宋_GB2312" w:eastAsia="仿宋_GB2312"/>
        </w:rPr>
        <w:t>4、拟派项目经理资格：具有建筑工程专业二级及以上注册建造师执业资格，并具有合法有效的安全生产考核合格证（建安B证），须在本单位注册，无不良信用记录，且未担任其他在建工程项目的项目经理，提供无在建工程承诺书；并进行电子签章。</w:t>
      </w:r>
    </w:p>
    <w:p>
      <w:pPr>
        <w:pStyle w:val="null3"/>
      </w:pPr>
      <w:r>
        <w:rPr>
          <w:rFonts w:ascii="仿宋_GB2312" w:hAnsi="仿宋_GB2312" w:cs="仿宋_GB2312" w:eastAsia="仿宋_GB2312"/>
        </w:rPr>
        <w:t>5、财务状况证明：法人提供会计师事务所出具的完整的2023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p>
      <w:pPr>
        <w:pStyle w:val="null3"/>
      </w:pPr>
      <w:r>
        <w:rPr>
          <w:rFonts w:ascii="仿宋_GB2312" w:hAnsi="仿宋_GB2312" w:cs="仿宋_GB2312" w:eastAsia="仿宋_GB2312"/>
        </w:rPr>
        <w:t>6、纳税证明：法人提供自2024年6月1日以来至少一个月的纳税证明或完税证明，纳税证明或完税证明上应有代收机构或税务机关的公章或业务专用章；其他组织和自然人提供自2024年6月1日以来至少一个月缴纳税收的凭据；依法免税的供应商应提供相关文件证明；并进行电子签章。</w:t>
      </w:r>
    </w:p>
    <w:p>
      <w:pPr>
        <w:pStyle w:val="null3"/>
      </w:pPr>
      <w:r>
        <w:rPr>
          <w:rFonts w:ascii="仿宋_GB2312" w:hAnsi="仿宋_GB2312" w:cs="仿宋_GB2312" w:eastAsia="仿宋_GB2312"/>
        </w:rPr>
        <w:t>7、社保缴纳证明：提供自2024年6月1日以来至少一个月已缴纳的社会保障资金的证明（社会保障资金缴存单据或社保机构开具的社会保险参保缴费情况证明等)；依法不需要缴纳社会保障资金的供应商应提供相关证明文件；并进行电子签章。</w:t>
      </w:r>
    </w:p>
    <w:p>
      <w:pPr>
        <w:pStyle w:val="null3"/>
      </w:pPr>
      <w:r>
        <w:rPr>
          <w:rFonts w:ascii="仿宋_GB2312" w:hAnsi="仿宋_GB2312" w:cs="仿宋_GB2312" w:eastAsia="仿宋_GB2312"/>
        </w:rPr>
        <w:t>8、无重大违法记录：供应商需提供《无重大违法记录声明》完成承诺；并进行电子签章。</w:t>
      </w:r>
    </w:p>
    <w:p>
      <w:pPr>
        <w:pStyle w:val="null3"/>
      </w:pPr>
      <w:r>
        <w:rPr>
          <w:rFonts w:ascii="仿宋_GB2312" w:hAnsi="仿宋_GB2312" w:cs="仿宋_GB2312" w:eastAsia="仿宋_GB2312"/>
        </w:rPr>
        <w:t>9、履约能力证明：供应商需提供《具有履行合同所必需的设备和专业技术能力的承诺书》完成承诺；并进行电子签章。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西安市第九医院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西安市南二环东段151号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伍老师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029-61165668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曲慧、田颖琦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029-81541692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说明：乙方在合同签订前向甲方指定账户交纳履约保证金，履约保证金金额为成交金额的5%（工程类），质保服务期满后，在扣除相关款项后（若有），剩余部分无息返还。 转账账号：西安市第九医院102006573256 中国银行南二环东段支行 转账金额到账后，可持银行回执到西安市第九医院换取收据。质保服务期满后，在扣除相关款项后（若有），剩余部分无息返还。如遇下列情况之一者，合同履约保证金不予退还，作为对采购人的赔偿：（1）合同签订后不考核不合格的；（2）乙方不能按期完成工作任务。</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代理服务费收费标准：1、代理服务费参照原中华人民共和国国家计划委员会计价格[2002]1980号文下浮20%计算收取，具体收费额以采购代理机构出具的发票为准。 2、本项目图纸设计费：由成交供应商支付，金额为25000.00元。</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西安市第九医院</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西安市第九医院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西安市第九医院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详见采购文件及合同条款</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联系人：曲慧、田颖琦</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地址：西安市南稍门十字东南角大话南门壹中心18层1806室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2,400,000.00</w:t>
      </w:r>
    </w:p>
    <w:p>
      <w:pPr>
        <w:pStyle w:val="null3"/>
      </w:pPr>
      <w:r>
        <w:rPr>
          <w:rFonts w:ascii="仿宋_GB2312" w:hAnsi="仿宋_GB2312" w:cs="仿宋_GB2312" w:eastAsia="仿宋_GB2312"/>
        </w:rPr>
        <w:t>采购包最高限价（元）: 2,243,201.52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门诊楼改造及部分 老旧楼栋外立面修缮工程项目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2,400,000.00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标的名称：门诊楼改造及部分 老旧楼栋外立面修缮工程项目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tc>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sz w:val="24"/>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现行国家标准或国家行政部门颁布的法律法规、规章制度等，没有国家标准的参考行业标准。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1、在施工期间，成交供应商必须注意院内人员安全，加强安全措施，并对施工人员进行安全教育。施工人员必须持证上岗。因采购人工作的特殊性，要求成交供应商在施工中做到封闭性施工。 2、隐蔽工程在隐蔽前须进行分项验收，验收合格后成交供应商留存相关照片及资料。 3、材料进场后，须经甲方、监理方验收合格后方可施工。 4、主材要求：供应商投标时须提供市场上中等及以上档次材料，并经采购人认可方可施工。 5、效果图须经甲方最后确认，甲方有权要求成交供应商修改至满意为止。</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1、工程地点：西安市第九医院 2、计划工期：180天 3、缺陷责任期：2年 4、质保、维保期限：验收合格之日起两年（防水工程质保五年）。 5、付款方式：开工后90天支付工程款合同总价的30%，工程完工验收合格后，经审计部门审核后按审核价格支付剩余款项。 履约保证金：乙方在合同签订前向甲方指定账户缴纳履约保证金，为合同总价款的5%。质保服务期满后，在扣除相关款项后（若有），剩余部分无息返还。 6、违约责任：按合同及《中华人民共和国民法典》中的相关条款执行。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完整的2023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企业关联关系声明函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法定代表人/负责人授权书</w:t>
            </w:r>
          </w:p>
        </w:tc>
        <w:tc>
          <w:tcPr>
            <w:tcW w:type="dxa" w:w="3322"/>
          </w:tcPr>
          <w:p>
            <w:pPr>
              <w:pStyle w:val="null3"/>
            </w:pPr>
            <w:r>
              <w:rPr>
                <w:rFonts w:ascii="仿宋_GB2312" w:hAnsi="仿宋_GB2312" w:cs="仿宋_GB2312" w:eastAsia="仿宋_GB2312"/>
              </w:rPr>
              <w:t>法定代表人/负责人直接参加的，只须递交《法定代表人/负责人身份证明》；法定代表人/负责人授权代表参加的，须递交《法定代表人/负责人授权书》，并提供被授权人近三个月在本公司的社会保障资金缴纳证明；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具备建筑装修装饰工程专业承包二级及以上资质，具有有效的安全生产许可证；并进行电子签章。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拟派项目经理资格</w:t>
            </w:r>
          </w:p>
        </w:tc>
        <w:tc>
          <w:tcPr>
            <w:tcW w:type="dxa" w:w="3322"/>
          </w:tcPr>
          <w:p>
            <w:pPr>
              <w:pStyle w:val="null3"/>
            </w:pPr>
            <w:r>
              <w:rPr>
                <w:rFonts w:ascii="仿宋_GB2312" w:hAnsi="仿宋_GB2312" w:cs="仿宋_GB2312" w:eastAsia="仿宋_GB2312"/>
              </w:rPr>
              <w:t>具有建筑工程专业二级及以上注册建造师执业资格，并具有合法有效的安全生产考核合格证（建安B证），须在本单位注册，无不良信用记录，且未担任其他在建工程项目的项目经理，提供无在建工程承诺书；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法人提供会计师事务所出具的完整的2023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法人提供自2024年6月1日以来至少一个月的纳税证明或完税证明，纳税证明或完税证明上应有代收机构或税务机关的公章或业务专用章；其他组织和自然人提供自2024年6月1日以来至少一个月缴纳税收的凭据；依法免税的供应商应提供相关文件证明；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6月1日以来至少一个月已缴纳的社会保障资金的证明（社会保障资金缴存单据或社保机构开具的社会保险参保缴费情况证明等)；依法不需要缴纳社会保障资金的供应商应提供相关证明文件；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供应商需提供《无重大违法记录声明》完成承诺；并进行电子签章。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履约能力证明</w:t>
            </w:r>
          </w:p>
        </w:tc>
        <w:tc>
          <w:tcPr>
            <w:tcW w:type="dxa" w:w="3322"/>
          </w:tcPr>
          <w:p>
            <w:pPr>
              <w:pStyle w:val="null3"/>
            </w:pPr>
            <w:r>
              <w:rPr>
                <w:rFonts w:ascii="仿宋_GB2312" w:hAnsi="仿宋_GB2312" w:cs="仿宋_GB2312" w:eastAsia="仿宋_GB2312"/>
              </w:rPr>
              <w:t>供应商需提供《具有履行合同所必需的设备和专业技术能力的承诺书》完成承诺；并进行电子签章。</w:t>
            </w:r>
          </w:p>
        </w:tc>
        <w:tc>
          <w:tcPr>
            <w:tcW w:type="dxa" w:w="1661"/>
          </w:tcPr>
          <w:p>
            <w:pPr>
              <w:pStyle w:val="null3"/>
            </w:pPr>
            <w:r>
              <w:rPr>
                <w:rFonts w:ascii="仿宋_GB2312" w:hAnsi="仿宋_GB2312" w:cs="仿宋_GB2312" w:eastAsia="仿宋_GB2312"/>
              </w:rPr>
              <w:t>供应商资格</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投标报价不得超过本项目最高限价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供应商必须满足采购文件的第三章3.2商务要求和3.3其他要求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参加政府采购承诺书</w:t>
            </w:r>
          </w:p>
        </w:tc>
        <w:tc>
          <w:tcPr>
            <w:tcW w:type="dxa" w:w="3322"/>
          </w:tcPr>
          <w:p>
            <w:pPr>
              <w:pStyle w:val="null3"/>
            </w:pPr>
            <w:r>
              <w:rPr>
                <w:rFonts w:ascii="仿宋_GB2312" w:hAnsi="仿宋_GB2312" w:cs="仿宋_GB2312" w:eastAsia="仿宋_GB2312"/>
              </w:rPr>
              <w:t>供应商须提供参加政府采购活动承诺书</w:t>
            </w:r>
          </w:p>
        </w:tc>
        <w:tc>
          <w:tcPr>
            <w:tcW w:type="dxa" w:w="1661"/>
          </w:tcPr>
          <w:p>
            <w:pPr>
              <w:pStyle w:val="null3"/>
            </w:pPr>
            <w:r>
              <w:rPr>
                <w:rFonts w:ascii="仿宋_GB2312" w:hAnsi="仿宋_GB2312" w:cs="仿宋_GB2312" w:eastAsia="仿宋_GB2312"/>
              </w:rPr>
              <w:t>参加政府采购承诺书</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根据各供应商提供的总体实施方案等进行综合评审。 实施方案非常详细、完整，可行、有针对性，有利于项目实施的10分； 实施方案比较详细完整、可行，较利于项目实施的得8分； 实施方案基本可行，基本满足项目实施需要的得6分； 实施方案有缺漏项、不能完全满足项目实施需要的得4分； 实施方案内容粗略、不满足项目实施需要的得2分；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技术响应偏离表</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安全作业方案及安全配套措施</w:t>
            </w:r>
          </w:p>
        </w:tc>
        <w:tc>
          <w:tcPr>
            <w:tcW w:type="dxa" w:w="2492"/>
          </w:tcPr>
          <w:p>
            <w:pPr>
              <w:pStyle w:val="null3"/>
            </w:pPr>
            <w:r>
              <w:rPr>
                <w:rFonts w:ascii="仿宋_GB2312" w:hAnsi="仿宋_GB2312" w:cs="仿宋_GB2312" w:eastAsia="仿宋_GB2312"/>
              </w:rPr>
              <w:t>针对本项目提供具体的安全作业方案及安全配套措施进行综合评审。 方案及措施完全符合采购人安全作业的要求得6分； 方案及措施基本符合采购人安全作业的要求得5分； 方案及措施有缺漏项，不能完全符合采购人安全作业的要求得3分； 方案及措施内容粗略、不符合采购人安全作业的要求得1分；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环境保护、文明施工措施计划</w:t>
            </w:r>
          </w:p>
        </w:tc>
        <w:tc>
          <w:tcPr>
            <w:tcW w:type="dxa" w:w="2492"/>
          </w:tcPr>
          <w:p>
            <w:pPr>
              <w:pStyle w:val="null3"/>
            </w:pPr>
            <w:r>
              <w:rPr>
                <w:rFonts w:ascii="仿宋_GB2312" w:hAnsi="仿宋_GB2312" w:cs="仿宋_GB2312" w:eastAsia="仿宋_GB2312"/>
              </w:rPr>
              <w:t>针对本项目提供的文明施工和环境保护措施计划进行综合评审。 措施计划完备齐全、合理、切实可行得6分； 措施计划完备齐全、合理、基本可行得5分； 措施计划有缺漏项，合理性、可行性较差，得3分； 措施计划内容粗略、可行性较差得1分；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根据供应商制定的确保工程质量的组织措施进行综合评审。 措施计划完备齐全、合理、切实可行得8分； 措施计划完备齐全、合理、基本可行得7分； 措施计划基本满足项目需求、合理性、可行性一般得6分； 措施计划有缺漏项，合理性、可行性较差得4分； 措施计划内容粗略、可行性较差，不能保证项目质量得2分；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效果图</w:t>
            </w:r>
          </w:p>
        </w:tc>
        <w:tc>
          <w:tcPr>
            <w:tcW w:type="dxa" w:w="2492"/>
          </w:tcPr>
          <w:p>
            <w:pPr>
              <w:pStyle w:val="null3"/>
            </w:pPr>
            <w:r>
              <w:rPr>
                <w:rFonts w:ascii="仿宋_GB2312" w:hAnsi="仿宋_GB2312" w:cs="仿宋_GB2312" w:eastAsia="仿宋_GB2312"/>
              </w:rPr>
              <w:t>提供住院一部、门诊楼、行政楼的改造效果图，包括但不限于楼体正面效果图、楼体侧面效果图。 效果图提供完整，楼体外观在视觉上有明显改善，与采购人院区基础色调一致，色彩搭配协调美观得10分； 效果图提供完整，楼体外观在视觉上有部分改善，与采购人院区基础色调一致，色彩搭配协调得8分； 效果图提供有缺漏项，楼体外观在视觉上有部分改善，与采购人院区基础色调一致，色彩搭配协调得6分； 效果图提供完整，楼体外观在视觉上有部分改善，与采购人院区基础色调不一致，色彩搭配不协调得4分； 效果图提供有缺漏项，楼体外观在视觉上有部分改善，与采购人院区基础色调不一致，色彩搭配不协调得2分；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针对本项目的项目组织管理机构配备进行综合评审。 机构设置合理，人员配备齐全，技术经验丰富得6分； 机构设置合理，人员配备较齐全、技术经验有欠缺得5分； 机构设置较合理、人员配备基本满足项目需求、技术经验有欠缺得3分； 机构设置不合理、人员配备不足、技术经验较差得1分；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供应商基本信息</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根据供应商投入的施工机械配备（包括特种机械如曲臂车等）和材料投入计划等进行评审。 施工机械配备齐全、合理，主要材料来源渠道证明材料完整，材料环保性好得9分； 施工机械配备较齐全，满足项目需求，主要材料来源渠道证明材料完整，材料环保性较好得7分； 施工机械配备较齐全，主要材料来源渠道证明材料有缺漏项，材料环保性一般得5分； 施工机械配备不足，主要材料来源渠道证明材料有缺漏项，材料环保性一般得3分； 施工机械配备不足，主要材料无来源渠道证明材料，材料环保性差得1分； 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确保工期的技术及组织安排</w:t>
            </w:r>
          </w:p>
        </w:tc>
        <w:tc>
          <w:tcPr>
            <w:tcW w:type="dxa" w:w="2492"/>
          </w:tcPr>
          <w:p>
            <w:pPr>
              <w:pStyle w:val="null3"/>
            </w:pPr>
            <w:r>
              <w:rPr>
                <w:rFonts w:ascii="仿宋_GB2312" w:hAnsi="仿宋_GB2312" w:cs="仿宋_GB2312" w:eastAsia="仿宋_GB2312"/>
              </w:rPr>
              <w:t>根据供应商确保工期的技术及组织安排进行评审。 确保工期技术组织措施总体思路清晰、合理、可执行程度强，且能很好推动项目实施得8分； 组织措施思路较清晰、可行性、合理性较强得7分； 组织措施思路较清晰、可行性、合理性一般得6分； 组织措施思路模糊、可行性、合理性一般得4分； 组织措施思路模糊、有缺漏项，不能保证项目工期得2分；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针对本项目提供可行的、并符合国家相关规范的售后保障工作服务承诺，提供售后团队人员基本信息和相关资格证书，具有详细的服务措施及对维修服务响应时限有明确的承诺。 售后服务承诺完善、团队配备科学合理、响应快速得7分； 售后服务承诺较完善、团队人员配备较合理、响应速度较快得5分； 售后服务承诺简略、团队人员配备较合理、响应速度一般得3分； 售后服务承诺有缺漏项、团队人员配备不齐全、响应速度慢得1分； 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2021年11月1日起至今，供应商承担的同类项目业绩（以响应文件中提供的完整合同复印件为准），每提供1份有效业绩得2分，最多得10分。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最低价优先法，即实质性满足磋商文件要求且最终磋商报价最低的为磋商基准价，其价格分为满分20分。其他供应商的价格分按照下列公式计算：磋商报价得分=(磋商基准价/磋商报价)×20。计算结果最多保留两位小数</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详见附件：供应商资格</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详见附件：企业关联关系声明函</w:t>
      </w:r>
    </w:p>
    <w:p>
      <w:pPr>
        <w:pStyle w:val="null3"/>
        <w:ind w:firstLine="960"/>
      </w:pPr>
      <w:r>
        <w:rPr>
          <w:rFonts w:ascii="仿宋_GB2312" w:hAnsi="仿宋_GB2312" w:cs="仿宋_GB2312" w:eastAsia="仿宋_GB2312"/>
        </w:rPr>
        <w:t>详见附件：参加政府采购承诺书</w:t>
      </w:r>
    </w:p>
    <w:p>
      <w:pPr>
        <w:pStyle w:val="null3"/>
        <w:ind w:firstLine="960"/>
      </w:pPr>
      <w:r>
        <w:rPr>
          <w:rFonts w:ascii="仿宋_GB2312" w:hAnsi="仿宋_GB2312" w:cs="仿宋_GB2312" w:eastAsia="仿宋_GB2312"/>
        </w:rPr>
        <w:t>详见附件：磋商方案</w:t>
      </w:r>
    </w:p>
    <w:p>
      <w:pPr>
        <w:pStyle w:val="null3"/>
        <w:ind w:firstLine="960"/>
      </w:pPr>
      <w:r>
        <w:rPr>
          <w:rFonts w:ascii="仿宋_GB2312" w:hAnsi="仿宋_GB2312" w:cs="仿宋_GB2312" w:eastAsia="仿宋_GB2312"/>
        </w:rPr>
        <w:t>详见附件：供应商业绩</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