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经开院区电瓶摆渡车服务</w:t>
      </w:r>
    </w:p>
    <w:p>
      <w:pPr>
        <w:pStyle w:val="null3"/>
        <w:jc w:val="center"/>
        <w:outlineLvl w:val="2"/>
      </w:pPr>
      <w:r>
        <w:rPr>
          <w:sz w:val="28"/>
          <w:b/>
        </w:rPr>
        <w:t>采购项目编号：</w:t>
      </w:r>
      <w:r>
        <w:rPr>
          <w:sz w:val="28"/>
          <w:b/>
        </w:rPr>
        <w:t>ZYJY-【2024】CS12127</w:t>
      </w:r>
      <w:r>
        <w:br/>
      </w:r>
      <w:r>
        <w:br/>
      </w:r>
      <w:r>
        <w:br/>
      </w:r>
    </w:p>
    <w:p>
      <w:pPr>
        <w:pStyle w:val="null3"/>
        <w:jc w:val="center"/>
        <w:outlineLvl w:val="2"/>
      </w:pPr>
      <w:r>
        <w:rPr>
          <w:sz w:val="28"/>
          <w:b/>
        </w:rPr>
        <w:t>西安市儿童医院</w:t>
      </w:r>
    </w:p>
    <w:p>
      <w:pPr>
        <w:pStyle w:val="null3"/>
        <w:jc w:val="center"/>
        <w:outlineLvl w:val="2"/>
      </w:pPr>
      <w:r>
        <w:rPr>
          <w:sz w:val="28"/>
          <w:b/>
        </w:rPr>
        <w:t>陕西知源集易招标代理有限公司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陕西知源集易招标代理有限公司</w:t>
      </w:r>
      <w:r>
        <w:rPr/>
        <w:t>（以下简称“代理机构”）受</w:t>
      </w:r>
      <w:r>
        <w:rPr/>
        <w:t>西安市儿童医院</w:t>
      </w:r>
      <w:r>
        <w:rPr/>
        <w:t>委托，拟对</w:t>
      </w:r>
      <w:r>
        <w:rPr/>
        <w:t>经开院区电瓶摆渡车服务</w:t>
      </w:r>
      <w:r>
        <w:rPr/>
        <w:t>采用竞争性磋商采购方式进行采购，兹邀请供应商参加本项目的竞争性磋商。</w:t>
      </w:r>
    </w:p>
    <w:p>
      <w:pPr>
        <w:pStyle w:val="null3"/>
        <w:outlineLvl w:val="2"/>
      </w:pPr>
      <w:r>
        <w:rPr>
          <w:sz w:val="28"/>
          <w:b/>
        </w:rPr>
        <w:t>一、项目编号：</w:t>
      </w:r>
      <w:r>
        <w:rPr>
          <w:sz w:val="28"/>
          <w:b/>
        </w:rPr>
        <w:t>ZYJY-【2024】CS12127</w:t>
      </w:r>
    </w:p>
    <w:p>
      <w:pPr>
        <w:pStyle w:val="null3"/>
        <w:outlineLvl w:val="2"/>
      </w:pPr>
      <w:r>
        <w:rPr>
          <w:sz w:val="28"/>
          <w:b/>
        </w:rPr>
        <w:t>二、项目名称：</w:t>
      </w:r>
      <w:r>
        <w:rPr>
          <w:sz w:val="28"/>
          <w:b/>
        </w:rPr>
        <w:t>经开院区电瓶摆渡车服务</w:t>
      </w:r>
    </w:p>
    <w:p>
      <w:pPr>
        <w:pStyle w:val="null3"/>
        <w:outlineLvl w:val="2"/>
      </w:pPr>
      <w:r>
        <w:rPr>
          <w:sz w:val="28"/>
          <w:b/>
        </w:rPr>
        <w:t>三、磋商项目简介</w:t>
      </w:r>
    </w:p>
    <w:p>
      <w:pPr>
        <w:pStyle w:val="null3"/>
        <w:ind w:firstLine="480"/>
      </w:pPr>
      <w:r>
        <w:rPr/>
        <w:t>为满足医院工作人员及就诊人员摆渡用车需求，每车每天服务约80公里。具体内容详见采购文件。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采购包1（经开院区电瓶摆渡车服务）：属于专门面向中小企业采购。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1、营业执照等主体资格证明文件：提供有效存续的企业营业执照（副本）/事业单位法人证书/专业服务机构执业许可证/民办非企业单位登记证书。自然人参与的提供身份证明；</w:t>
      </w:r>
    </w:p>
    <w:p>
      <w:pPr>
        <w:pStyle w:val="null3"/>
      </w:pPr>
      <w:r>
        <w:rPr/>
        <w:t>2、授权书：提供法定代表人授权书（附法定代表人、被授权人身份证复印件）及被授权人身份证原件（法定代表人直接参加投标，须提供法定代表人身份证明及身份证原件）；</w:t>
      </w:r>
    </w:p>
    <w:p>
      <w:pPr>
        <w:pStyle w:val="null3"/>
      </w:pPr>
      <w:r>
        <w:rPr/>
        <w:t>3、资质要求：供应商应具备交通管理部门核发有效的《道路运输经营许可证》；</w:t>
      </w:r>
    </w:p>
    <w:p>
      <w:pPr>
        <w:pStyle w:val="null3"/>
      </w:pPr>
      <w:r>
        <w:rPr/>
        <w:t>4、联合体承诺书：本项目不接受联合体投标。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西安市儿童医院</w:t>
      </w:r>
    </w:p>
    <w:p>
      <w:pPr>
        <w:pStyle w:val="null3"/>
      </w:pPr>
      <w:r>
        <w:rPr/>
        <w:t xml:space="preserve"> 地址： </w:t>
      </w:r>
      <w:r>
        <w:rPr/>
        <w:t>西安市莲湖区西举院巷69号</w:t>
      </w:r>
    </w:p>
    <w:p>
      <w:pPr>
        <w:pStyle w:val="null3"/>
      </w:pPr>
      <w:r>
        <w:rPr/>
        <w:t xml:space="preserve"> 邮编： </w:t>
      </w:r>
      <w:r>
        <w:rPr/>
        <w:t>710000</w:t>
      </w:r>
    </w:p>
    <w:p>
      <w:pPr>
        <w:pStyle w:val="null3"/>
      </w:pPr>
      <w:r>
        <w:rPr/>
        <w:t xml:space="preserve"> 联系人： </w:t>
      </w:r>
      <w:r>
        <w:rPr/>
        <w:t>西安市儿童医院经办</w:t>
      </w:r>
    </w:p>
    <w:p>
      <w:pPr>
        <w:pStyle w:val="null3"/>
      </w:pPr>
      <w:r>
        <w:rPr/>
        <w:t xml:space="preserve"> 联系电话： </w:t>
      </w:r>
      <w:r>
        <w:rPr/>
        <w:t>87692082</w:t>
      </w:r>
    </w:p>
    <w:p>
      <w:pPr>
        <w:pStyle w:val="null3"/>
        <w:outlineLvl w:val="3"/>
      </w:pPr>
      <w:r>
        <w:rPr>
          <w:sz w:val="24"/>
          <w:b/>
        </w:rPr>
        <w:t>代理机构：</w:t>
      </w:r>
      <w:r>
        <w:rPr>
          <w:sz w:val="24"/>
          <w:b/>
        </w:rPr>
        <w:t>陕西知源集易招标代理有限公司</w:t>
      </w:r>
    </w:p>
    <w:p>
      <w:pPr>
        <w:pStyle w:val="null3"/>
      </w:pPr>
      <w:r>
        <w:rPr/>
        <w:t xml:space="preserve"> 地址： </w:t>
      </w:r>
      <w:r>
        <w:rPr/>
        <w:t>陕西省西安市高新区科技二路兰基中心10楼1003室</w:t>
      </w:r>
    </w:p>
    <w:p>
      <w:pPr>
        <w:pStyle w:val="null3"/>
      </w:pPr>
      <w:r>
        <w:rPr/>
        <w:t xml:space="preserve"> 邮编： </w:t>
      </w:r>
      <w:r>
        <w:rPr/>
        <w:t>71000</w:t>
      </w:r>
    </w:p>
    <w:p>
      <w:pPr>
        <w:pStyle w:val="null3"/>
      </w:pPr>
      <w:r>
        <w:rPr/>
        <w:t xml:space="preserve"> 联系人： </w:t>
      </w:r>
      <w:r>
        <w:rPr/>
        <w:t>赵雪静</w:t>
      </w:r>
    </w:p>
    <w:p>
      <w:pPr>
        <w:pStyle w:val="null3"/>
      </w:pPr>
      <w:r>
        <w:rPr/>
        <w:t xml:space="preserve"> 联系电话： </w:t>
      </w:r>
      <w:r>
        <w:rPr/>
        <w:t>02989520099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单位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收费标准下浮20%执行。 开户名称：陕西知源集易招标代理有限公司 开户银行：西安银行股份有限公司西安曲江支行 号:981011510000073005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西安市儿童医院</w:t>
      </w:r>
      <w:r>
        <w:rPr/>
        <w:t>和</w:t>
      </w:r>
      <w:r>
        <w:rPr/>
        <w:t>陕西知源集易招标代理有限公司</w:t>
      </w:r>
      <w:r>
        <w:rPr/>
        <w:t>享有。对磋商文件中供应商参加本次政府采购活动应当具备的条件，磋商项目技术、服务、商务及其他要求，评审细则及标准由</w:t>
      </w:r>
      <w:r>
        <w:rPr/>
        <w:t>西安市儿童医院</w:t>
      </w:r>
      <w:r>
        <w:rPr/>
        <w:t>负责解释。除上述磋商文件内容，其他内容由</w:t>
      </w:r>
      <w:r>
        <w:rPr/>
        <w:t>陕西知源集易招标代理有限公司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陕西知源集易招标代理有限公司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陕西知源集易招标代理有限公司</w:t>
      </w:r>
      <w:r>
        <w:rPr/>
        <w:t xml:space="preserve"> 负责答复；供应商对除采购需求外的采购文件的询问、质疑由</w:t>
      </w:r>
      <w:r>
        <w:rPr/>
        <w:t>陕西知源集易招标代理有限公司</w:t>
      </w:r>
      <w:r>
        <w:rPr/>
        <w:t xml:space="preserve"> 负责答复；供应商对采购过程、采购结果的询问、质疑由 </w:t>
      </w:r>
      <w:r>
        <w:rPr/>
        <w:t>陕西知源集易招标代理有限公司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联系人：赵雪静</w:t>
      </w:r>
    </w:p>
    <w:p>
      <w:pPr>
        <w:pStyle w:val="null3"/>
      </w:pPr>
      <w:r>
        <w:rPr/>
        <w:t>联系电话：02989520099</w:t>
      </w:r>
    </w:p>
    <w:p>
      <w:pPr>
        <w:pStyle w:val="null3"/>
      </w:pPr>
      <w:r>
        <w:rPr/>
        <w:t>地址：陕西省西安市高新区科技二路兰基中心10楼1003室</w:t>
      </w:r>
    </w:p>
    <w:p>
      <w:pPr>
        <w:pStyle w:val="null3"/>
      </w:pPr>
      <w:r>
        <w:rPr/>
        <w:t>邮编：71000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为方便我院经开院区患者就医，拟采购电瓶摆渡车服务。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经开院区摆渡车</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标的名称：经开院区摆渡车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6"/>
              <w:gridCol w:w="273"/>
              <w:gridCol w:w="1924"/>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FF"/>
                    </w:rPr>
                    <w:t xml:space="preserve"> </w:t>
                  </w:r>
                  <w:r>
                    <w:rPr>
                      <w:rFonts w:ascii="宋体" w:hAnsi="宋体" w:cs="宋体" w:eastAsia="宋体"/>
                      <w:sz w:val="20"/>
                      <w:color w:val="0000FF"/>
                    </w:rPr>
                    <w:t>参数性质</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FF"/>
                    </w:rPr>
                    <w:t xml:space="preserve"> </w:t>
                  </w:r>
                  <w:r>
                    <w:rPr>
                      <w:rFonts w:ascii="宋体" w:hAnsi="宋体" w:cs="宋体" w:eastAsia="宋体"/>
                      <w:sz w:val="20"/>
                      <w:color w:val="0000FF"/>
                    </w:rPr>
                    <w:t>序号</w:t>
                  </w:r>
                </w:p>
              </w:tc>
              <w:tc>
                <w:tcPr>
                  <w:tcW w:type="dxa" w:w="1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FF"/>
                    </w:rPr>
                    <w:t xml:space="preserve"> </w:t>
                  </w:r>
                  <w:r>
                    <w:rPr>
                      <w:rFonts w:ascii="宋体" w:hAnsi="宋体" w:cs="宋体" w:eastAsia="宋体"/>
                      <w:sz w:val="20"/>
                      <w:color w:val="0000FF"/>
                    </w:rPr>
                    <w:t>技术参数与性能指标</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color w:val="0000FF"/>
                    </w:rPr>
                    <w:t>1</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FF"/>
                    </w:rPr>
                    <w:t>一、</w:t>
                  </w:r>
                  <w:r>
                    <w:rPr>
                      <w:rFonts w:ascii="宋体" w:hAnsi="宋体" w:cs="宋体" w:eastAsia="宋体"/>
                      <w:sz w:val="20"/>
                      <w:b/>
                      <w:color w:val="0000FF"/>
                    </w:rPr>
                    <w:t>项目概况</w:t>
                  </w:r>
                  <w:r>
                    <w:rPr>
                      <w:rFonts w:ascii="宋体" w:hAnsi="宋体" w:cs="宋体" w:eastAsia="宋体"/>
                      <w:sz w:val="20"/>
                      <w:color w:val="0000FF"/>
                    </w:rPr>
                    <w:t>：</w:t>
                  </w:r>
                </w:p>
                <w:p>
                  <w:pPr>
                    <w:pStyle w:val="null3"/>
                    <w:ind w:firstLine="400"/>
                    <w:jc w:val="left"/>
                  </w:pPr>
                  <w:r>
                    <w:rPr>
                      <w:rFonts w:ascii="宋体" w:hAnsi="宋体" w:cs="宋体" w:eastAsia="宋体"/>
                      <w:sz w:val="20"/>
                      <w:color w:val="0000FF"/>
                    </w:rPr>
                    <w:t>为满足医院工作人员及就诊人员摆渡用车需求，每车每天服务约</w:t>
                  </w:r>
                  <w:r>
                    <w:rPr>
                      <w:rFonts w:ascii="宋体" w:hAnsi="宋体" w:cs="宋体" w:eastAsia="宋体"/>
                      <w:sz w:val="20"/>
                      <w:color w:val="0000FF"/>
                    </w:rPr>
                    <w:t>80公里。</w:t>
                  </w:r>
                </w:p>
                <w:p>
                  <w:pPr>
                    <w:pStyle w:val="null3"/>
                    <w:ind w:firstLine="400"/>
                    <w:jc w:val="left"/>
                  </w:pPr>
                  <w:r>
                    <w:rPr>
                      <w:rFonts w:ascii="宋体" w:hAnsi="宋体" w:cs="宋体" w:eastAsia="宋体"/>
                      <w:sz w:val="20"/>
                      <w:color w:val="0000FF"/>
                    </w:rPr>
                    <w:t>本项目最高限价：单价最高限价</w:t>
                  </w:r>
                  <w:r>
                    <w:rPr>
                      <w:rFonts w:ascii="宋体" w:hAnsi="宋体" w:cs="宋体" w:eastAsia="宋体"/>
                      <w:sz w:val="20"/>
                      <w:b/>
                      <w:color w:val="0000FF"/>
                    </w:rPr>
                    <w:t>750元/台/天</w:t>
                  </w:r>
                  <w:r>
                    <w:rPr>
                      <w:rFonts w:ascii="宋体" w:hAnsi="宋体" w:cs="宋体" w:eastAsia="宋体"/>
                      <w:sz w:val="20"/>
                      <w:color w:val="0000FF"/>
                    </w:rPr>
                    <w:t>（</w:t>
                  </w:r>
                  <w:r>
                    <w:rPr>
                      <w:rFonts w:ascii="宋体" w:hAnsi="宋体" w:cs="宋体" w:eastAsia="宋体"/>
                      <w:sz w:val="20"/>
                      <w:color w:val="0000FF"/>
                    </w:rPr>
                    <w:t>25座及以上车型）</w:t>
                  </w:r>
                </w:p>
                <w:p>
                  <w:pPr>
                    <w:pStyle w:val="null3"/>
                    <w:ind w:firstLine="400"/>
                    <w:jc w:val="left"/>
                  </w:pPr>
                  <w:r>
                    <w:rPr>
                      <w:rFonts w:ascii="宋体" w:hAnsi="宋体" w:cs="宋体" w:eastAsia="宋体"/>
                      <w:sz w:val="20"/>
                      <w:color w:val="0000FF"/>
                    </w:rPr>
                    <w:t>单价最高限价</w:t>
                  </w:r>
                  <w:r>
                    <w:rPr>
                      <w:rFonts w:ascii="宋体" w:hAnsi="宋体" w:cs="宋体" w:eastAsia="宋体"/>
                      <w:sz w:val="20"/>
                      <w:b/>
                      <w:color w:val="0000FF"/>
                    </w:rPr>
                    <w:t>880元/台/天</w:t>
                  </w:r>
                  <w:r>
                    <w:rPr>
                      <w:rFonts w:ascii="宋体" w:hAnsi="宋体" w:cs="宋体" w:eastAsia="宋体"/>
                      <w:sz w:val="20"/>
                      <w:color w:val="0000FF"/>
                    </w:rPr>
                    <w:t>（</w:t>
                  </w:r>
                  <w:r>
                    <w:rPr>
                      <w:rFonts w:ascii="宋体" w:hAnsi="宋体" w:cs="宋体" w:eastAsia="宋体"/>
                      <w:sz w:val="20"/>
                      <w:color w:val="0000FF"/>
                    </w:rPr>
                    <w:t>50座及以上车型）</w:t>
                  </w:r>
                </w:p>
                <w:p>
                  <w:pPr>
                    <w:pStyle w:val="null3"/>
                    <w:jc w:val="left"/>
                  </w:pPr>
                  <w:r>
                    <w:rPr>
                      <w:rFonts w:ascii="宋体" w:hAnsi="宋体" w:cs="宋体" w:eastAsia="宋体"/>
                      <w:sz w:val="20"/>
                      <w:b/>
                      <w:color w:val="0000FF"/>
                    </w:rPr>
                    <w:t>二、</w:t>
                  </w:r>
                  <w:r>
                    <w:rPr>
                      <w:rFonts w:ascii="宋体" w:hAnsi="宋体" w:cs="宋体" w:eastAsia="宋体"/>
                      <w:sz w:val="20"/>
                      <w:b/>
                      <w:color w:val="0000FF"/>
                    </w:rPr>
                    <w:t>服务</w:t>
                  </w:r>
                  <w:r>
                    <w:rPr>
                      <w:rFonts w:ascii="宋体" w:hAnsi="宋体" w:cs="宋体" w:eastAsia="宋体"/>
                      <w:sz w:val="20"/>
                      <w:b/>
                      <w:color w:val="0000FF"/>
                    </w:rPr>
                    <w:t>要求：</w:t>
                  </w:r>
                </w:p>
                <w:p>
                  <w:pPr>
                    <w:pStyle w:val="null3"/>
                    <w:ind w:firstLine="400"/>
                    <w:jc w:val="left"/>
                  </w:pPr>
                  <w:r>
                    <w:rPr>
                      <w:rFonts w:ascii="宋体" w:hAnsi="宋体" w:cs="宋体" w:eastAsia="宋体"/>
                      <w:sz w:val="20"/>
                      <w:color w:val="0000FF"/>
                    </w:rPr>
                    <w:t>1、服务内容、要求：</w:t>
                  </w:r>
                </w:p>
                <w:p>
                  <w:pPr>
                    <w:pStyle w:val="null3"/>
                    <w:ind w:firstLine="400"/>
                    <w:jc w:val="left"/>
                  </w:pPr>
                  <w:r>
                    <w:rPr>
                      <w:rFonts w:ascii="宋体" w:hAnsi="宋体" w:cs="宋体" w:eastAsia="宋体"/>
                      <w:sz w:val="20"/>
                      <w:color w:val="0000FF"/>
                    </w:rPr>
                    <w:t>1.1.医院工作人员及就诊人员的用车需求。（员工及就诊人员摆渡班车）。</w:t>
                  </w:r>
                </w:p>
                <w:p>
                  <w:pPr>
                    <w:pStyle w:val="null3"/>
                    <w:ind w:firstLine="400"/>
                    <w:jc w:val="left"/>
                  </w:pPr>
                  <w:r>
                    <w:rPr>
                      <w:rFonts w:ascii="宋体" w:hAnsi="宋体" w:cs="宋体" w:eastAsia="宋体"/>
                      <w:sz w:val="20"/>
                      <w:color w:val="0000FF"/>
                    </w:rPr>
                    <w:t>1.2.全年无节假日满足医院工作人员及就诊人员用车，每天不得少于80公里的摆渡服务（包括临时性的通勤任务），上下车地点由医院指定。</w:t>
                  </w:r>
                </w:p>
                <w:p>
                  <w:pPr>
                    <w:pStyle w:val="null3"/>
                    <w:ind w:firstLine="400"/>
                    <w:jc w:val="left"/>
                  </w:pPr>
                  <w:r>
                    <w:rPr>
                      <w:rFonts w:ascii="宋体" w:hAnsi="宋体" w:cs="宋体" w:eastAsia="宋体"/>
                      <w:sz w:val="20"/>
                      <w:color w:val="0000FF"/>
                    </w:rPr>
                    <w:t>2、车辆及驾驶员要求：</w:t>
                  </w:r>
                </w:p>
                <w:p>
                  <w:pPr>
                    <w:pStyle w:val="null3"/>
                    <w:ind w:firstLine="400"/>
                    <w:jc w:val="left"/>
                  </w:pPr>
                  <w:r>
                    <w:rPr>
                      <w:rFonts w:ascii="宋体" w:hAnsi="宋体" w:cs="宋体" w:eastAsia="宋体"/>
                      <w:sz w:val="20"/>
                      <w:color w:val="0000FF"/>
                    </w:rPr>
                    <w:t>2.1.车辆需求：25座及以上车型、50座及以上车型</w:t>
                  </w:r>
                </w:p>
                <w:p>
                  <w:pPr>
                    <w:pStyle w:val="null3"/>
                    <w:ind w:firstLine="400"/>
                    <w:jc w:val="left"/>
                  </w:pPr>
                  <w:r>
                    <w:rPr>
                      <w:rFonts w:ascii="宋体" w:hAnsi="宋体" w:cs="宋体" w:eastAsia="宋体"/>
                      <w:sz w:val="20"/>
                      <w:color w:val="0000FF"/>
                    </w:rPr>
                    <w:t>2.2.具有营运证及相关手续齐全的车辆，需提供五年内营运车辆（以车辆行驶证注册之日起计算，不得超过五年）</w:t>
                  </w:r>
                </w:p>
                <w:p>
                  <w:pPr>
                    <w:pStyle w:val="null3"/>
                    <w:ind w:firstLine="400"/>
                    <w:jc w:val="left"/>
                  </w:pPr>
                  <w:r>
                    <w:rPr>
                      <w:rFonts w:ascii="宋体" w:hAnsi="宋体" w:cs="宋体" w:eastAsia="宋体"/>
                      <w:sz w:val="20"/>
                      <w:color w:val="0000FF"/>
                    </w:rPr>
                    <w:t>2.3.具有客运车辆驾驶资格的驾驶员以及三年内无重大交通事故或同等以上责任事故的。</w:t>
                  </w:r>
                </w:p>
                <w:p>
                  <w:pPr>
                    <w:pStyle w:val="null3"/>
                    <w:jc w:val="left"/>
                  </w:pPr>
                  <w:r>
                    <w:rPr>
                      <w:rFonts w:ascii="宋体" w:hAnsi="宋体" w:cs="宋体" w:eastAsia="宋体"/>
                      <w:sz w:val="20"/>
                      <w:b/>
                      <w:color w:val="0000FF"/>
                    </w:rPr>
                    <w:t>三、</w:t>
                  </w:r>
                  <w:r>
                    <w:rPr>
                      <w:rFonts w:ascii="宋体" w:hAnsi="宋体" w:cs="宋体" w:eastAsia="宋体"/>
                      <w:sz w:val="20"/>
                      <w:b/>
                      <w:color w:val="0000FF"/>
                    </w:rPr>
                    <w:t>商务要求</w:t>
                  </w:r>
                  <w:r>
                    <w:rPr>
                      <w:rFonts w:ascii="宋体" w:hAnsi="宋体" w:cs="宋体" w:eastAsia="宋体"/>
                      <w:sz w:val="20"/>
                      <w:b/>
                      <w:color w:val="0000FF"/>
                    </w:rPr>
                    <w:t>：</w:t>
                  </w:r>
                </w:p>
                <w:p>
                  <w:pPr>
                    <w:pStyle w:val="null3"/>
                    <w:ind w:firstLine="400"/>
                    <w:jc w:val="left"/>
                  </w:pPr>
                  <w:r>
                    <w:rPr>
                      <w:rFonts w:ascii="宋体" w:hAnsi="宋体" w:cs="宋体" w:eastAsia="宋体"/>
                      <w:sz w:val="20"/>
                      <w:color w:val="0000FF"/>
                    </w:rPr>
                    <w:t>1</w:t>
                  </w:r>
                  <w:r>
                    <w:rPr>
                      <w:rFonts w:ascii="宋体" w:hAnsi="宋体" w:cs="宋体" w:eastAsia="宋体"/>
                      <w:sz w:val="20"/>
                      <w:color w:val="0000FF"/>
                    </w:rPr>
                    <w:t>、</w:t>
                  </w:r>
                  <w:r>
                    <w:rPr>
                      <w:rFonts w:ascii="宋体" w:hAnsi="宋体" w:cs="宋体" w:eastAsia="宋体"/>
                      <w:sz w:val="20"/>
                      <w:color w:val="0000FF"/>
                    </w:rPr>
                    <w:t>服务期：自</w:t>
                  </w:r>
                  <w:r>
                    <w:rPr>
                      <w:rFonts w:ascii="宋体" w:hAnsi="宋体" w:cs="宋体" w:eastAsia="宋体"/>
                      <w:sz w:val="20"/>
                      <w:color w:val="0000FF"/>
                    </w:rPr>
                    <w:t>合同签订之日起半年</w:t>
                  </w:r>
                  <w:r>
                    <w:rPr>
                      <w:rFonts w:ascii="宋体" w:hAnsi="宋体" w:cs="宋体" w:eastAsia="宋体"/>
                      <w:sz w:val="20"/>
                      <w:color w:val="0000FF"/>
                    </w:rPr>
                    <w:t>。</w:t>
                  </w:r>
                </w:p>
                <w:p>
                  <w:pPr>
                    <w:pStyle w:val="null3"/>
                    <w:ind w:firstLine="400"/>
                    <w:jc w:val="left"/>
                  </w:pPr>
                  <w:r>
                    <w:rPr>
                      <w:rFonts w:ascii="宋体" w:hAnsi="宋体" w:cs="宋体" w:eastAsia="宋体"/>
                      <w:sz w:val="20"/>
                      <w:color w:val="0000FF"/>
                    </w:rPr>
                    <w:t>2</w:t>
                  </w:r>
                  <w:r>
                    <w:rPr>
                      <w:rFonts w:ascii="宋体" w:hAnsi="宋体" w:cs="宋体" w:eastAsia="宋体"/>
                      <w:sz w:val="20"/>
                      <w:color w:val="0000FF"/>
                    </w:rPr>
                    <w:t>、</w:t>
                  </w:r>
                  <w:r>
                    <w:rPr>
                      <w:rFonts w:ascii="宋体" w:hAnsi="宋体" w:cs="宋体" w:eastAsia="宋体"/>
                      <w:sz w:val="20"/>
                      <w:color w:val="0000FF"/>
                    </w:rPr>
                    <w:t>服务地点：</w:t>
                  </w:r>
                  <w:r>
                    <w:rPr>
                      <w:rFonts w:ascii="宋体" w:hAnsi="宋体" w:cs="宋体" w:eastAsia="宋体"/>
                      <w:sz w:val="20"/>
                      <w:color w:val="0000FF"/>
                    </w:rPr>
                    <w:t>采购人指定的地点</w:t>
                  </w:r>
                  <w:r>
                    <w:rPr>
                      <w:rFonts w:ascii="宋体" w:hAnsi="宋体" w:cs="宋体" w:eastAsia="宋体"/>
                      <w:sz w:val="20"/>
                      <w:color w:val="0000FF"/>
                    </w:rPr>
                    <w:t>。</w:t>
                  </w:r>
                </w:p>
                <w:p>
                  <w:pPr>
                    <w:pStyle w:val="null3"/>
                    <w:ind w:firstLine="400"/>
                    <w:jc w:val="left"/>
                  </w:pPr>
                  <w:r>
                    <w:rPr>
                      <w:rFonts w:ascii="宋体" w:hAnsi="宋体" w:cs="宋体" w:eastAsia="宋体"/>
                      <w:sz w:val="20"/>
                      <w:color w:val="0000FF"/>
                    </w:rPr>
                    <w:t>3、服务质量要求：质量达到现行合格标准，符合国家、行业、地方规定以及磋商文件规定标准要求。</w:t>
                  </w:r>
                </w:p>
                <w:p>
                  <w:pPr>
                    <w:pStyle w:val="null3"/>
                    <w:ind w:firstLine="400"/>
                    <w:jc w:val="both"/>
                  </w:pPr>
                  <w:r>
                    <w:rPr>
                      <w:rFonts w:ascii="宋体" w:hAnsi="宋体" w:cs="宋体" w:eastAsia="宋体"/>
                      <w:sz w:val="20"/>
                      <w:color w:val="0000FF"/>
                    </w:rPr>
                    <w:t>4、付款方式：</w:t>
                  </w:r>
                  <w:r>
                    <w:rPr>
                      <w:rFonts w:ascii="宋体" w:hAnsi="宋体" w:cs="宋体" w:eastAsia="宋体"/>
                      <w:sz w:val="20"/>
                      <w:color w:val="0000FF"/>
                    </w:rPr>
                    <w:t>合同签订后，以每日车辆价格按月据实结算。</w:t>
                  </w:r>
                </w:p>
              </w:tc>
            </w:tr>
          </w:tbl>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自合同签订之日起半年</w:t>
      </w:r>
    </w:p>
    <w:p>
      <w:pPr>
        <w:pStyle w:val="null3"/>
        <w:outlineLvl w:val="3"/>
      </w:pPr>
      <w:r>
        <w:rPr>
          <w:sz w:val="24"/>
          <w:b/>
        </w:rPr>
        <w:t>3.3.2服务地点</w:t>
      </w:r>
    </w:p>
    <w:p>
      <w:pPr>
        <w:pStyle w:val="null3"/>
      </w:pPr>
      <w:r>
        <w:rPr/>
        <w:t>采购包1：</w:t>
      </w:r>
    </w:p>
    <w:p>
      <w:pPr>
        <w:pStyle w:val="null3"/>
      </w:pPr>
      <w:r>
        <w:rPr/>
        <w:t>西安市儿童医院经开院区。</w:t>
      </w:r>
    </w:p>
    <w:p>
      <w:pPr>
        <w:pStyle w:val="null3"/>
        <w:outlineLvl w:val="3"/>
      </w:pPr>
      <w:r>
        <w:rPr>
          <w:sz w:val="24"/>
          <w:b/>
        </w:rPr>
        <w:t>3.3.3考核（验收）标准和方法</w:t>
      </w:r>
    </w:p>
    <w:p>
      <w:pPr>
        <w:pStyle w:val="null3"/>
      </w:pPr>
      <w:r>
        <w:rPr/>
        <w:t>采购包1：</w:t>
      </w:r>
    </w:p>
    <w:p>
      <w:pPr>
        <w:pStyle w:val="null3"/>
      </w:pPr>
      <w:r>
        <w:rPr/>
        <w:t>按磋商文件及合同约定执行。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合同签订后，以每日车辆价格按月据实结算（合同总金额100%是指每月实际费用总和）</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1.供应商需要在线提交所有通过电子化交易平台实施的政府采购项目的响应文件，同时，线下提交响应文件正本 壹 份、副本 贰 份、电子版 壹 份（U盘一套标明供应商名称，单独密封）；纸质版响应文件在书脊处标注项目名称和项目编号，纸质投标文件一律采用书籍（胶装）方式装订且打印。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1、财务状况报告：提供2023年度完整版的财务审计报告，成立时间至提交投标文件截止时间不足一年的可提供成立后任意时段的资产负债表，或投标时间前六个月内基本账户银行出具的资信证明； 2、税收缴纳证明：提供投标截止之日前一年内已缴纳的至少三个月的纳税证明或完税证明（任意税种），依法免税的单位应提供相关证明材料； 3、社会保障资金缴纳证明：提供投标截止之日前一年内已缴存的至少三个月的社会保障资金缴存单据或社保机构开具的社会保险参保缴费情况证明，依法不需要缴纳社会保障资金的单位应提供相关证明材料； 4、专业技术能力说明：提供具有履行本合同所必需的设备和专业技术能力的说明及承诺书；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6、参加政府采购活动前3年内，在经营活动中没有重大违法记录的书面声明； 注：（1）以上1-6项，提供“基本资格条件承诺函”的，可不再提供其他证明文件。（2）供应商需在项目电子化交易系统中按要求上传相应证明文件并进行电子签章。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提供有效存续的企业营业执照（副本）/事业单位法人证书/专业服务机构执业许可证/民办非企业单位登记证书。自然人参与的提供身份证明；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供应商应具备交通管理部门核发有效的《道路运输经营许可证》；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联合体承诺书</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有效性审查-响应文件的签字盖章</w:t>
            </w:r>
          </w:p>
        </w:tc>
        <w:tc>
          <w:tcPr>
            <w:tcW w:type="dxa" w:w="3322"/>
          </w:tcPr>
          <w:p>
            <w:pPr>
              <w:pStyle w:val="null3"/>
            </w:pPr>
            <w:r>
              <w:rPr/>
              <w:t>响应文件上法定代表人或其委托代理人的签字齐全并加盖单位章。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有效性审查-响应文件格式</w:t>
            </w:r>
          </w:p>
        </w:tc>
        <w:tc>
          <w:tcPr>
            <w:tcW w:type="dxa" w:w="3322"/>
          </w:tcPr>
          <w:p>
            <w:pPr>
              <w:pStyle w:val="null3"/>
            </w:pPr>
            <w:r>
              <w:rPr/>
              <w:t>应符合磋商文件“竞争性磋商响应文件格式”规定的文件格式要求。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有效性审查-报价唯一</w:t>
            </w:r>
          </w:p>
        </w:tc>
        <w:tc>
          <w:tcPr>
            <w:tcW w:type="dxa" w:w="3322"/>
          </w:tcPr>
          <w:p>
            <w:pPr>
              <w:pStyle w:val="null3"/>
            </w:pPr>
            <w:r>
              <w:rPr/>
              <w:t>只能有一个有效报价，不得提交选择性报价，且报价不超过单价最高限价。</w:t>
            </w:r>
          </w:p>
        </w:tc>
        <w:tc>
          <w:tcPr>
            <w:tcW w:type="dxa" w:w="1661"/>
          </w:tcPr>
          <w:p>
            <w:pPr>
              <w:pStyle w:val="null3"/>
            </w:pPr>
            <w:r>
              <w:rPr/>
              <w:t>响应文件封面 首次磋商分项报价表 首次磋商报价表</w:t>
            </w:r>
          </w:p>
        </w:tc>
      </w:tr>
      <w:tr>
        <w:tc>
          <w:tcPr>
            <w:tcW w:type="dxa" w:w="831"/>
          </w:tcPr>
          <w:p>
            <w:pPr>
              <w:pStyle w:val="null3"/>
            </w:pPr>
            <w:r>
              <w:rPr/>
              <w:t>5</w:t>
            </w:r>
          </w:p>
        </w:tc>
        <w:tc>
          <w:tcPr>
            <w:tcW w:type="dxa" w:w="2492"/>
          </w:tcPr>
          <w:p>
            <w:pPr>
              <w:pStyle w:val="null3"/>
            </w:pPr>
            <w:r>
              <w:rPr/>
              <w:t>完整性审查-响应文件内容</w:t>
            </w:r>
          </w:p>
        </w:tc>
        <w:tc>
          <w:tcPr>
            <w:tcW w:type="dxa" w:w="3322"/>
          </w:tcPr>
          <w:p>
            <w:pPr>
              <w:pStyle w:val="null3"/>
            </w:pPr>
            <w:r>
              <w:rPr/>
              <w:t>响应文件内容完整、无遗漏。</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响应性审查-对磋商文件响应程度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响应性审查-服务期限</w:t>
            </w:r>
          </w:p>
        </w:tc>
        <w:tc>
          <w:tcPr>
            <w:tcW w:type="dxa" w:w="3322"/>
          </w:tcPr>
          <w:p>
            <w:pPr>
              <w:pStyle w:val="null3"/>
            </w:pPr>
            <w:r>
              <w:rPr/>
              <w:t>应满足磋商文件中规定的服务期限要求。</w:t>
            </w:r>
          </w:p>
        </w:tc>
        <w:tc>
          <w:tcPr>
            <w:tcW w:type="dxa" w:w="1661"/>
          </w:tcPr>
          <w:p>
            <w:pPr>
              <w:pStyle w:val="null3"/>
            </w:pPr>
            <w:r>
              <w:rPr/>
              <w:t>响应文件封面 商务条款响应偏离表</w:t>
            </w:r>
          </w:p>
        </w:tc>
      </w:tr>
      <w:tr>
        <w:tc>
          <w:tcPr>
            <w:tcW w:type="dxa" w:w="831"/>
          </w:tcPr>
          <w:p>
            <w:pPr>
              <w:pStyle w:val="null3"/>
            </w:pPr>
            <w:r>
              <w:rPr/>
              <w:t>8</w:t>
            </w:r>
          </w:p>
        </w:tc>
        <w:tc>
          <w:tcPr>
            <w:tcW w:type="dxa" w:w="2492"/>
          </w:tcPr>
          <w:p>
            <w:pPr>
              <w:pStyle w:val="null3"/>
            </w:pPr>
            <w:r>
              <w:rPr/>
              <w:t>响应性审查-磋商有效期</w:t>
            </w:r>
          </w:p>
        </w:tc>
        <w:tc>
          <w:tcPr>
            <w:tcW w:type="dxa" w:w="3322"/>
          </w:tcPr>
          <w:p>
            <w:pPr>
              <w:pStyle w:val="null3"/>
            </w:pPr>
            <w:r>
              <w:rPr/>
              <w:t>应满足磋商文件中规定的磋商有效期要求。</w:t>
            </w:r>
          </w:p>
        </w:tc>
        <w:tc>
          <w:tcPr>
            <w:tcW w:type="dxa" w:w="1661"/>
          </w:tcPr>
          <w:p>
            <w:pPr>
              <w:pStyle w:val="null3"/>
            </w:pPr>
            <w:r>
              <w:rPr/>
              <w:t>响应文件封面 响应函</w:t>
            </w:r>
          </w:p>
        </w:tc>
      </w:tr>
      <w:tr>
        <w:tc>
          <w:tcPr>
            <w:tcW w:type="dxa" w:w="831"/>
          </w:tcPr>
          <w:p>
            <w:pPr>
              <w:pStyle w:val="null3"/>
            </w:pPr>
            <w:r>
              <w:rPr/>
              <w:t>9</w:t>
            </w:r>
          </w:p>
        </w:tc>
        <w:tc>
          <w:tcPr>
            <w:tcW w:type="dxa" w:w="2492"/>
          </w:tcPr>
          <w:p>
            <w:pPr>
              <w:pStyle w:val="null3"/>
            </w:pPr>
            <w:r>
              <w:rPr/>
              <w:t>利益关系承诺</w:t>
            </w:r>
          </w:p>
        </w:tc>
        <w:tc>
          <w:tcPr>
            <w:tcW w:type="dxa" w:w="3322"/>
          </w:tcPr>
          <w:p>
            <w:pPr>
              <w:pStyle w:val="null3"/>
            </w:pPr>
            <w:r>
              <w:rPr/>
              <w:t>1.不接受西安市儿童医院的职工投资开办或控股的企业 2.不接受西安市儿童医院的职工本人或亲属在投标单位担任高管、独立董事等具有重大利益关系职务的企业 。</w:t>
            </w:r>
          </w:p>
        </w:tc>
        <w:tc>
          <w:tcPr>
            <w:tcW w:type="dxa" w:w="1661"/>
          </w:tcPr>
          <w:p>
            <w:pPr>
              <w:pStyle w:val="null3"/>
            </w:pPr>
            <w:r>
              <w:rPr/>
              <w:t>响应文件封面 相关承诺书 供应商认为有必要说明的其他问题</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整体服务方案 1.针对本项目提供整体服务方案内容详细全面，合理性、针对性、可行性及操作性强的，得15分； 2.针对本项目提供整体服务方案内容较详细全面，合理性、针对性、可行性及操作性较强的，得13分； 3.针对本项目提供整体服务方案内容一般，合理性、针对性、可行性及操作性一般的，得10分； 4.针对本项目提供整体服务方案内容一般，合理性、针对性、可行性及操作性基本可行的，得8分； 5.针对本项目提供整体服务方案内容不够全面，合理性、针对性、可行性及操作性较差的，得6分； 6.针对本项目提供整体服务方案内容不够全面，不合理、无针对性得2分； 未提供的，不得分。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车辆配备方案</w:t>
            </w:r>
          </w:p>
        </w:tc>
        <w:tc>
          <w:tcPr>
            <w:tcW w:type="dxa" w:w="2492"/>
          </w:tcPr>
          <w:p>
            <w:pPr>
              <w:pStyle w:val="null3"/>
            </w:pPr>
            <w:r>
              <w:rPr/>
              <w:t>车辆配备方案：综合考虑供应商针对本项目拟投入的车辆配备方案进行评审 1.车辆配备齐全、合理，型号先进，完全满足项目要求，得10分； 2.车辆配备齐全，合理性一般，型号较先进，能够满足项目要求，得8分； 3.车辆配备较落后且基本满足项目要求，得5分； 4.无法满足项目要求或未提供的不得分。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服务条款响应偏离表</w:t>
            </w:r>
          </w:p>
          <w:p>
            <w:pPr>
              <w:pStyle w:val="null3"/>
            </w:pPr>
            <w:r>
              <w:rPr/>
              <w:t>实施方案</w:t>
            </w:r>
          </w:p>
        </w:tc>
      </w:tr>
      <w:tr>
        <w:tc>
          <w:tcPr>
            <w:tcW w:type="dxa" w:w="831"/>
            <w:vMerge/>
          </w:tcPr>
          <w:p/>
        </w:tc>
        <w:tc>
          <w:tcPr>
            <w:tcW w:type="dxa" w:w="1661"/>
          </w:tcPr>
          <w:p>
            <w:pPr>
              <w:pStyle w:val="null3"/>
            </w:pPr>
            <w:r>
              <w:rPr/>
              <w:t>协调调度方案</w:t>
            </w:r>
          </w:p>
        </w:tc>
        <w:tc>
          <w:tcPr>
            <w:tcW w:type="dxa" w:w="2492"/>
          </w:tcPr>
          <w:p>
            <w:pPr>
              <w:pStyle w:val="null3"/>
            </w:pPr>
            <w:r>
              <w:rPr/>
              <w:t>协调调度方案：拟提供服务车辆车况良好、外观统一。针对本项目提供的各项协调调度方案（包括但不限于：与采购人管理系统建立协调方案、人员协调措施、车辆协调措施等）：1.方案内容全面明确，各项措施科学合理，针对性及可操作性强的，得10分； 2.方案内容较全面明确，各项措施较科学合理，针对性及可操作性较强的，得8分； 3.方案内容一般，各项措施一般，针对性及可操作性一般的，得6分； 4.方案内容不全面，措施较科学不合理，针对性及可操作性较差的，得3分； 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管理制度</w:t>
            </w:r>
          </w:p>
        </w:tc>
        <w:tc>
          <w:tcPr>
            <w:tcW w:type="dxa" w:w="2492"/>
          </w:tcPr>
          <w:p>
            <w:pPr>
              <w:pStyle w:val="null3"/>
            </w:pPr>
            <w:r>
              <w:rPr/>
              <w:t>管理制度：针对本项目制定的各项管理制度内容详细全面，条理清晰， 1.针对性、可行性及操作性强的，得10分； 2.针对本项目制定的各项管理制度内容较全面，条理较清晰，针对性、可行性及操作性一般的，得8分； 3.针对本项目制定的各项管理制度内容一般，条理一般，针对性、可行性及操作性一般的，得6分； 4.针对本项目制定的各项管理制度内容不够全面，条理不够清晰，针对性、可行性及操作性较差的，得3分； 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商务条款响应偏离表</w:t>
            </w:r>
          </w:p>
        </w:tc>
      </w:tr>
      <w:tr>
        <w:tc>
          <w:tcPr>
            <w:tcW w:type="dxa" w:w="831"/>
            <w:vMerge/>
          </w:tcPr>
          <w:p/>
        </w:tc>
        <w:tc>
          <w:tcPr>
            <w:tcW w:type="dxa" w:w="1661"/>
          </w:tcPr>
          <w:p>
            <w:pPr>
              <w:pStyle w:val="null3"/>
            </w:pPr>
            <w:r>
              <w:rPr/>
              <w:t>应急处理方案</w:t>
            </w:r>
          </w:p>
        </w:tc>
        <w:tc>
          <w:tcPr>
            <w:tcW w:type="dxa" w:w="2492"/>
          </w:tcPr>
          <w:p>
            <w:pPr>
              <w:pStyle w:val="null3"/>
            </w:pPr>
            <w:r>
              <w:rPr/>
              <w:t>应急处理方案：针对本项目的采购需求提供应急处理方案（包括但不限于：交通事故、车辆维修等）： 1.方案内容全面明确，应对措施科学合理，针对性及可操作性强的，得10分； 2.方案内容较全面明确，应对措施较科学合理，比较针对性及可操作性较强的，得8分；3.方案内容一般，应对措施一般，针对性及可操作性一般的， 得6分； 4.方案内容不全面，措施较科学不合理，针对性及可操作性较差的，得3分； 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服务承诺</w:t>
            </w:r>
          </w:p>
        </w:tc>
        <w:tc>
          <w:tcPr>
            <w:tcW w:type="dxa" w:w="2492"/>
          </w:tcPr>
          <w:p>
            <w:pPr>
              <w:pStyle w:val="null3"/>
            </w:pPr>
            <w:r>
              <w:rPr/>
              <w:t>服务承诺：针对本项目制定的各项服务承诺及应对措施内容详细全面， 1.针对性、可行性及操作性强的，得10分； 2.针对本项目制定的各项服务承诺及应对措施内容较全面，针对性、可行性及操作性较强的，得8分； 3.针对本项目制定的各项服务承诺及应对措施内容一般，针对性、可行性及操作性一般的，得6分； 4.针对本项目制定的各项服务承诺及应对措施内容不够全面，针对性、可行性及操作性较差的，得3分； 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项目团队</w:t>
            </w:r>
          </w:p>
        </w:tc>
        <w:tc>
          <w:tcPr>
            <w:tcW w:type="dxa" w:w="2492"/>
          </w:tcPr>
          <w:p>
            <w:pPr>
              <w:pStyle w:val="null3"/>
            </w:pPr>
            <w:r>
              <w:rPr/>
              <w:t>综合考虑供应商拟派项目团队的经验及能力： 1.驾驶员配备充足，证照齐全，身体健康，经验丰富的，得10分； 2.驾驶员配备较充足，证照齐全，身体健康，经验较丰富的，得8分； 3.驾驶员配备满足采购需求，证照齐全，身体健康，经验一般的，得6分； 4.驾驶员配备不满足采购需求，证照不齐全，身体健康，人员经验欠缺的，得1分； 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实施方案</w:t>
            </w:r>
          </w:p>
          <w:p>
            <w:pPr>
              <w:pStyle w:val="null3"/>
            </w:pPr>
            <w:r>
              <w:rPr/>
              <w:t>服务条款响应偏离表</w:t>
            </w:r>
          </w:p>
        </w:tc>
      </w:tr>
      <w:tr>
        <w:tc>
          <w:tcPr>
            <w:tcW w:type="dxa" w:w="831"/>
            <w:vMerge/>
          </w:tcPr>
          <w:p/>
        </w:tc>
        <w:tc>
          <w:tcPr>
            <w:tcW w:type="dxa" w:w="1661"/>
          </w:tcPr>
          <w:p>
            <w:pPr>
              <w:pStyle w:val="null3"/>
            </w:pPr>
            <w:r>
              <w:rPr/>
              <w:t>业绩</w:t>
            </w:r>
          </w:p>
        </w:tc>
        <w:tc>
          <w:tcPr>
            <w:tcW w:type="dxa" w:w="2492"/>
          </w:tcPr>
          <w:p>
            <w:pPr>
              <w:pStyle w:val="null3"/>
            </w:pPr>
            <w:r>
              <w:rPr/>
              <w:t>提供2021年12月至今类似项目的业绩证明材料（以合同签订日期为准）。每提供一份有效合同计2分，总计10分。未提供合同或合同不符合要求不计分。注：合同复印件至少包括合同封面、甲乙双方名称及盖章、服务内容。否则不予认定。</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满足磋商文件商务及服务要求且最后报价最低的供应商的价格为磋商基准价，其价格分为满分。 报价得分= (磋商基准价/最后磋商报价) *价格分值 注：磋商报价不完整的，不进入评标基准价的计算，本项得0分。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首次磋商报价表</w:t>
            </w:r>
          </w:p>
          <w:p>
            <w:pPr>
              <w:pStyle w:val="null3"/>
            </w:pPr>
            <w:r>
              <w:rPr/>
              <w:t>首次磋商分项报价表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详见附件：首次磋商报价表</w:t>
      </w:r>
    </w:p>
    <w:p>
      <w:pPr>
        <w:pStyle w:val="null3"/>
        <w:ind w:firstLine="960"/>
      </w:pPr>
      <w:r>
        <w:rPr/>
        <w:t>详见附件：首次磋商分项报价表</w:t>
      </w:r>
    </w:p>
    <w:p>
      <w:pPr>
        <w:pStyle w:val="null3"/>
        <w:ind w:firstLine="960"/>
      </w:pPr>
      <w:r>
        <w:rPr/>
        <w:t>详见附件：商务条款响应偏离表</w:t>
      </w:r>
    </w:p>
    <w:p>
      <w:pPr>
        <w:pStyle w:val="null3"/>
        <w:ind w:firstLine="960"/>
      </w:pPr>
      <w:r>
        <w:rPr/>
        <w:t>详见附件：服务条款响应偏离表</w:t>
      </w:r>
    </w:p>
    <w:p>
      <w:pPr>
        <w:pStyle w:val="null3"/>
        <w:ind w:firstLine="960"/>
      </w:pPr>
      <w:r>
        <w:rPr/>
        <w:t>详见附件：实施方案</w:t>
      </w:r>
    </w:p>
    <w:p>
      <w:pPr>
        <w:pStyle w:val="null3"/>
        <w:ind w:firstLine="960"/>
      </w:pPr>
      <w:r>
        <w:rPr/>
        <w:t>详见附件：业绩一览表</w:t>
      </w:r>
    </w:p>
    <w:p>
      <w:pPr>
        <w:pStyle w:val="null3"/>
        <w:ind w:firstLine="960"/>
      </w:pPr>
      <w:r>
        <w:rPr/>
        <w:t>详见附件：供应商应提交的相关资格证明材料</w:t>
      </w:r>
    </w:p>
    <w:p>
      <w:pPr>
        <w:pStyle w:val="null3"/>
        <w:ind w:firstLine="960"/>
      </w:pPr>
      <w:r>
        <w:rPr/>
        <w:t>详见附件：相关承诺书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