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曲江大明宫遗址区自强村城中村改造项目安置地块DK2、开发住宅地块DK1考古发掘委托第三方技术服务</w:t>
      </w:r>
    </w:p>
    <w:p>
      <w:pPr>
        <w:pStyle w:val="null3"/>
        <w:jc w:val="center"/>
        <w:outlineLvl w:val="2"/>
      </w:pPr>
      <w:r>
        <w:rPr>
          <w:sz w:val="28"/>
          <w:b/>
        </w:rPr>
        <w:t>采购项目编号：</w:t>
      </w:r>
      <w:r>
        <w:rPr>
          <w:sz w:val="28"/>
          <w:b/>
        </w:rPr>
        <w:t>HSGJ2024-333</w:t>
      </w:r>
      <w:r>
        <w:br/>
      </w:r>
      <w:r>
        <w:br/>
      </w:r>
      <w:r>
        <w:br/>
      </w:r>
    </w:p>
    <w:p>
      <w:pPr>
        <w:pStyle w:val="null3"/>
        <w:jc w:val="center"/>
        <w:outlineLvl w:val="2"/>
      </w:pPr>
      <w:r>
        <w:rPr>
          <w:sz w:val="28"/>
          <w:b/>
        </w:rPr>
        <w:t>西安市文物保护考古研究院</w:t>
      </w:r>
    </w:p>
    <w:p>
      <w:pPr>
        <w:pStyle w:val="null3"/>
        <w:jc w:val="center"/>
        <w:outlineLvl w:val="2"/>
      </w:pPr>
      <w:r>
        <w:rPr>
          <w:sz w:val="28"/>
          <w:b/>
        </w:rPr>
        <w:t>华晟国际项目管理有限公司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华晟国际项目管理有限公司</w:t>
      </w:r>
      <w:r>
        <w:rPr/>
        <w:t>（以下简称“代理机构”）受</w:t>
      </w:r>
      <w:r>
        <w:rPr/>
        <w:t>西安市文物保护考古研究院</w:t>
      </w:r>
      <w:r>
        <w:rPr/>
        <w:t>委托，拟对</w:t>
      </w:r>
      <w:r>
        <w:rPr/>
        <w:t>曲江大明宫遗址区自强村城中村改造项目安置地块DK2、开发住宅地块DK1考古发掘委托第三方技术服务</w:t>
      </w:r>
      <w:r>
        <w:rPr/>
        <w:t>采用竞争性磋商采购方式进行采购，兹邀请供应商参加本项目的竞争性磋商。</w:t>
      </w:r>
    </w:p>
    <w:p>
      <w:pPr>
        <w:pStyle w:val="null3"/>
        <w:outlineLvl w:val="2"/>
      </w:pPr>
      <w:r>
        <w:rPr>
          <w:sz w:val="28"/>
          <w:b/>
        </w:rPr>
        <w:t>一、项目编号：</w:t>
      </w:r>
      <w:r>
        <w:rPr>
          <w:sz w:val="28"/>
          <w:b/>
        </w:rPr>
        <w:t>HSGJ2024-333</w:t>
      </w:r>
    </w:p>
    <w:p>
      <w:pPr>
        <w:pStyle w:val="null3"/>
        <w:outlineLvl w:val="2"/>
      </w:pPr>
      <w:r>
        <w:rPr>
          <w:sz w:val="28"/>
          <w:b/>
        </w:rPr>
        <w:t>二、项目名称：</w:t>
      </w:r>
      <w:r>
        <w:rPr>
          <w:sz w:val="28"/>
          <w:b/>
        </w:rPr>
        <w:t>曲江大明宫遗址区自强村城中村改造项目安置地块DK2、开发住宅地块DK1考古发掘委托第三方技术服务</w:t>
      </w:r>
    </w:p>
    <w:p>
      <w:pPr>
        <w:pStyle w:val="null3"/>
        <w:outlineLvl w:val="2"/>
      </w:pPr>
      <w:r>
        <w:rPr>
          <w:sz w:val="28"/>
          <w:b/>
        </w:rPr>
        <w:t>三、磋商项目简介</w:t>
      </w:r>
    </w:p>
    <w:p>
      <w:pPr>
        <w:pStyle w:val="null3"/>
        <w:ind w:firstLine="480"/>
      </w:pPr>
      <w:r>
        <w:rPr/>
        <w:t>曲江大明宫遗址区自强村城中村改造项目安置地块DK2、开发住宅地块DK1考古发掘委托第三方技术服务，具体内容详见第三章。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2、财务状况报告：财务状况报告：提供2023年度的财务审计报告或开标前六个月内其基本存款账户开户银行出具的资信证明（附开户许可证或开户备案证明或基本账户信息）；</w:t>
      </w:r>
    </w:p>
    <w:p>
      <w:pPr>
        <w:pStyle w:val="null3"/>
      </w:pPr>
      <w:r>
        <w:rPr/>
        <w:t>3、社会保障资金缴纳证明：提供2024年1月至今已缴存的至少一个月的社会保障资金缴存单据或社保机构开具的社会保险参保缴费情况证明，依法不需要缴纳社会保障资金的单位应提供相关证明材料；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4、税收缴纳证明：提供2024年1月至今已缴纳的至少一个月的纳税证明，依法免税的单位应提供相关证明材料；</w:t>
      </w:r>
    </w:p>
    <w:p>
      <w:pPr>
        <w:pStyle w:val="null3"/>
      </w:pPr>
      <w:r>
        <w:rPr/>
        <w:t>5、无重大违法记录声明：近3年内在经营活动中没有重大违法记录的书面声明；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8、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t>9、关联关系：单位负责人为同一人或者存在直接控股、管理 关系的不同供应商不得参加同一合同项下的政 府采购活动；为本项目提供整体设计、规范编 制或者项目管理、监理、检测等服务的供应商 ，不得再参加该采购项目的其他采购活动。</w:t>
      </w:r>
    </w:p>
    <w:p>
      <w:pPr>
        <w:pStyle w:val="null3"/>
      </w:pPr>
      <w:r>
        <w:rPr/>
        <w:t>10、资质证书：供应商应具有中华人民共和国考古发掘资质证书</w:t>
      </w:r>
    </w:p>
    <w:p>
      <w:pPr>
        <w:pStyle w:val="null3"/>
      </w:pPr>
      <w:r>
        <w:rPr/>
        <w:t>11、项目负责人证书：项目负责人应具有考古发掘领队资格证书或考古发掘项目负责人资质证书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029-85258795</w:t>
      </w:r>
    </w:p>
    <w:p>
      <w:pPr>
        <w:pStyle w:val="null3"/>
        <w:outlineLvl w:val="3"/>
      </w:pPr>
      <w:r>
        <w:rPr>
          <w:sz w:val="24"/>
          <w:b/>
        </w:rPr>
        <w:t>代理机构：</w:t>
      </w:r>
      <w:r>
        <w:rPr>
          <w:sz w:val="24"/>
          <w:b/>
        </w:rPr>
        <w:t>华晟国际项目管理有限公司</w:t>
      </w:r>
    </w:p>
    <w:p>
      <w:pPr>
        <w:pStyle w:val="null3"/>
      </w:pPr>
      <w:r>
        <w:rPr/>
        <w:t xml:space="preserve"> 地址： </w:t>
      </w:r>
      <w:r>
        <w:rPr/>
        <w:t>西安市高新路88号尚品国际B幢25层</w:t>
      </w:r>
    </w:p>
    <w:p>
      <w:pPr>
        <w:pStyle w:val="null3"/>
      </w:pPr>
      <w:r>
        <w:rPr/>
        <w:t xml:space="preserve"> 邮编： </w:t>
      </w:r>
      <w:r>
        <w:rPr/>
        <w:t>/</w:t>
      </w:r>
    </w:p>
    <w:p>
      <w:pPr>
        <w:pStyle w:val="null3"/>
      </w:pPr>
      <w:r>
        <w:rPr/>
        <w:t xml:space="preserve"> 联系人： </w:t>
      </w:r>
      <w:r>
        <w:rPr/>
        <w:t>屈晨、杨帆、贾娜娜</w:t>
      </w:r>
    </w:p>
    <w:p>
      <w:pPr>
        <w:pStyle w:val="null3"/>
      </w:pPr>
      <w:r>
        <w:rPr/>
        <w:t xml:space="preserve"> 联系电话： </w:t>
      </w:r>
      <w:r>
        <w:rPr/>
        <w:t>029-81779899转8009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采购包1：1,721,624.00元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转账事由：HSGJ2024-333项目代理服务费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华晟国际项目管理有限公司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华晟国际项目管理有限公司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华晟国际项目管理有限公司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详见磋商文件及合同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华晟国际项目管理有限公司</w:t>
      </w:r>
      <w:r>
        <w:rPr/>
        <w:t xml:space="preserve"> 负责答复；供应商对除采购需求外的采购文件的询问、质疑由</w:t>
      </w:r>
      <w:r>
        <w:rPr/>
        <w:t>华晟国际项目管理有限公司</w:t>
      </w:r>
      <w:r>
        <w:rPr/>
        <w:t xml:space="preserve"> 负责答复；供应商对采购过程、采购结果的询问、质疑由 </w:t>
      </w:r>
      <w:r>
        <w:rPr/>
        <w:t>华晟国际项目管理有限公司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联系人：屈晨、杨帆、贾娜娜</w:t>
      </w:r>
    </w:p>
    <w:p>
      <w:pPr>
        <w:pStyle w:val="null3"/>
      </w:pPr>
      <w:r>
        <w:rPr/>
        <w:t>联系电话：029-81779899转8009</w:t>
      </w:r>
    </w:p>
    <w:p>
      <w:pPr>
        <w:pStyle w:val="null3"/>
      </w:pPr>
      <w:r>
        <w:rPr/>
        <w:t>地址：西安市高新路88号尚品国际B幢25层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曲江大明宫遗址区自强村城中村改造项目安置地块DK2、开发住宅地块DK1考古发掘委托第三方技术服务，具体内容详见第三章。</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1,721,624.00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曲江大明宫遗址区自强村城中村改造项目安置地块DK2、开发住宅地块DK1</w:t>
            </w:r>
          </w:p>
        </w:tc>
        <w:tc>
          <w:tcPr>
            <w:tcW w:type="dxa" w:w="831"/>
          </w:tcPr>
          <w:p>
            <w:pPr>
              <w:pStyle w:val="null3"/>
              <w:jc w:val="right"/>
            </w:pPr>
            <w:r>
              <w:rPr/>
              <w:t>1.00</w:t>
            </w:r>
          </w:p>
        </w:tc>
        <w:tc>
          <w:tcPr>
            <w:tcW w:type="dxa" w:w="831"/>
          </w:tcPr>
          <w:p>
            <w:pPr>
              <w:pStyle w:val="null3"/>
              <w:jc w:val="right"/>
            </w:pPr>
            <w:r>
              <w:rPr/>
              <w:t>1,721,624.00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标的名称：曲江大明宫遗址区自强村城中村改造项目安置地块DK2、开发住宅地块DK1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b/>
              </w:rPr>
              <w:t>一、服务</w:t>
            </w:r>
            <w:r>
              <w:rPr>
                <w:b/>
              </w:rPr>
              <w:t>内容</w:t>
            </w:r>
            <w:r>
              <w:rPr/>
              <w:t>：曲江大明宫遗址区自强村城中村改造项目安置地块DK2、开发住宅地块DK1考古发掘委托第三方技术服务</w:t>
            </w:r>
          </w:p>
          <w:p>
            <w:pPr>
              <w:pStyle w:val="null3"/>
              <w:ind w:firstLine="422"/>
              <w:jc w:val="left"/>
            </w:pPr>
            <w:r>
              <w:rPr>
                <w:b/>
              </w:rPr>
              <w:t>二、服务要求：</w:t>
            </w:r>
            <w:r>
              <w:rPr/>
              <w:t>按照国家文物局颁布的《田野考古操作规程》及相关法律法规进行发掘。</w:t>
            </w:r>
          </w:p>
          <w:p>
            <w:pPr>
              <w:pStyle w:val="null3"/>
              <w:ind w:firstLine="422"/>
              <w:jc w:val="both"/>
            </w:pPr>
            <w:r>
              <w:rPr>
                <w:b/>
              </w:rPr>
              <w:t>三、</w:t>
            </w:r>
            <w:r>
              <w:rPr>
                <w:b/>
              </w:rPr>
              <w:t>发掘工作：</w:t>
            </w:r>
          </w:p>
          <w:p>
            <w:pPr>
              <w:pStyle w:val="null3"/>
              <w:ind w:firstLine="420"/>
              <w:jc w:val="both"/>
            </w:pPr>
            <w:r>
              <w:rPr/>
              <w:t>1、古遗址（建筑基址、古道路、古沟渠、古窑址、灰坑、古井等）类：采用布置探方/探沟作业方法。布置探方/探沟规格视现场情况而定。</w:t>
            </w:r>
          </w:p>
          <w:p>
            <w:pPr>
              <w:pStyle w:val="null3"/>
              <w:ind w:firstLine="420"/>
              <w:jc w:val="both"/>
            </w:pPr>
            <w:r>
              <w:rPr/>
              <w:t>2、墓葬类：从上至下人工开挖，先发掘墓道后发掘墓室。墓室采取大揭顶厚，逐层下挖清理。以上发掘内容均需挖至生土层。</w:t>
            </w:r>
          </w:p>
          <w:p>
            <w:pPr>
              <w:pStyle w:val="null3"/>
              <w:ind w:firstLine="420"/>
              <w:jc w:val="both"/>
            </w:pPr>
            <w:r>
              <w:rPr/>
              <w:t>3、资料录入：</w:t>
            </w:r>
          </w:p>
          <w:p>
            <w:pPr>
              <w:pStyle w:val="null3"/>
              <w:ind w:firstLine="420"/>
              <w:jc w:val="both"/>
            </w:pPr>
            <w:r>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ind w:firstLine="420"/>
              <w:jc w:val="both"/>
            </w:pPr>
            <w:r>
              <w:rPr/>
              <w:t>4、发掘资料拾取</w:t>
            </w:r>
          </w:p>
          <w:p>
            <w:pPr>
              <w:pStyle w:val="null3"/>
              <w:ind w:firstLine="420"/>
              <w:jc w:val="both"/>
            </w:pPr>
            <w:r>
              <w:rPr/>
              <w:t>资料拾取过程中应由考古领队、技术工人全程参与，指定专人对发掘物资、出土文物和记录资料应及时清点、核实并移交至招标人。</w:t>
            </w:r>
          </w:p>
          <w:p>
            <w:pPr>
              <w:pStyle w:val="null3"/>
              <w:ind w:firstLine="420"/>
              <w:jc w:val="both"/>
            </w:pPr>
            <w:r>
              <w:rPr/>
              <w:t>5、发掘资料整理</w:t>
            </w:r>
          </w:p>
          <w:p>
            <w:pPr>
              <w:pStyle w:val="null3"/>
              <w:ind w:firstLine="420"/>
              <w:jc w:val="both"/>
            </w:pPr>
            <w:r>
              <w:rPr/>
              <w:t>按照规定的技术要求对考古资料进行整理并建立资料库。</w:t>
            </w:r>
          </w:p>
          <w:p>
            <w:pPr>
              <w:pStyle w:val="null3"/>
              <w:ind w:firstLine="420"/>
              <w:jc w:val="both"/>
            </w:pPr>
            <w:r>
              <w:rPr/>
              <w:t>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ind w:firstLine="420"/>
              <w:jc w:val="both"/>
            </w:pPr>
            <w:r>
              <w:rPr/>
              <w:t>建立资料库与电子数据库：</w:t>
            </w:r>
          </w:p>
          <w:p>
            <w:pPr>
              <w:pStyle w:val="null3"/>
              <w:ind w:firstLine="420"/>
              <w:jc w:val="both"/>
            </w:pPr>
            <w:r>
              <w:rPr/>
              <w:t>按照遗迹单位统一汇总所有田野发掘记录和资料整理记录，形成完整的资料档案；电子数据库基于田野工作的各项文字、影像和测绘记录，符合数据库的要求。</w:t>
            </w:r>
          </w:p>
          <w:p>
            <w:pPr>
              <w:pStyle w:val="null3"/>
              <w:ind w:firstLine="420"/>
              <w:jc w:val="both"/>
            </w:pPr>
            <w:r>
              <w:rPr/>
              <w:t>6、应根据国家和省、市有关法律法规及招标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ind w:firstLine="420"/>
              <w:jc w:val="both"/>
            </w:pPr>
            <w:r>
              <w:rPr/>
              <w:t>成果包含内容：考古发掘工作报告、考古发掘报告；修复完毕的文物及相关文物资料。</w:t>
            </w:r>
          </w:p>
          <w:p>
            <w:pPr>
              <w:pStyle w:val="null3"/>
              <w:ind w:firstLine="420"/>
              <w:jc w:val="both"/>
            </w:pPr>
            <w:r>
              <w:rPr/>
              <w:t>7、</w:t>
            </w:r>
            <w:r>
              <w:rPr/>
              <w:t>采购内容</w:t>
            </w:r>
            <w:r>
              <w:rPr/>
              <w:t>：</w:t>
            </w:r>
          </w:p>
          <w:p>
            <w:pPr>
              <w:pStyle w:val="null3"/>
              <w:ind w:firstLine="420"/>
              <w:jc w:val="left"/>
            </w:pPr>
            <w:r>
              <w:rPr/>
              <w:t>具体详见分项价格表的内容。</w:t>
            </w:r>
          </w:p>
          <w:p>
            <w:pPr>
              <w:pStyle w:val="null3"/>
              <w:ind w:firstLine="420"/>
              <w:jc w:val="both"/>
            </w:pPr>
            <w:r>
              <w:rPr/>
              <w:t>8、</w:t>
            </w:r>
            <w:r>
              <w:rPr/>
              <w:t>综合单价限价：</w:t>
            </w:r>
          </w:p>
          <w:p>
            <w:pPr>
              <w:pStyle w:val="null3"/>
              <w:ind w:firstLine="420"/>
              <w:jc w:val="left"/>
            </w:pPr>
            <w:r>
              <w:rPr>
                <w:shd w:fill="FFFFFF" w:val="clear"/>
              </w:rPr>
              <w:t>8.1</w:t>
            </w:r>
            <w:r>
              <w:rPr>
                <w:shd w:fill="FFFFFF" w:val="clear"/>
              </w:rPr>
              <w:t>本项目限价：</w:t>
            </w:r>
            <w:r>
              <w:rPr>
                <w:shd w:fill="FFFFFF" w:val="clear"/>
              </w:rPr>
              <w:t>田野考古</w:t>
            </w:r>
            <w:r>
              <w:rPr>
                <w:shd w:fill="FFFFFF" w:val="clear"/>
              </w:rPr>
              <w:t>发掘费单价：498.56元/㎡</w:t>
            </w:r>
            <w:r>
              <w:rPr>
                <w:b/>
                <w:shd w:fill="FFFFFF" w:val="clear"/>
              </w:rPr>
              <w:t>（供应商磋商报价的总价超过采购预算或最高限价，作为不实质性响应磋商文件处理。）</w:t>
            </w:r>
          </w:p>
          <w:p>
            <w:pPr>
              <w:pStyle w:val="null3"/>
              <w:ind w:firstLine="420"/>
              <w:jc w:val="both"/>
            </w:pPr>
            <w:r>
              <w:rPr/>
              <w:t>8.2</w:t>
            </w:r>
            <w:r>
              <w:rPr/>
              <w:t>深度超过2米的按国家文物局【90】文物字第248号文件规定的每增加0.5米预算相应递增15%的调整系数进行预算。</w:t>
            </w:r>
          </w:p>
          <w:p>
            <w:pPr>
              <w:pStyle w:val="null3"/>
              <w:ind w:firstLine="420"/>
              <w:jc w:val="both"/>
            </w:pPr>
            <w:r>
              <w:rPr/>
              <w:t>8.3发掘对象为大中型墓葬或其他特殊遗迹时，总预算按照200%计算。</w:t>
            </w:r>
          </w:p>
        </w:tc>
      </w:tr>
    </w:tbl>
    <w:p>
      <w:pPr>
        <w:pStyle w:val="null3"/>
        <w:outlineLvl w:val="2"/>
      </w:pPr>
      <w:r>
        <w:rPr>
          <w:sz w:val="28"/>
          <w:b/>
        </w:rPr>
        <w:t>3.2.3人员配置要求</w:t>
      </w:r>
    </w:p>
    <w:p>
      <w:pPr>
        <w:pStyle w:val="null3"/>
      </w:pPr>
      <w:r>
        <w:rPr/>
        <w:t>采购包1：</w:t>
      </w:r>
    </w:p>
    <w:p>
      <w:pPr>
        <w:pStyle w:val="null3"/>
      </w:pPr>
      <w:r>
        <w:rPr/>
        <w:t>供应商根据服务要求自行响应</w:t>
      </w:r>
    </w:p>
    <w:p>
      <w:pPr>
        <w:pStyle w:val="null3"/>
        <w:outlineLvl w:val="2"/>
      </w:pPr>
      <w:r>
        <w:rPr>
          <w:sz w:val="28"/>
          <w:b/>
        </w:rPr>
        <w:t>3.2.4设施设备要求</w:t>
      </w:r>
    </w:p>
    <w:p>
      <w:pPr>
        <w:pStyle w:val="null3"/>
      </w:pPr>
      <w:r>
        <w:rPr/>
        <w:t>采购包1：</w:t>
      </w:r>
    </w:p>
    <w:p>
      <w:pPr>
        <w:pStyle w:val="null3"/>
      </w:pPr>
      <w:r>
        <w:rPr/>
        <w:t>供应商根据服务要求自行响应</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详见磋商文件及合同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合同签订后，乙方应开具增值税发票</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田野发掘结束，经验收合格并提交发掘工作报告后</w:t>
      </w:r>
      <w:r>
        <w:rPr/>
        <w:t xml:space="preserve"> ，达到付款条件起 </w:t>
      </w:r>
      <w:r>
        <w:rPr/>
        <w:t>15</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详见磋商文件及合同</w:t>
      </w:r>
    </w:p>
    <w:p>
      <w:pPr>
        <w:pStyle w:val="null3"/>
        <w:outlineLvl w:val="2"/>
      </w:pPr>
      <w:r>
        <w:rPr>
          <w:sz w:val="28"/>
          <w:b/>
        </w:rPr>
        <w:t>3.4其他要求</w:t>
      </w:r>
    </w:p>
    <w:p>
      <w:pPr>
        <w:pStyle w:val="null3"/>
      </w:pPr>
      <w:r>
        <w:rPr/>
        <w:t>服务标准：符合国家及省市相关行业标准。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4资质证明文件（参考格式）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4资质证明文件（参考格式）</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财务状况报告：提供2023年度的财务审计报告或开标前六个月内其基本存款账户开户银行出具的资信证明（附开户许可证或开户备案证明或基本账户信息）；</w:t>
            </w:r>
          </w:p>
        </w:tc>
        <w:tc>
          <w:tcPr>
            <w:tcW w:type="dxa" w:w="1661"/>
          </w:tcPr>
          <w:p>
            <w:pPr>
              <w:pStyle w:val="null3"/>
            </w:pPr>
            <w:r>
              <w:rPr/>
              <w:t>4资质证明文件（参考格式）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4资质证明文件（参考格式）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提供2024年1月至今已缴纳的至少一个月的纳税证明，依法免税的单位应提供相关证明材料；</w:t>
            </w:r>
          </w:p>
        </w:tc>
        <w:tc>
          <w:tcPr>
            <w:tcW w:type="dxa" w:w="1661"/>
          </w:tcPr>
          <w:p>
            <w:pPr>
              <w:pStyle w:val="null3"/>
            </w:pPr>
            <w:r>
              <w:rPr/>
              <w:t>4资质证明文件（参考格式）</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4资质证明文件（参考格式）</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4资质证明文件（参考格式）</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4资质证明文件（参考格式）</w:t>
            </w:r>
          </w:p>
        </w:tc>
      </w:tr>
      <w:tr>
        <w:tc>
          <w:tcPr>
            <w:tcW w:type="dxa" w:w="831"/>
          </w:tcPr>
          <w:p>
            <w:pPr>
              <w:pStyle w:val="null3"/>
            </w:pPr>
            <w:r>
              <w:rPr/>
              <w:t>8</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t>4资质证明文件（参考格式）</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 关系的不同供应商不得参加同一合同项下的政 府采购活动；为本项目提供整体设计、规范编 制或者项目管理、监理、检测等服务的供应商 ，不得再参加该采购项目的其他采购活动。</w:t>
            </w:r>
          </w:p>
        </w:tc>
        <w:tc>
          <w:tcPr>
            <w:tcW w:type="dxa" w:w="1661"/>
          </w:tcPr>
          <w:p>
            <w:pPr>
              <w:pStyle w:val="null3"/>
            </w:pPr>
            <w:r>
              <w:rPr/>
              <w:t>4资质证明文件（参考格式）</w:t>
            </w:r>
          </w:p>
        </w:tc>
      </w:tr>
      <w:tr>
        <w:tc>
          <w:tcPr>
            <w:tcW w:type="dxa" w:w="831"/>
          </w:tcPr>
          <w:p>
            <w:pPr>
              <w:pStyle w:val="null3"/>
            </w:pPr>
            <w:r>
              <w:rPr/>
              <w:t>10</w:t>
            </w:r>
          </w:p>
        </w:tc>
        <w:tc>
          <w:tcPr>
            <w:tcW w:type="dxa" w:w="2492"/>
          </w:tcPr>
          <w:p>
            <w:pPr>
              <w:pStyle w:val="null3"/>
            </w:pPr>
            <w:r>
              <w:rPr/>
              <w:t>资质证书</w:t>
            </w:r>
          </w:p>
        </w:tc>
        <w:tc>
          <w:tcPr>
            <w:tcW w:type="dxa" w:w="3322"/>
          </w:tcPr>
          <w:p>
            <w:pPr>
              <w:pStyle w:val="null3"/>
            </w:pPr>
            <w:r>
              <w:rPr/>
              <w:t>供应商应具有中华人民共和国考古发掘资质证书</w:t>
            </w:r>
          </w:p>
        </w:tc>
        <w:tc>
          <w:tcPr>
            <w:tcW w:type="dxa" w:w="1661"/>
          </w:tcPr>
          <w:p>
            <w:pPr>
              <w:pStyle w:val="null3"/>
            </w:pPr>
            <w:r>
              <w:rPr/>
              <w:t>4资质证明文件（参考格式）</w:t>
            </w:r>
          </w:p>
        </w:tc>
      </w:tr>
      <w:tr>
        <w:tc>
          <w:tcPr>
            <w:tcW w:type="dxa" w:w="831"/>
          </w:tcPr>
          <w:p>
            <w:pPr>
              <w:pStyle w:val="null3"/>
            </w:pPr>
            <w:r>
              <w:rPr/>
              <w:t>11</w:t>
            </w:r>
          </w:p>
        </w:tc>
        <w:tc>
          <w:tcPr>
            <w:tcW w:type="dxa" w:w="2492"/>
          </w:tcPr>
          <w:p>
            <w:pPr>
              <w:pStyle w:val="null3"/>
            </w:pPr>
            <w:r>
              <w:rPr/>
              <w:t>项目负责人证书</w:t>
            </w:r>
          </w:p>
        </w:tc>
        <w:tc>
          <w:tcPr>
            <w:tcW w:type="dxa" w:w="3322"/>
          </w:tcPr>
          <w:p>
            <w:pPr>
              <w:pStyle w:val="null3"/>
            </w:pPr>
            <w:r>
              <w:rPr/>
              <w:t>项目负责人应具有考古发掘领队资格证书或考古发掘项目负责人资质证书</w:t>
            </w:r>
          </w:p>
        </w:tc>
        <w:tc>
          <w:tcPr>
            <w:tcW w:type="dxa" w:w="1661"/>
          </w:tcPr>
          <w:p>
            <w:pPr>
              <w:pStyle w:val="null3"/>
            </w:pPr>
            <w:r>
              <w:rPr/>
              <w:t>4资质证明文件（参考格式）</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2服务要求响应表 3商务响应表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响应文件封面 4资质证明文件（参考格式） 1分项报价表 标的清单 报价表 2服务要求响应表 3商务响应表 响应函 6供应商拒绝政府采购领域商业贿赂承诺书</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响应文件按有效期达到磋商文件的要求；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4资质证明文件（参考格式） 响应文件封面 1分项报价表 标的清单 报价表 2服务要求响应表 3商务响应表 响应函 6供应商拒绝政府采购领域商业贿赂承诺书</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1分项报价表 标的清单 报价表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供应商磋商报价的总价超过采购预算，作为不实质性响应磋商文件处理。</w:t>
            </w:r>
          </w:p>
        </w:tc>
        <w:tc>
          <w:tcPr>
            <w:tcW w:type="dxa" w:w="1661"/>
          </w:tcPr>
          <w:p>
            <w:pPr>
              <w:pStyle w:val="null3"/>
            </w:pPr>
            <w:r>
              <w:rPr/>
              <w:t>1分项报价表 标的清单</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文物发掘工作流程、实施方案</w:t>
            </w:r>
          </w:p>
        </w:tc>
        <w:tc>
          <w:tcPr>
            <w:tcW w:type="dxa" w:w="2492"/>
          </w:tcPr>
          <w:p>
            <w:pPr>
              <w:pStyle w:val="null3"/>
            </w:pPr>
            <w:r>
              <w:rPr/>
              <w:t>工作流程及实施方案思路清晰、合理、科学详细完整、符合国家及省市相关规定得10分； 工作流程及实施方案思路基本清晰、合理、科学详细，符合国家及省市相关规定得7分； 工作流程及实施方案思路较为清晰、合理，符合国家及省市相关规定计4分； 工作流程及实施方案思路部分清晰合理计2分；缺项不得分。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5服务方案</w:t>
            </w:r>
          </w:p>
        </w:tc>
      </w:tr>
      <w:tr>
        <w:tc>
          <w:tcPr>
            <w:tcW w:type="dxa" w:w="831"/>
            <w:vMerge/>
          </w:tcPr>
          <w:p/>
        </w:tc>
        <w:tc>
          <w:tcPr>
            <w:tcW w:type="dxa" w:w="1661"/>
          </w:tcPr>
          <w:p>
            <w:pPr>
              <w:pStyle w:val="null3"/>
            </w:pPr>
            <w:r>
              <w:rPr/>
              <w:t>服务质量保证措施</w:t>
            </w:r>
          </w:p>
        </w:tc>
        <w:tc>
          <w:tcPr>
            <w:tcW w:type="dxa" w:w="2492"/>
          </w:tcPr>
          <w:p>
            <w:pPr>
              <w:pStyle w:val="null3"/>
            </w:pPr>
            <w:r>
              <w:rPr/>
              <w:t>服务质量保证措施（包括田野工作、整理工作等）详细、合理，满足本项目需求得10分； 服务质量保证措施（包括田野工作、整理工作等）基本详细、合理，满足本项目需求得7分； 服务质量保证措施（包括田野工作、整理工作等）欠缺、较合理，基本满足本项目需求得4分； 服务质量保证措施（包括田野工作、整理工作等）欠缺、部分合理得2分；缺项不得分。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5服务方案</w:t>
            </w:r>
          </w:p>
        </w:tc>
      </w:tr>
      <w:tr>
        <w:tc>
          <w:tcPr>
            <w:tcW w:type="dxa" w:w="831"/>
            <w:vMerge/>
          </w:tcPr>
          <w:p/>
        </w:tc>
        <w:tc>
          <w:tcPr>
            <w:tcW w:type="dxa" w:w="1661"/>
          </w:tcPr>
          <w:p>
            <w:pPr>
              <w:pStyle w:val="null3"/>
            </w:pPr>
            <w:r>
              <w:rPr/>
              <w:t>进度计划保证措施</w:t>
            </w:r>
          </w:p>
        </w:tc>
        <w:tc>
          <w:tcPr>
            <w:tcW w:type="dxa" w:w="2492"/>
          </w:tcPr>
          <w:p>
            <w:pPr>
              <w:pStyle w:val="null3"/>
            </w:pPr>
            <w:r>
              <w:rPr/>
              <w:t>进度计划保证措施详细、合理，满足本项目需求得10分； 进度计划保证措施基本详细、合理，满足本项目需求得7分； 进度计划保证措施欠缺、较为合理，基本满足本项目需求得4分； 进度计划保证措施欠缺、部分合理得2分；缺项不得分。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5服务方案</w:t>
            </w:r>
          </w:p>
        </w:tc>
      </w:tr>
      <w:tr>
        <w:tc>
          <w:tcPr>
            <w:tcW w:type="dxa" w:w="831"/>
            <w:vMerge/>
          </w:tcPr>
          <w:p/>
        </w:tc>
        <w:tc>
          <w:tcPr>
            <w:tcW w:type="dxa" w:w="1661"/>
          </w:tcPr>
          <w:p>
            <w:pPr>
              <w:pStyle w:val="null3"/>
            </w:pPr>
            <w:r>
              <w:rPr/>
              <w:t>特殊性遗存的解决方案</w:t>
            </w:r>
          </w:p>
        </w:tc>
        <w:tc>
          <w:tcPr>
            <w:tcW w:type="dxa" w:w="2492"/>
          </w:tcPr>
          <w:p>
            <w:pPr>
              <w:pStyle w:val="null3"/>
            </w:pPr>
            <w:r>
              <w:rPr/>
              <w:t>根据本项目的实际情况，提出有针对性的特殊性遗存（例如大型墓葬、壁画墓、车马坑、有机类文物（如漆器）、青铜器、金银器等）分析及解决方案。分析准确，解决方案针对性强得10分； 分析基本准确、提出的解决方案有一定的针对性和可行性得7分； 分析与项目实际情况存在偏离，部分解决方案可行和合理的得4分； 分析与项目实际情况存在偏离，解决方案欠缺得2分；缺项不得分。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5服务方案</w:t>
            </w:r>
          </w:p>
        </w:tc>
      </w:tr>
      <w:tr>
        <w:tc>
          <w:tcPr>
            <w:tcW w:type="dxa" w:w="831"/>
            <w:vMerge/>
          </w:tcPr>
          <w:p/>
        </w:tc>
        <w:tc>
          <w:tcPr>
            <w:tcW w:type="dxa" w:w="1661"/>
          </w:tcPr>
          <w:p>
            <w:pPr>
              <w:pStyle w:val="null3"/>
            </w:pPr>
            <w:r>
              <w:rPr/>
              <w:t>安全保障方案</w:t>
            </w:r>
          </w:p>
        </w:tc>
        <w:tc>
          <w:tcPr>
            <w:tcW w:type="dxa" w:w="2492"/>
          </w:tcPr>
          <w:p>
            <w:pPr>
              <w:pStyle w:val="null3"/>
            </w:pPr>
            <w:r>
              <w:rPr/>
              <w:t>有针对本项目文物、人身安全保障方案，完全满足项目实施需求且确保文物、人身安全保护方案明确、可行得10分； 保障方案能够基本满足项目实施需要，且文物、人身安全保护方案基本明确、可行得7分； 保障方案部分满足项目实施需要，且文物、人身安全保护方案部分明确、可行得4分； 保障方案不明确、可行性一般得2分；缺项不得分。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5服务方案</w:t>
            </w:r>
          </w:p>
        </w:tc>
      </w:tr>
      <w:tr>
        <w:tc>
          <w:tcPr>
            <w:tcW w:type="dxa" w:w="831"/>
            <w:vMerge/>
          </w:tcPr>
          <w:p/>
        </w:tc>
        <w:tc>
          <w:tcPr>
            <w:tcW w:type="dxa" w:w="1661"/>
          </w:tcPr>
          <w:p>
            <w:pPr>
              <w:pStyle w:val="null3"/>
            </w:pPr>
            <w:r>
              <w:rPr/>
              <w:t>拟投入本项目人员</w:t>
            </w:r>
          </w:p>
        </w:tc>
        <w:tc>
          <w:tcPr>
            <w:tcW w:type="dxa" w:w="2492"/>
          </w:tcPr>
          <w:p>
            <w:pPr>
              <w:pStyle w:val="null3"/>
            </w:pPr>
            <w:r>
              <w:rPr/>
              <w:t>有针对本项目的专业服务团队，人员配备数量充足，组织结构合理，人员分工明确，各专业配置齐全，完全满足项目实施需求得10分； 有针对本项目的专业服务团队，人员配备数量基本充足，分工有一定的合理性，专业配置基本齐全、能满足项目需求得7分； 有针对本项目的专业服务团队，人员配备数量较为充足、专业配置较为满足项目实施需要但分工不明确得4分；有针对本项目的专业服务团队，人员配备数量不充足、专业配置差、分工不明确得2分；缺项不得分。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5服务方案</w:t>
            </w:r>
          </w:p>
        </w:tc>
      </w:tr>
      <w:tr>
        <w:tc>
          <w:tcPr>
            <w:tcW w:type="dxa" w:w="831"/>
            <w:vMerge/>
          </w:tcPr>
          <w:p/>
        </w:tc>
        <w:tc>
          <w:tcPr>
            <w:tcW w:type="dxa" w:w="1661"/>
          </w:tcPr>
          <w:p>
            <w:pPr>
              <w:pStyle w:val="null3"/>
            </w:pPr>
            <w:r>
              <w:rPr/>
              <w:t>成果质量保证措施</w:t>
            </w:r>
          </w:p>
        </w:tc>
        <w:tc>
          <w:tcPr>
            <w:tcW w:type="dxa" w:w="2492"/>
          </w:tcPr>
          <w:p>
            <w:pPr>
              <w:pStyle w:val="null3"/>
            </w:pPr>
            <w:r>
              <w:rPr/>
              <w:t>对本项目成果内容的时限要求、发掘成果书面文件（包括田野工作、整理工作）的质量保证措施。 措施详细、合理，满足本项目需求得10分； 措施基本详细、合理，满足本项目需求得7分； 措施欠缺、较为合理，基本满足本项目需求得4分； 措施欠缺、部分合理，得2分；缺项不得分。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5服务方案</w:t>
            </w:r>
          </w:p>
        </w:tc>
      </w:tr>
      <w:tr>
        <w:tc>
          <w:tcPr>
            <w:tcW w:type="dxa" w:w="831"/>
            <w:vMerge/>
          </w:tcPr>
          <w:p/>
        </w:tc>
        <w:tc>
          <w:tcPr>
            <w:tcW w:type="dxa" w:w="1661"/>
          </w:tcPr>
          <w:p>
            <w:pPr>
              <w:pStyle w:val="null3"/>
            </w:pPr>
            <w:r>
              <w:rPr/>
              <w:t>业绩</w:t>
            </w:r>
          </w:p>
        </w:tc>
        <w:tc>
          <w:tcPr>
            <w:tcW w:type="dxa" w:w="2492"/>
          </w:tcPr>
          <w:p>
            <w:pPr>
              <w:pStyle w:val="null3"/>
            </w:pPr>
            <w:r>
              <w:rPr/>
              <w:t>提供2021年1月1日至今类似项目业绩，响应文件中附有其业绩证明材料，业绩以合同或中标（成交）通知书为依据，每提供一个计2分，满分10分。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5服务方案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经资格审查、符合性审查合格的响应文件，其磋商报价为有效磋商报价，对符合政策性扣减的供应商的有效磋商价格进行政策性扣减，并依据扣减后的价格（评审价格）进行价格评审。 满足磋商文件要求且最终磋商报价最低的磋商报价为评标基准价，其价格分为满分。价格分按照下列公式计算。 报价得分=（评标基准价/有效报价）×价格权重（20%）×100 符合磋商文件规定的小微企业或监狱企业或残疾人福利性单位优惠条件的供应商，价格给予10%的扣除，用扣除后的价格参与评审。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1分项报价表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详见附件：1分项报价表</w:t>
      </w:r>
    </w:p>
    <w:p>
      <w:pPr>
        <w:pStyle w:val="null3"/>
        <w:ind w:firstLine="960"/>
      </w:pPr>
      <w:r>
        <w:rPr/>
        <w:t>详见附件：2服务要求响应表</w:t>
      </w:r>
    </w:p>
    <w:p>
      <w:pPr>
        <w:pStyle w:val="null3"/>
        <w:ind w:firstLine="960"/>
      </w:pPr>
      <w:r>
        <w:rPr/>
        <w:t>详见附件：3商务响应表</w:t>
      </w:r>
    </w:p>
    <w:p>
      <w:pPr>
        <w:pStyle w:val="null3"/>
        <w:ind w:firstLine="960"/>
      </w:pPr>
      <w:r>
        <w:rPr/>
        <w:t>详见附件：4资质证明文件（参考格式）</w:t>
      </w:r>
    </w:p>
    <w:p>
      <w:pPr>
        <w:pStyle w:val="null3"/>
        <w:ind w:firstLine="960"/>
      </w:pPr>
      <w:r>
        <w:rPr/>
        <w:t>详见附件：5服务方案</w:t>
      </w:r>
    </w:p>
    <w:p>
      <w:pPr>
        <w:pStyle w:val="null3"/>
        <w:ind w:firstLine="960"/>
      </w:pPr>
      <w:r>
        <w:rPr/>
        <w:t>详见附件：6供应商拒绝政府采购领域商业贿赂承诺书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