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DAD27">
      <w:pPr>
        <w:jc w:val="center"/>
        <w:outlineLvl w:val="1"/>
        <w:rPr>
          <w:rFonts w:hint="eastAsia" w:ascii="宋体" w:hAnsi="宋体" w:eastAsia="宋体" w:cs="宋体"/>
          <w:color w:val="auto"/>
          <w:highlight w:val="none"/>
          <w:lang w:val="en-US" w:eastAsia="zh-Hans"/>
        </w:rPr>
      </w:pPr>
      <w:r>
        <w:rPr>
          <w:rFonts w:hint="eastAsia" w:ascii="宋体" w:hAnsi="宋体" w:eastAsia="宋体" w:cs="宋体"/>
          <w:b/>
          <w:color w:val="auto"/>
          <w:sz w:val="36"/>
          <w:highlight w:val="none"/>
          <w:lang w:val="en-US" w:eastAsia="zh-CN"/>
        </w:rPr>
        <w:t xml:space="preserve">  </w:t>
      </w:r>
      <w:bookmarkStart w:id="1" w:name="_GoBack"/>
      <w:bookmarkEnd w:id="1"/>
      <w:r>
        <w:rPr>
          <w:rFonts w:hint="eastAsia" w:ascii="宋体" w:hAnsi="宋体" w:eastAsia="宋体" w:cs="宋体"/>
          <w:b/>
          <w:color w:val="auto"/>
          <w:sz w:val="36"/>
          <w:highlight w:val="none"/>
          <w:lang w:val="en-US" w:eastAsia="zh-Hans"/>
        </w:rPr>
        <w:t>拟签订采购合同文本</w:t>
      </w:r>
    </w:p>
    <w:p w14:paraId="619EAE00">
      <w:pPr>
        <w:spacing w:line="360" w:lineRule="auto"/>
        <w:ind w:firstLine="48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详见附件：拟签订采购合同文本.docx</w:t>
      </w:r>
    </w:p>
    <w:p w14:paraId="5BBA1584">
      <w:pPr>
        <w:spacing w:line="360" w:lineRule="auto"/>
        <w:ind w:firstLine="480"/>
        <w:rPr>
          <w:rFonts w:hint="eastAsia" w:ascii="宋体" w:hAnsi="宋体" w:eastAsia="宋体" w:cs="宋体"/>
          <w:color w:val="auto"/>
          <w:highlight w:val="none"/>
          <w:lang w:val="en-US" w:eastAsia="zh-Hans"/>
        </w:rPr>
      </w:pP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kern w:val="2"/>
          <w:sz w:val="24"/>
          <w:szCs w:val="24"/>
          <w:highlight w:val="none"/>
          <w:lang w:val="en-US" w:eastAsia="zh-CN" w:bidi="ar-SA"/>
        </w:rPr>
        <w:br w:type="textWrapping"/>
      </w:r>
      <w:r>
        <w:rPr>
          <w:rFonts w:hint="eastAsia" w:ascii="宋体" w:hAnsi="宋体" w:eastAsia="宋体" w:cs="宋体"/>
          <w:color w:val="auto"/>
          <w:highlight w:val="none"/>
          <w:lang w:val="en-US" w:eastAsia="zh-Hans"/>
        </w:rPr>
        <w:br w:type="page"/>
      </w:r>
    </w:p>
    <w:p w14:paraId="5F793C14">
      <w:pPr>
        <w:keepNext w:val="0"/>
        <w:keepLines w:val="0"/>
        <w:pageBreakBefore w:val="0"/>
        <w:widowControl w:val="0"/>
        <w:kinsoku/>
        <w:wordWrap/>
        <w:overflowPunct/>
        <w:topLinePunct w:val="0"/>
        <w:autoSpaceDE/>
        <w:autoSpaceDN/>
        <w:bidi w:val="0"/>
        <w:adjustRightInd/>
        <w:snapToGrid/>
        <w:spacing w:line="240" w:lineRule="auto"/>
        <w:ind w:left="0" w:leftChars="0" w:right="0" w:firstLine="422" w:firstLineChars="200"/>
        <w:textAlignment w:val="auto"/>
        <w:rPr>
          <w:rFonts w:hint="eastAsia"/>
          <w:b/>
          <w:color w:val="auto"/>
          <w:szCs w:val="21"/>
          <w:highlight w:val="none"/>
        </w:rPr>
      </w:pPr>
      <w:bookmarkStart w:id="0" w:name="_Hlk87218400"/>
    </w:p>
    <w:p w14:paraId="197FD249">
      <w:pPr>
        <w:numPr>
          <w:ilvl w:val="0"/>
          <w:numId w:val="0"/>
        </w:numPr>
        <w:rPr>
          <w:rFonts w:hint="eastAsia" w:ascii="仿宋" w:hAnsi="仿宋" w:eastAsia="仿宋"/>
          <w:b/>
          <w:color w:val="auto"/>
          <w:sz w:val="28"/>
          <w:highlight w:val="none"/>
        </w:rPr>
      </w:pPr>
      <w:r>
        <w:rPr>
          <w:rFonts w:hint="eastAsia" w:ascii="仿宋" w:hAnsi="仿宋" w:eastAsia="仿宋"/>
          <w:b/>
          <w:color w:val="auto"/>
          <w:sz w:val="28"/>
          <w:highlight w:val="none"/>
        </w:rPr>
        <w:drawing>
          <wp:anchor distT="0" distB="0" distL="114300" distR="114300" simplePos="0" relativeHeight="251659264" behindDoc="1" locked="0" layoutInCell="1" allowOverlap="1">
            <wp:simplePos x="0" y="0"/>
            <wp:positionH relativeFrom="column">
              <wp:posOffset>3884930</wp:posOffset>
            </wp:positionH>
            <wp:positionV relativeFrom="paragraph">
              <wp:posOffset>277495</wp:posOffset>
            </wp:positionV>
            <wp:extent cx="2110105" cy="1201420"/>
            <wp:effectExtent l="0" t="0" r="4445" b="17780"/>
            <wp:wrapNone/>
            <wp:docPr id="1" name="图片 34" descr="0fd0540ecee0816576643b915cb53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4" descr="0fd0540ecee0816576643b915cb53d4"/>
                    <pic:cNvPicPr>
                      <a:picLocks noChangeAspect="1"/>
                    </pic:cNvPicPr>
                  </pic:nvPicPr>
                  <pic:blipFill>
                    <a:blip r:embed="rId9"/>
                    <a:stretch>
                      <a:fillRect/>
                    </a:stretch>
                  </pic:blipFill>
                  <pic:spPr>
                    <a:xfrm>
                      <a:off x="0" y="0"/>
                      <a:ext cx="2110105" cy="1201420"/>
                    </a:xfrm>
                    <a:prstGeom prst="rect">
                      <a:avLst/>
                    </a:prstGeom>
                    <a:noFill/>
                    <a:ln w="9525">
                      <a:noFill/>
                    </a:ln>
                  </pic:spPr>
                </pic:pic>
              </a:graphicData>
            </a:graphic>
          </wp:anchor>
        </w:drawing>
      </w:r>
    </w:p>
    <w:tbl>
      <w:tblPr>
        <w:tblStyle w:val="5"/>
        <w:tblpPr w:leftFromText="180" w:rightFromText="180" w:vertAnchor="text" w:horzAnchor="margin" w:tblpY="386"/>
        <w:tblW w:w="1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tblGrid>
      <w:tr w14:paraId="5B10F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51" w:type="dxa"/>
            <w:vAlign w:val="top"/>
          </w:tcPr>
          <w:p w14:paraId="35E9E550">
            <w:pPr>
              <w:rPr>
                <w:rFonts w:hint="eastAsia"/>
                <w:color w:val="auto"/>
                <w:sz w:val="30"/>
                <w:szCs w:val="30"/>
                <w:highlight w:val="none"/>
              </w:rPr>
            </w:pPr>
          </w:p>
        </w:tc>
      </w:tr>
    </w:tbl>
    <w:p w14:paraId="32C00A63">
      <w:pPr>
        <w:rPr>
          <w:rFonts w:hint="eastAsia" w:ascii="黑体" w:eastAsia="黑体"/>
          <w:b/>
          <w:color w:val="auto"/>
          <w:sz w:val="32"/>
          <w:szCs w:val="32"/>
          <w:highlight w:val="none"/>
        </w:rPr>
      </w:pPr>
    </w:p>
    <w:p w14:paraId="6CF46CFF">
      <w:pPr>
        <w:rPr>
          <w:rFonts w:hint="eastAsia" w:ascii="黑体" w:eastAsia="黑体"/>
          <w:b/>
          <w:color w:val="auto"/>
          <w:sz w:val="32"/>
          <w:szCs w:val="32"/>
          <w:highlight w:val="none"/>
        </w:rPr>
      </w:pPr>
    </w:p>
    <w:p w14:paraId="56D72DB7">
      <w:pPr>
        <w:rPr>
          <w:rFonts w:hint="eastAsia" w:ascii="黑体" w:eastAsia="黑体"/>
          <w:b/>
          <w:color w:val="auto"/>
          <w:sz w:val="32"/>
          <w:szCs w:val="32"/>
          <w:highlight w:val="none"/>
        </w:rPr>
      </w:pPr>
      <w:r>
        <w:rPr>
          <w:rFonts w:hint="eastAsia" w:ascii="黑体" w:eastAsia="黑体"/>
          <w:b/>
          <w:color w:val="auto"/>
          <w:sz w:val="32"/>
          <w:szCs w:val="32"/>
          <w:highlight w:val="none"/>
        </w:rPr>
        <w:t>合同编号：</w:t>
      </w:r>
    </w:p>
    <w:p w14:paraId="075A0404">
      <w:pPr>
        <w:jc w:val="center"/>
        <w:rPr>
          <w:rFonts w:hint="eastAsia" w:ascii="黑体" w:eastAsia="黑体"/>
          <w:color w:val="auto"/>
          <w:sz w:val="52"/>
          <w:szCs w:val="52"/>
          <w:highlight w:val="none"/>
        </w:rPr>
      </w:pPr>
      <w:r>
        <w:rPr>
          <w:rFonts w:hint="eastAsia" w:ascii="黑体" w:eastAsia="黑体"/>
          <w:color w:val="auto"/>
          <w:sz w:val="52"/>
          <w:szCs w:val="52"/>
          <w:highlight w:val="none"/>
        </w:rPr>
        <w:t xml:space="preserve">         </w:t>
      </w:r>
    </w:p>
    <w:p w14:paraId="2E6D6406">
      <w:pPr>
        <w:ind w:firstLine="2405" w:firstLineChars="499"/>
        <w:rPr>
          <w:rFonts w:hint="eastAsia" w:ascii="宋体" w:hAnsi="宋体"/>
          <w:b/>
          <w:snapToGrid w:val="0"/>
          <w:color w:val="auto"/>
          <w:sz w:val="48"/>
          <w:szCs w:val="48"/>
          <w:highlight w:val="none"/>
        </w:rPr>
      </w:pPr>
      <w:r>
        <w:rPr>
          <w:rFonts w:hint="eastAsia" w:ascii="宋体" w:hAnsi="宋体"/>
          <w:b/>
          <w:snapToGrid w:val="0"/>
          <w:color w:val="auto"/>
          <w:sz w:val="48"/>
          <w:szCs w:val="48"/>
          <w:highlight w:val="none"/>
        </w:rPr>
        <w:t>西安市第五医院</w:t>
      </w:r>
    </w:p>
    <w:p w14:paraId="4F8DFB2B">
      <w:pPr>
        <w:rPr>
          <w:rFonts w:hint="eastAsia" w:ascii="宋体" w:hAnsi="宋体"/>
          <w:b/>
          <w:snapToGrid w:val="0"/>
          <w:color w:val="auto"/>
          <w:sz w:val="40"/>
          <w:szCs w:val="48"/>
          <w:highlight w:val="none"/>
        </w:rPr>
      </w:pPr>
    </w:p>
    <w:p w14:paraId="5CBA565A">
      <w:pPr>
        <w:jc w:val="center"/>
        <w:rPr>
          <w:rFonts w:hint="eastAsia" w:ascii="宋体" w:hAnsi="宋体"/>
          <w:b/>
          <w:snapToGrid w:val="0"/>
          <w:color w:val="auto"/>
          <w:sz w:val="40"/>
          <w:szCs w:val="48"/>
          <w:highlight w:val="none"/>
        </w:rPr>
      </w:pPr>
      <w:r>
        <w:rPr>
          <w:rFonts w:hint="eastAsia" w:ascii="宋体" w:hAnsi="宋体"/>
          <w:b/>
          <w:snapToGrid w:val="0"/>
          <w:color w:val="auto"/>
          <w:sz w:val="40"/>
          <w:szCs w:val="48"/>
          <w:highlight w:val="none"/>
        </w:rPr>
        <w:t xml:space="preserve"> （</w:t>
      </w:r>
      <w:r>
        <w:rPr>
          <w:rFonts w:hint="eastAsia" w:ascii="宋体" w:hAnsi="宋体"/>
          <w:b/>
          <w:snapToGrid w:val="0"/>
          <w:color w:val="auto"/>
          <w:sz w:val="40"/>
          <w:szCs w:val="48"/>
          <w:highlight w:val="none"/>
          <w:lang w:eastAsia="zh-CN"/>
        </w:rPr>
        <w:t>项目名称：医疗垃圾清运</w:t>
      </w:r>
      <w:r>
        <w:rPr>
          <w:rFonts w:hint="eastAsia" w:ascii="宋体" w:hAnsi="宋体"/>
          <w:b/>
          <w:snapToGrid w:val="0"/>
          <w:color w:val="auto"/>
          <w:sz w:val="40"/>
          <w:szCs w:val="48"/>
          <w:highlight w:val="none"/>
          <w:lang w:val="en-US" w:eastAsia="zh-CN"/>
        </w:rPr>
        <w:t>项目</w:t>
      </w:r>
      <w:r>
        <w:rPr>
          <w:rFonts w:hint="eastAsia" w:ascii="宋体" w:hAnsi="宋体"/>
          <w:b/>
          <w:snapToGrid w:val="0"/>
          <w:color w:val="auto"/>
          <w:sz w:val="40"/>
          <w:szCs w:val="48"/>
          <w:highlight w:val="none"/>
        </w:rPr>
        <w:t>）</w:t>
      </w:r>
    </w:p>
    <w:p w14:paraId="278170D1">
      <w:pPr>
        <w:widowControl w:val="0"/>
        <w:jc w:val="both"/>
        <w:rPr>
          <w:rFonts w:hint="eastAsia" w:ascii="宋体" w:hAnsi="宋体" w:eastAsia="Arial" w:cs="Arial"/>
          <w:b/>
          <w:snapToGrid w:val="0"/>
          <w:color w:val="auto"/>
          <w:kern w:val="2"/>
          <w:sz w:val="48"/>
          <w:szCs w:val="48"/>
          <w:highlight w:val="none"/>
          <w:lang w:val="en-US" w:eastAsia="zh-CN" w:bidi="ar-SA"/>
        </w:rPr>
      </w:pPr>
    </w:p>
    <w:p w14:paraId="52580993">
      <w:pPr>
        <w:widowControl w:val="0"/>
        <w:jc w:val="both"/>
        <w:rPr>
          <w:rFonts w:hint="eastAsia" w:ascii="宋体" w:hAnsi="宋体" w:eastAsia="Arial" w:cs="Arial"/>
          <w:b/>
          <w:snapToGrid w:val="0"/>
          <w:color w:val="auto"/>
          <w:kern w:val="2"/>
          <w:sz w:val="48"/>
          <w:szCs w:val="48"/>
          <w:highlight w:val="none"/>
          <w:lang w:val="en-US" w:eastAsia="zh-CN" w:bidi="ar-SA"/>
        </w:rPr>
      </w:pPr>
    </w:p>
    <w:p w14:paraId="79510B23">
      <w:pPr>
        <w:jc w:val="center"/>
        <w:rPr>
          <w:rFonts w:hint="eastAsia" w:ascii="黑体" w:eastAsia="黑体"/>
          <w:b/>
          <w:color w:val="auto"/>
          <w:sz w:val="72"/>
          <w:szCs w:val="72"/>
          <w:highlight w:val="none"/>
        </w:rPr>
      </w:pPr>
      <w:r>
        <w:rPr>
          <w:rFonts w:hint="eastAsia" w:ascii="黑体" w:eastAsia="黑体"/>
          <w:b/>
          <w:color w:val="auto"/>
          <w:sz w:val="72"/>
          <w:szCs w:val="72"/>
          <w:highlight w:val="none"/>
          <w:lang w:eastAsia="zh-CN"/>
        </w:rPr>
        <w:t>服</w:t>
      </w:r>
      <w:r>
        <w:rPr>
          <w:rFonts w:hint="eastAsia" w:ascii="黑体" w:eastAsia="黑体"/>
          <w:b/>
          <w:color w:val="auto"/>
          <w:sz w:val="72"/>
          <w:szCs w:val="72"/>
          <w:highlight w:val="none"/>
          <w:lang w:val="en-US" w:eastAsia="zh-CN"/>
        </w:rPr>
        <w:t xml:space="preserve"> </w:t>
      </w:r>
      <w:r>
        <w:rPr>
          <w:rFonts w:hint="eastAsia" w:ascii="黑体" w:eastAsia="黑体"/>
          <w:b/>
          <w:color w:val="auto"/>
          <w:sz w:val="72"/>
          <w:szCs w:val="72"/>
          <w:highlight w:val="none"/>
          <w:lang w:eastAsia="zh-CN"/>
        </w:rPr>
        <w:t>务</w:t>
      </w:r>
      <w:r>
        <w:rPr>
          <w:rFonts w:hint="eastAsia" w:ascii="黑体" w:eastAsia="黑体"/>
          <w:b/>
          <w:color w:val="auto"/>
          <w:sz w:val="72"/>
          <w:szCs w:val="72"/>
          <w:highlight w:val="none"/>
        </w:rPr>
        <w:t xml:space="preserve"> 合 同</w:t>
      </w:r>
    </w:p>
    <w:p w14:paraId="6524310B">
      <w:pPr>
        <w:widowControl w:val="0"/>
        <w:tabs>
          <w:tab w:val="center" w:pos="4153"/>
          <w:tab w:val="right" w:pos="8306"/>
        </w:tabs>
        <w:snapToGrid w:val="0"/>
        <w:jc w:val="left"/>
        <w:rPr>
          <w:rFonts w:hint="eastAsia" w:ascii="Times New Roman" w:hAnsi="Times New Roman" w:eastAsia="宋体" w:cs="Times New Roman"/>
          <w:color w:val="auto"/>
          <w:kern w:val="2"/>
          <w:sz w:val="40"/>
          <w:szCs w:val="40"/>
          <w:highlight w:val="none"/>
          <w:lang w:val="en-US" w:eastAsia="zh-CN" w:bidi="ar-SA"/>
        </w:rPr>
      </w:pPr>
    </w:p>
    <w:p w14:paraId="3E43FF9C">
      <w:pPr>
        <w:widowControl w:val="0"/>
        <w:tabs>
          <w:tab w:val="center" w:pos="4153"/>
          <w:tab w:val="right" w:pos="8306"/>
        </w:tabs>
        <w:snapToGrid w:val="0"/>
        <w:ind w:firstLine="2008" w:firstLineChars="500"/>
        <w:jc w:val="left"/>
        <w:rPr>
          <w:rFonts w:hint="eastAsia" w:ascii="宋体" w:hAnsi="宋体" w:eastAsia="宋体" w:cs="宋体"/>
          <w:color w:val="auto"/>
          <w:kern w:val="2"/>
          <w:sz w:val="40"/>
          <w:szCs w:val="40"/>
          <w:highlight w:val="none"/>
          <w:lang w:val="en-US" w:eastAsia="zh-CN" w:bidi="ar-SA"/>
        </w:rPr>
      </w:pPr>
      <w:r>
        <w:rPr>
          <w:rFonts w:hint="eastAsia" w:ascii="宋体" w:hAnsi="宋体" w:eastAsia="宋体" w:cs="宋体"/>
          <w:b/>
          <w:color w:val="auto"/>
          <w:kern w:val="2"/>
          <w:sz w:val="40"/>
          <w:szCs w:val="40"/>
          <w:highlight w:val="none"/>
          <w:lang w:val="en-US" w:eastAsia="zh-CN" w:bidi="ar-SA"/>
        </w:rPr>
        <w:t>（项目编号：       ）</w:t>
      </w:r>
    </w:p>
    <w:p w14:paraId="0D11FCC1">
      <w:pPr>
        <w:rPr>
          <w:rFonts w:hint="eastAsia" w:ascii="黑体" w:eastAsia="黑体"/>
          <w:color w:val="auto"/>
          <w:sz w:val="32"/>
          <w:szCs w:val="32"/>
          <w:highlight w:val="none"/>
        </w:rPr>
      </w:pPr>
    </w:p>
    <w:p w14:paraId="5F2FB53B">
      <w:pPr>
        <w:ind w:firstLine="2080" w:firstLineChars="650"/>
        <w:rPr>
          <w:rFonts w:hint="eastAsia" w:ascii="黑体" w:eastAsia="黑体"/>
          <w:color w:val="auto"/>
          <w:sz w:val="32"/>
          <w:szCs w:val="32"/>
          <w:highlight w:val="none"/>
        </w:rPr>
      </w:pPr>
      <w:r>
        <w:rPr>
          <w:rFonts w:hint="eastAsia" w:ascii="黑体" w:eastAsia="黑体"/>
          <w:color w:val="auto"/>
          <w:sz w:val="32"/>
          <w:szCs w:val="32"/>
          <w:highlight w:val="none"/>
        </w:rPr>
        <w:t>甲  方：</w:t>
      </w:r>
    </w:p>
    <w:p w14:paraId="0362927D">
      <w:pPr>
        <w:tabs>
          <w:tab w:val="left" w:pos="480"/>
        </w:tabs>
        <w:ind w:firstLine="640" w:firstLineChars="200"/>
        <w:rPr>
          <w:rFonts w:hint="eastAsia" w:ascii="黑体" w:hAnsi="黑体" w:eastAsia="黑体"/>
          <w:color w:val="auto"/>
          <w:sz w:val="32"/>
          <w:szCs w:val="32"/>
          <w:highlight w:val="none"/>
        </w:rPr>
      </w:pPr>
      <w:r>
        <w:rPr>
          <w:rFonts w:hint="eastAsia" w:ascii="黑体" w:eastAsia="黑体"/>
          <w:color w:val="auto"/>
          <w:sz w:val="32"/>
          <w:szCs w:val="32"/>
          <w:highlight w:val="none"/>
        </w:rPr>
        <w:t xml:space="preserve">         </w:t>
      </w:r>
      <w:r>
        <w:rPr>
          <w:rFonts w:hint="eastAsia" w:ascii="黑体" w:hAnsi="黑体" w:eastAsia="黑体"/>
          <w:color w:val="auto"/>
          <w:sz w:val="32"/>
          <w:szCs w:val="32"/>
          <w:highlight w:val="none"/>
        </w:rPr>
        <w:t>乙  方：</w:t>
      </w:r>
    </w:p>
    <w:p w14:paraId="53B4B4C1">
      <w:pPr>
        <w:widowControl w:val="0"/>
        <w:tabs>
          <w:tab w:val="center" w:pos="4153"/>
          <w:tab w:val="right" w:pos="8306"/>
        </w:tabs>
        <w:snapToGrid w:val="0"/>
        <w:jc w:val="left"/>
        <w:rPr>
          <w:rFonts w:hint="eastAsia" w:ascii="黑体" w:hAnsi="Times New Roman"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 xml:space="preserve">            </w:t>
      </w:r>
      <w:r>
        <w:rPr>
          <w:rFonts w:hint="eastAsia" w:ascii="黑体" w:hAnsi="Times New Roman" w:eastAsia="黑体" w:cs="Times New Roman"/>
          <w:color w:val="auto"/>
          <w:kern w:val="2"/>
          <w:sz w:val="32"/>
          <w:szCs w:val="32"/>
          <w:highlight w:val="none"/>
          <w:lang w:val="en-US" w:eastAsia="zh-CN" w:bidi="ar-SA"/>
        </w:rPr>
        <w:t xml:space="preserve">         </w:t>
      </w:r>
    </w:p>
    <w:p w14:paraId="12F6641D">
      <w:pPr>
        <w:jc w:val="center"/>
        <w:rPr>
          <w:rFonts w:hint="eastAsia" w:ascii="黑体" w:eastAsia="黑体"/>
          <w:color w:val="auto"/>
          <w:sz w:val="30"/>
          <w:szCs w:val="30"/>
          <w:highlight w:val="none"/>
        </w:rPr>
      </w:pPr>
    </w:p>
    <w:p w14:paraId="307C8EBE">
      <w:pPr>
        <w:jc w:val="center"/>
        <w:rPr>
          <w:rFonts w:hint="eastAsia" w:ascii="黑体" w:eastAsia="黑体"/>
          <w:color w:val="auto"/>
          <w:sz w:val="32"/>
          <w:szCs w:val="32"/>
          <w:highlight w:val="none"/>
        </w:rPr>
      </w:pPr>
      <w:r>
        <w:rPr>
          <w:rFonts w:hint="eastAsia" w:ascii="黑体" w:eastAsia="黑体"/>
          <w:color w:val="auto"/>
          <w:sz w:val="32"/>
          <w:szCs w:val="32"/>
          <w:highlight w:val="none"/>
        </w:rPr>
        <w:t>年 月</w:t>
      </w:r>
    </w:p>
    <w:p w14:paraId="1FBACDE8">
      <w:pPr>
        <w:jc w:val="center"/>
        <w:rPr>
          <w:rFonts w:hint="eastAsia" w:ascii="黑体" w:eastAsia="黑体"/>
          <w:color w:val="auto"/>
          <w:sz w:val="32"/>
          <w:szCs w:val="32"/>
          <w:highlight w:val="none"/>
        </w:rPr>
      </w:pPr>
      <w:r>
        <w:rPr>
          <w:rFonts w:hint="eastAsia" w:ascii="黑体" w:eastAsia="黑体"/>
          <w:color w:val="auto"/>
          <w:sz w:val="32"/>
          <w:szCs w:val="32"/>
          <w:highlight w:val="none"/>
        </w:rPr>
        <w:t>中国  西安</w:t>
      </w:r>
    </w:p>
    <w:p w14:paraId="6A121709">
      <w:pPr>
        <w:widowControl w:val="0"/>
        <w:tabs>
          <w:tab w:val="left" w:pos="510"/>
        </w:tabs>
        <w:snapToGrid w:val="0"/>
        <w:jc w:val="left"/>
        <w:rPr>
          <w:rFonts w:ascii="Times New Roman" w:hAnsi="Times New Roman" w:eastAsia="宋体" w:cs="Times New Roman"/>
          <w:color w:val="auto"/>
          <w:kern w:val="2"/>
          <w:sz w:val="18"/>
          <w:szCs w:val="18"/>
          <w:highlight w:val="none"/>
          <w:lang w:val="en-US" w:eastAsia="zh-CN" w:bidi="ar-SA"/>
        </w:rPr>
      </w:pPr>
      <w:r>
        <w:rPr>
          <w:rFonts w:ascii="Times New Roman" w:hAnsi="Times New Roman" w:eastAsia="宋体" w:cs="Times New Roman"/>
          <w:color w:val="auto"/>
          <w:kern w:val="2"/>
          <w:sz w:val="18"/>
          <w:szCs w:val="18"/>
          <w:highlight w:val="none"/>
          <w:lang w:val="en-US" w:eastAsia="zh-CN" w:bidi="ar-SA"/>
        </w:rPr>
        <w:tab/>
      </w:r>
    </w:p>
    <w:p w14:paraId="148D39C3">
      <w:pPr>
        <w:tabs>
          <w:tab w:val="left" w:pos="7350"/>
        </w:tabs>
        <w:spacing w:line="460" w:lineRule="exact"/>
        <w:rPr>
          <w:rFonts w:hint="eastAsia" w:ascii="仿宋" w:hAnsi="仿宋" w:eastAsia="仿宋" w:cs="仿宋"/>
          <w:color w:val="auto"/>
          <w:sz w:val="28"/>
          <w:szCs w:val="28"/>
          <w:highlight w:val="none"/>
        </w:rPr>
      </w:pPr>
    </w:p>
    <w:p w14:paraId="1D55F1C5">
      <w:pPr>
        <w:tabs>
          <w:tab w:val="left" w:pos="7350"/>
        </w:tabs>
        <w:spacing w:line="460" w:lineRule="exact"/>
        <w:rPr>
          <w:rFonts w:hint="eastAsia" w:ascii="仿宋" w:hAnsi="仿宋" w:eastAsia="仿宋" w:cs="仿宋"/>
          <w:color w:val="auto"/>
          <w:sz w:val="28"/>
          <w:szCs w:val="28"/>
          <w:highlight w:val="none"/>
        </w:rPr>
      </w:pPr>
    </w:p>
    <w:p w14:paraId="4A1D579C">
      <w:pPr>
        <w:tabs>
          <w:tab w:val="left" w:pos="7350"/>
        </w:tabs>
        <w:spacing w:line="460" w:lineRule="exact"/>
        <w:rPr>
          <w:rFonts w:hint="eastAsia" w:ascii="仿宋" w:hAnsi="仿宋" w:eastAsia="仿宋" w:cs="仿宋"/>
          <w:color w:val="auto"/>
          <w:sz w:val="28"/>
          <w:szCs w:val="28"/>
          <w:highlight w:val="none"/>
        </w:rPr>
      </w:pPr>
    </w:p>
    <w:p w14:paraId="5CDA4FEE">
      <w:pPr>
        <w:keepNext w:val="0"/>
        <w:keepLines w:val="0"/>
        <w:pageBreakBefore w:val="0"/>
        <w:widowControl w:val="0"/>
        <w:kinsoku/>
        <w:wordWrap/>
        <w:overflowPunct/>
        <w:topLinePunct w:val="0"/>
        <w:autoSpaceDE/>
        <w:autoSpaceDN/>
        <w:bidi w:val="0"/>
        <w:adjustRightInd/>
        <w:snapToGrid/>
        <w:spacing w:line="240" w:lineRule="auto"/>
        <w:ind w:right="0"/>
        <w:textAlignment w:val="auto"/>
        <w:rPr>
          <w:rFonts w:hint="eastAsia"/>
          <w:b/>
          <w:color w:val="auto"/>
          <w:szCs w:val="21"/>
          <w:highlight w:val="none"/>
        </w:rPr>
        <w:sectPr>
          <w:headerReference r:id="rId3" w:type="default"/>
          <w:footerReference r:id="rId4" w:type="default"/>
          <w:footerReference r:id="rId5" w:type="even"/>
          <w:pgSz w:w="11906" w:h="16838"/>
          <w:pgMar w:top="1021" w:right="1803" w:bottom="1134" w:left="1803" w:header="284" w:footer="567" w:gutter="0"/>
          <w:pgNumType w:fmt="decimal"/>
          <w:cols w:space="720" w:num="1"/>
          <w:docGrid w:type="lines" w:linePitch="312" w:charSpace="0"/>
        </w:sectPr>
      </w:pPr>
    </w:p>
    <w:bookmarkEnd w:id="0"/>
    <w:p w14:paraId="08967728">
      <w:pPr>
        <w:keepNext w:val="0"/>
        <w:keepLines w:val="0"/>
        <w:pageBreakBefore w:val="0"/>
        <w:widowControl w:val="0"/>
        <w:kinsoku/>
        <w:wordWrap/>
        <w:overflowPunct/>
        <w:topLinePunct w:val="0"/>
        <w:autoSpaceDE/>
        <w:autoSpaceDN/>
        <w:bidi w:val="0"/>
        <w:adjustRightInd/>
        <w:snapToGrid/>
        <w:spacing w:line="240" w:lineRule="auto"/>
        <w:ind w:left="0" w:leftChars="0" w:right="0" w:firstLine="562" w:firstLineChars="20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甲  方：</w:t>
      </w:r>
      <w:r>
        <w:rPr>
          <w:rFonts w:hint="eastAsia" w:ascii="仿宋" w:hAnsi="仿宋" w:eastAsia="仿宋" w:cs="仿宋"/>
          <w:color w:val="auto"/>
          <w:sz w:val="28"/>
          <w:szCs w:val="28"/>
          <w:highlight w:val="none"/>
        </w:rPr>
        <w:t xml:space="preserve"> </w:t>
      </w:r>
    </w:p>
    <w:p w14:paraId="4C17EEE1">
      <w:pPr>
        <w:keepNext w:val="0"/>
        <w:keepLines w:val="0"/>
        <w:pageBreakBefore w:val="0"/>
        <w:widowControl w:val="0"/>
        <w:kinsoku/>
        <w:wordWrap/>
        <w:overflowPunct/>
        <w:topLinePunct w:val="0"/>
        <w:autoSpaceDE/>
        <w:autoSpaceDN/>
        <w:bidi w:val="0"/>
        <w:adjustRightInd/>
        <w:snapToGrid/>
        <w:spacing w:line="240" w:lineRule="auto"/>
        <w:ind w:left="0" w:leftChars="0" w:right="0" w:firstLine="562"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color w:val="auto"/>
          <w:sz w:val="28"/>
          <w:szCs w:val="28"/>
          <w:highlight w:val="none"/>
        </w:rPr>
        <w:t>住所地：</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lang w:val="en-US" w:eastAsia="zh-CN"/>
        </w:rPr>
        <w:t xml:space="preserve">  </w:t>
      </w:r>
    </w:p>
    <w:p w14:paraId="31661E84">
      <w:pPr>
        <w:keepNext w:val="0"/>
        <w:keepLines w:val="0"/>
        <w:pageBreakBefore w:val="0"/>
        <w:widowControl w:val="0"/>
        <w:kinsoku/>
        <w:wordWrap/>
        <w:overflowPunct/>
        <w:topLinePunct w:val="0"/>
        <w:autoSpaceDE/>
        <w:autoSpaceDN/>
        <w:bidi w:val="0"/>
        <w:adjustRightInd/>
        <w:snapToGrid/>
        <w:spacing w:line="240" w:lineRule="auto"/>
        <w:ind w:left="0" w:leftChars="0" w:right="0" w:firstLine="562" w:firstLineChars="20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乙  方：</w:t>
      </w:r>
    </w:p>
    <w:p w14:paraId="07059CAF">
      <w:pPr>
        <w:keepNext w:val="0"/>
        <w:keepLines w:val="0"/>
        <w:pageBreakBefore w:val="0"/>
        <w:widowControl w:val="0"/>
        <w:kinsoku/>
        <w:wordWrap/>
        <w:overflowPunct/>
        <w:topLinePunct w:val="0"/>
        <w:autoSpaceDE/>
        <w:autoSpaceDN/>
        <w:bidi w:val="0"/>
        <w:adjustRightInd/>
        <w:snapToGrid/>
        <w:spacing w:line="240" w:lineRule="auto"/>
        <w:ind w:left="0" w:leftChars="0" w:right="0" w:firstLine="562"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b/>
          <w:color w:val="auto"/>
          <w:sz w:val="28"/>
          <w:szCs w:val="28"/>
          <w:highlight w:val="none"/>
        </w:rPr>
        <w:t>住所地：</w:t>
      </w:r>
    </w:p>
    <w:p w14:paraId="3546B919">
      <w:pPr>
        <w:keepNext w:val="0"/>
        <w:keepLines w:val="0"/>
        <w:pageBreakBefore w:val="0"/>
        <w:widowControl w:val="0"/>
        <w:kinsoku/>
        <w:wordWrap/>
        <w:overflowPunct/>
        <w:topLinePunct w:val="0"/>
        <w:autoSpaceDE/>
        <w:autoSpaceDN/>
        <w:bidi w:val="0"/>
        <w:adjustRightInd/>
        <w:snapToGrid/>
        <w:spacing w:line="240" w:lineRule="auto"/>
        <w:ind w:right="0" w:firstLine="562" w:firstLineChars="200"/>
        <w:textAlignment w:val="auto"/>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一、鉴于：</w:t>
      </w:r>
    </w:p>
    <w:p w14:paraId="3C89BCD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甲方是一家在中国依法注册并合法存续的企业，有合法签订并履行本合同的资格，且具有《营业执照》、《医疗机构执业许可证》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诊所备案证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等相关经营许可资质。</w:t>
      </w:r>
    </w:p>
    <w:p w14:paraId="3B17139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乙方是一家在中国依法注册并合法存续的企业，有合法签订并履行本合同的资格，且具有“危险废物经营许可”的资格。</w:t>
      </w:r>
    </w:p>
    <w:p w14:paraId="58DFE85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为保障人民群众的身体健康，防止医疗废物污染事故的发生，根据《中华人民共和国固体废物污染环境防治法》、《医疗废物管理条例》（2011修订）等相关法律规定，</w:t>
      </w:r>
      <w:r>
        <w:rPr>
          <w:rFonts w:hint="eastAsia" w:ascii="仿宋" w:hAnsi="仿宋" w:eastAsia="仿宋" w:cs="仿宋"/>
          <w:color w:val="auto"/>
          <w:sz w:val="28"/>
          <w:szCs w:val="28"/>
          <w:highlight w:val="none"/>
          <w:lang w:val="en-US" w:eastAsia="zh-CN"/>
        </w:rPr>
        <w:t>为</w:t>
      </w:r>
      <w:r>
        <w:rPr>
          <w:rFonts w:hint="eastAsia" w:ascii="仿宋" w:hAnsi="仿宋" w:eastAsia="仿宋" w:cs="仿宋"/>
          <w:color w:val="auto"/>
          <w:sz w:val="28"/>
          <w:szCs w:val="28"/>
          <w:highlight w:val="none"/>
        </w:rPr>
        <w:t>实现医疗废物集中处置，甲方与乙方经共同协商，同意由</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负责处置甲方产生的医疗废物。为明确双方的权利、义务和责任，签订如下合同：</w:t>
      </w:r>
    </w:p>
    <w:p w14:paraId="1528F57B">
      <w:pPr>
        <w:keepNext w:val="0"/>
        <w:keepLines w:val="0"/>
        <w:pageBreakBefore w:val="0"/>
        <w:widowControl w:val="0"/>
        <w:kinsoku/>
        <w:wordWrap/>
        <w:overflowPunct/>
        <w:topLinePunct w:val="0"/>
        <w:autoSpaceDE/>
        <w:autoSpaceDN/>
        <w:bidi w:val="0"/>
        <w:adjustRightInd/>
        <w:snapToGrid/>
        <w:spacing w:line="240" w:lineRule="auto"/>
        <w:ind w:right="0" w:firstLine="562" w:firstLineChars="2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二、委托处置的范围及地址：</w:t>
      </w:r>
    </w:p>
    <w:p w14:paraId="2806A26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甲方委托乙方处置的危险废物为： HW01 即甲方在医疗、预防、保健以及相关活动中产生的具有直接或者间接感染性、毒性及其他危害性废物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是《医疗废物分类目录》中所规定的除化学性废物之外的各项医疗废物。</w:t>
      </w:r>
    </w:p>
    <w:p w14:paraId="6CE74F4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乙方负责在约定的医疗废物交接地点接收甲方产生的医疗废物，运送至乙方工厂进行无害化处置。</w:t>
      </w:r>
    </w:p>
    <w:p w14:paraId="4010C75E">
      <w:pPr>
        <w:keepNext w:val="0"/>
        <w:keepLines w:val="0"/>
        <w:pageBreakBefore w:val="0"/>
        <w:widowControl w:val="0"/>
        <w:kinsoku/>
        <w:wordWrap/>
        <w:overflowPunct/>
        <w:topLinePunct w:val="0"/>
        <w:autoSpaceDE/>
        <w:autoSpaceDN/>
        <w:bidi w:val="0"/>
        <w:adjustRightInd/>
        <w:snapToGrid/>
        <w:spacing w:line="240" w:lineRule="auto"/>
        <w:ind w:left="0" w:leftChars="0" w:right="0" w:firstLine="562" w:firstLineChars="2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三、甲方的权利义务：</w:t>
      </w:r>
    </w:p>
    <w:p w14:paraId="64BBD41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指定</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负责衔接、配合乙方的收运及处置工作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联系电话：</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 xml:space="preserve">   </w:t>
      </w:r>
    </w:p>
    <w:p w14:paraId="625804F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甲方应严格按照国家相关的法律法规将医疗废物进行分类、收集、转送、计量、包装、贮存，使用黄色专用包装袋密封，包装后再放置于专用周转桶中，并保证包装袋完整不破损。损伤性医疗废物必须使用“利器盒”包装；液体医疗废物必须使用专用“塑料桶”盛装，并单独存放。</w:t>
      </w:r>
    </w:p>
    <w:p w14:paraId="0C58BD1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甲方应按国家相关规范设立医疗废物暂存点，暂存点中不得存放除医疗废物外的其他废物，禁止存放其他危险废物，医疗废物周转桶必须集中放置在其医疗废物暂存点待运。</w:t>
      </w:r>
    </w:p>
    <w:p w14:paraId="55DA215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对于设立在一楼以上、地下室等不方便运送人员及运送工具、车辆出入的暂存点，甲方须安排人员配合转运工作，如甲方未安排人员或未及时安排人员配合转运，所造成的漏接、漏拖由甲方承担责任。</w:t>
      </w:r>
    </w:p>
    <w:p w14:paraId="4CE00FB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甲方须在盛装液体医疗废物的“塑料桶”明显位置上粘贴包含废物名称、主要成分、危险特性等内容的标签，并加盖单位印章，同时，双方交接前须向乙方提供有检测资质单位出具的检测报告。</w:t>
      </w:r>
    </w:p>
    <w:p w14:paraId="451C560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甲方确保医疗废物中不混入其他危险废物，若混入，乙方有权拒收医疗废物，同时乙方不因拒绝收集医疗废物承担任何责任，甲方仍应按本合同约定支付医疗废物处置费用。如因此引发环境等问题，由甲方承担所有责任，并赔偿乙方因此遭受的所有损失。如因甲方隐瞒违规将其他危险废物混入医疗废物，造成乙方车辆、处置设施损毁、人员伤亡等安全环保责任事故，甲方承担全部责任并赔偿乙方损失。同时，乙方可即刻停止收运处置服务直至甲方履行完毕赔偿责任及完成相关整改工作后，经卫健委、生态环境行政主管部门批准，方可恢复收运处置服务。</w:t>
      </w:r>
    </w:p>
    <w:p w14:paraId="686291D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甲方的医疗废物负责人员应提前做好准备等待清运，并按照《医疗废物集中处置技术规范》填写和保存《危险废物转移联单》（医疗废物专用）、《医疗废物运送登记卡》，如当次无废物交接，也必须在联单、登记卡上如实记录。如车到医疗废物暂存处无人配合，发生漏接、漏拖由甲方承担责任。</w:t>
      </w:r>
    </w:p>
    <w:p w14:paraId="4357CA9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根据国家相关的法律法规规定，甲方保证产生的医疗废物，不得擅自自行处置、丢弃、买卖或委托未取得经营许可的第三方处置，如经查实有此现象发生，乙方有权向卫健委、生态环境行政主管部门报告，由此产生的一切后果甲方自行承担。</w:t>
      </w:r>
    </w:p>
    <w:p w14:paraId="761DE70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甲方有义务将其内部有关交通、安全及管理规定告知乙方，保障乙方的医疗废物转运车辆在其院内的运输通道通畅和安全，并在其医疗废物贮存点附近无偿提供停车点位。</w:t>
      </w:r>
    </w:p>
    <w:p w14:paraId="1796D31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甲方有处置需求时，须及时通知乙方，如因甲方未及时通知乙方，造成未及时收运和处置，甲方承担相应责任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如由于乙方未能及时响应收运，对甲方产生的损失，由乙方承担相应责任。</w:t>
      </w:r>
    </w:p>
    <w:p w14:paraId="27B3D1A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合同签订，甲方须向乙方提供有效期内的《营业执照》、《医疗机构执业许可证》副本</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诊所备案证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法人身份证复印件》</w:t>
      </w:r>
      <w:r>
        <w:rPr>
          <w:rFonts w:hint="eastAsia" w:ascii="仿宋" w:hAnsi="仿宋" w:eastAsia="仿宋" w:cs="仿宋"/>
          <w:color w:val="auto"/>
          <w:sz w:val="28"/>
          <w:szCs w:val="28"/>
          <w:highlight w:val="none"/>
        </w:rPr>
        <w:t>或其他经营许可资质复印件，并对其有效性及真实性负责，供乙方存档。</w:t>
      </w:r>
    </w:p>
    <w:p w14:paraId="698741D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指定专人负责乙方提供的专用包装容器的接收及管理工作。</w:t>
      </w:r>
    </w:p>
    <w:p w14:paraId="6ED7F70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13.</w:t>
      </w:r>
      <w:r>
        <w:rPr>
          <w:rFonts w:hint="eastAsia" w:ascii="仿宋" w:hAnsi="仿宋" w:eastAsia="仿宋" w:cs="仿宋"/>
          <w:color w:val="auto"/>
          <w:sz w:val="28"/>
          <w:szCs w:val="28"/>
          <w:highlight w:val="none"/>
        </w:rPr>
        <w:t>甲方应根据本合同条款按期</w:t>
      </w:r>
      <w:r>
        <w:rPr>
          <w:rFonts w:hint="eastAsia" w:ascii="仿宋" w:hAnsi="仿宋" w:eastAsia="仿宋" w:cs="仿宋"/>
          <w:color w:val="auto"/>
          <w:sz w:val="28"/>
          <w:szCs w:val="28"/>
          <w:highlight w:val="none"/>
          <w:lang w:val="en-US" w:eastAsia="zh-CN"/>
        </w:rPr>
        <w:t>足额</w:t>
      </w:r>
      <w:r>
        <w:rPr>
          <w:rFonts w:hint="eastAsia" w:ascii="仿宋" w:hAnsi="仿宋" w:eastAsia="仿宋" w:cs="仿宋"/>
          <w:color w:val="auto"/>
          <w:sz w:val="28"/>
          <w:szCs w:val="28"/>
          <w:highlight w:val="none"/>
        </w:rPr>
        <w:t>支付医疗废物处置费用。</w:t>
      </w:r>
    </w:p>
    <w:p w14:paraId="48E99B0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14.</w:t>
      </w:r>
      <w:r>
        <w:rPr>
          <w:rFonts w:hint="eastAsia" w:ascii="仿宋" w:hAnsi="仿宋" w:eastAsia="仿宋" w:cs="仿宋"/>
          <w:color w:val="auto"/>
          <w:sz w:val="28"/>
          <w:szCs w:val="28"/>
          <w:highlight w:val="none"/>
        </w:rPr>
        <w:t>甲方如擅自接收非本单位产生且没有与乙方签订补充协议并缴纳此类医疗废物处置费用的，乙方有权拒收此类医疗废物并向生态环境局、卫健局报告，同时有权向甲方索取因此造成的</w:t>
      </w:r>
      <w:r>
        <w:rPr>
          <w:rFonts w:hint="eastAsia" w:ascii="仿宋" w:hAnsi="仿宋" w:eastAsia="仿宋" w:cs="仿宋"/>
          <w:color w:val="auto"/>
          <w:sz w:val="28"/>
          <w:szCs w:val="28"/>
          <w:highlight w:val="none"/>
          <w:lang w:val="en-US" w:eastAsia="zh-CN"/>
        </w:rPr>
        <w:t>全部</w:t>
      </w:r>
      <w:r>
        <w:rPr>
          <w:rFonts w:hint="eastAsia" w:ascii="仿宋" w:hAnsi="仿宋" w:eastAsia="仿宋" w:cs="仿宋"/>
          <w:color w:val="auto"/>
          <w:sz w:val="28"/>
          <w:szCs w:val="28"/>
          <w:highlight w:val="none"/>
        </w:rPr>
        <w:t>经济损失。</w:t>
      </w:r>
    </w:p>
    <w:p w14:paraId="3E979D0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甲方应在每月初及时向乙方如实提供上月住院病人实际占用床位日数及上月每天住院病人实际占用床位</w:t>
      </w:r>
    </w:p>
    <w:p w14:paraId="1804A51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16.</w:t>
      </w:r>
      <w:r>
        <w:rPr>
          <w:rFonts w:hint="eastAsia" w:ascii="仿宋" w:hAnsi="仿宋" w:eastAsia="仿宋" w:cs="仿宋"/>
          <w:color w:val="auto"/>
          <w:sz w:val="28"/>
          <w:szCs w:val="28"/>
          <w:highlight w:val="none"/>
        </w:rPr>
        <w:t>日数清单，不得少报（虚报），否则，甲方应根据本合同第</w:t>
      </w:r>
      <w:r>
        <w:rPr>
          <w:rFonts w:hint="eastAsia" w:ascii="仿宋" w:hAnsi="仿宋" w:eastAsia="仿宋" w:cs="仿宋"/>
          <w:color w:val="auto"/>
          <w:sz w:val="28"/>
          <w:szCs w:val="28"/>
          <w:highlight w:val="none"/>
          <w:lang w:val="en-US" w:eastAsia="zh-CN"/>
        </w:rPr>
        <w:t>六</w:t>
      </w:r>
      <w:r>
        <w:rPr>
          <w:rFonts w:hint="eastAsia" w:ascii="仿宋" w:hAnsi="仿宋" w:eastAsia="仿宋" w:cs="仿宋"/>
          <w:color w:val="auto"/>
          <w:sz w:val="28"/>
          <w:szCs w:val="28"/>
          <w:highlight w:val="none"/>
        </w:rPr>
        <w:t>条</w:t>
      </w:r>
      <w:r>
        <w:rPr>
          <w:rFonts w:hint="eastAsia" w:ascii="仿宋" w:hAnsi="仿宋" w:eastAsia="仿宋" w:cs="仿宋"/>
          <w:color w:val="auto"/>
          <w:sz w:val="28"/>
          <w:szCs w:val="28"/>
          <w:highlight w:val="none"/>
          <w:lang w:val="en-US" w:eastAsia="zh-CN"/>
        </w:rPr>
        <w:t>第6款</w:t>
      </w:r>
      <w:r>
        <w:rPr>
          <w:rFonts w:hint="eastAsia" w:ascii="仿宋" w:hAnsi="仿宋" w:eastAsia="仿宋" w:cs="仿宋"/>
          <w:color w:val="auto"/>
          <w:sz w:val="28"/>
          <w:szCs w:val="28"/>
          <w:highlight w:val="none"/>
        </w:rPr>
        <w:t>承担相应的责任。</w:t>
      </w:r>
    </w:p>
    <w:p w14:paraId="0B36BDC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17.</w:t>
      </w:r>
      <w:r>
        <w:rPr>
          <w:rFonts w:hint="eastAsia" w:ascii="仿宋" w:hAnsi="仿宋" w:eastAsia="仿宋" w:cs="仿宋"/>
          <w:color w:val="auto"/>
          <w:sz w:val="28"/>
          <w:szCs w:val="28"/>
          <w:highlight w:val="none"/>
        </w:rPr>
        <w:t>出现经营地址变更、经营人变更、暂停营业、营业范围变更等要及时通知乙方，因医疗机构类别变更导致对应的收费标准类别变更从《医疗机构执业许可证》发证日期之日起变更对应的收费标准。</w:t>
      </w:r>
    </w:p>
    <w:p w14:paraId="0198C4F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2" w:firstLineChars="2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四、乙方的权利义务：</w:t>
      </w:r>
    </w:p>
    <w:p w14:paraId="1D548FC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乙方应向甲方提供其有效期内的《营业执照》、《危险废物经营许可证》复印件，并保证该材料正规有效，同时交由甲方存档。</w:t>
      </w:r>
    </w:p>
    <w:p w14:paraId="48FBC60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乙方负责及时按甲方实际需要，</w:t>
      </w:r>
      <w:r>
        <w:rPr>
          <w:rFonts w:hint="eastAsia" w:ascii="仿宋" w:hAnsi="仿宋" w:eastAsia="仿宋" w:cs="仿宋"/>
          <w:color w:val="auto"/>
          <w:sz w:val="28"/>
          <w:szCs w:val="28"/>
          <w:highlight w:val="none"/>
          <w:lang w:val="en-US" w:eastAsia="zh-CN"/>
        </w:rPr>
        <w:t>定量</w:t>
      </w:r>
      <w:r>
        <w:rPr>
          <w:rFonts w:hint="eastAsia" w:ascii="仿宋" w:hAnsi="仿宋" w:eastAsia="仿宋" w:cs="仿宋"/>
          <w:color w:val="auto"/>
          <w:sz w:val="28"/>
          <w:szCs w:val="28"/>
          <w:highlight w:val="none"/>
        </w:rPr>
        <w:t>向甲方提供专用包装袋、利器盒、周转箱，周转桶应存放在甲方的医疗废物暂存点，并仅用于存放医疗废物。甲方有责任妥善保管医疗废物周转桶，如有遗失或人为损坏，按照周转桶（240L）420元／个进行赔偿。</w:t>
      </w:r>
    </w:p>
    <w:p w14:paraId="557A6BA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乙方在接收医疗废物时有权对移交的医疗废物的标识、包装、数量和重量等进行核实，经核实无误，双方共同填写《危险废物转移联单》（医疗废物专用）和《医疗废物运送登记卡》并签字确认，若乙方对其类型、数量、重量有异议或包装、标识不符合规定的，要求甲方更正，甲方拒绝更正时，乙方可拒收，并将有关情况于《医疗废物运送登记卡》上注明，上报卫健委、生态环境行政主管部门，由此引起的责任由甲方承担。</w:t>
      </w:r>
    </w:p>
    <w:p w14:paraId="0B2895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对于设立在一楼以上、地下室等不方便运送人员及运送工具、车辆出入的暂存点，乙方可要求甲方安排人员配合转运工作，甲方拒绝配合时，乙方可拒收，并将有关情况于《医疗废物运送登记卡》上注明，上报卫健委、生态环境行政主管部门，由此引起的责任由甲方承担。</w:t>
      </w:r>
    </w:p>
    <w:p w14:paraId="5F102B3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乙方保证遵守甲方内部有关交通、安全及规章制度，如有违反，按甲方的管理规定处理。</w:t>
      </w:r>
    </w:p>
    <w:p w14:paraId="2B9E584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乙方应做好医疗废物安全运输工作，使用专用车辆收运并防止运输途中出现医疗废物流失、扩散造成环境污染。</w:t>
      </w:r>
    </w:p>
    <w:p w14:paraId="18443EA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乙方派专用医疗废物转运车在甲方指定的医疗废物暂存点清运，在装车、运输过程中杜绝跑、冒、滴、漏，对转运过程中的交通安全及环保安全负责。</w:t>
      </w:r>
    </w:p>
    <w:p w14:paraId="0CE66DE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根据《医疗废物管理条例》和《医疗废物集中处置技术规范》等相关要求对接收的医疗废物进行无害化处置</w:t>
      </w:r>
      <w:r>
        <w:rPr>
          <w:rFonts w:hint="eastAsia" w:ascii="仿宋" w:hAnsi="仿宋" w:eastAsia="仿宋" w:cs="仿宋"/>
          <w:color w:val="auto"/>
          <w:sz w:val="28"/>
          <w:szCs w:val="28"/>
          <w:highlight w:val="none"/>
          <w:lang w:eastAsia="zh-CN"/>
        </w:rPr>
        <w:t>，如乙方未按规范收运、处置甲方的医疗废物，造成二次污染的事实，乙方承担</w:t>
      </w:r>
      <w:r>
        <w:rPr>
          <w:rFonts w:hint="eastAsia" w:ascii="仿宋" w:hAnsi="仿宋" w:eastAsia="仿宋" w:cs="仿宋"/>
          <w:color w:val="auto"/>
          <w:sz w:val="28"/>
          <w:szCs w:val="28"/>
          <w:highlight w:val="none"/>
          <w:lang w:val="en-US" w:eastAsia="zh-CN"/>
        </w:rPr>
        <w:t>相应责任</w:t>
      </w:r>
      <w:r>
        <w:rPr>
          <w:rFonts w:hint="eastAsia" w:ascii="仿宋" w:hAnsi="仿宋" w:eastAsia="仿宋" w:cs="仿宋"/>
          <w:color w:val="auto"/>
          <w:sz w:val="28"/>
          <w:szCs w:val="28"/>
          <w:highlight w:val="none"/>
        </w:rPr>
        <w:t>。</w:t>
      </w:r>
    </w:p>
    <w:p w14:paraId="638D47E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乙方有义务接受甲方对处置医疗危险废物过程的监督，如乙方对医疗废物的处置不符合国家及生态环境部门的相关规定，甲方有权向卫健委、生态环境行政主管部门举报。</w:t>
      </w:r>
    </w:p>
    <w:p w14:paraId="29313B3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对于甲方的收运需求，乙方承诺，接甲方通知后两个工作日内进行清运。客服电话：029-85572569。</w:t>
      </w:r>
    </w:p>
    <w:p w14:paraId="50C1849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b w:val="0"/>
          <w:bCs/>
          <w:color w:val="auto"/>
          <w:sz w:val="28"/>
          <w:szCs w:val="28"/>
          <w:highlight w:val="none"/>
          <w:lang w:val="en-US" w:eastAsia="zh-CN"/>
        </w:rPr>
        <w:t>乙</w:t>
      </w:r>
      <w:r>
        <w:rPr>
          <w:rFonts w:hint="eastAsia" w:ascii="仿宋" w:hAnsi="仿宋" w:eastAsia="仿宋" w:cs="仿宋"/>
          <w:color w:val="auto"/>
          <w:sz w:val="28"/>
          <w:szCs w:val="28"/>
          <w:highlight w:val="none"/>
          <w:lang w:val="en-US" w:eastAsia="zh-CN"/>
        </w:rPr>
        <w:t>方负责运输，负责每两日对甲方医疗废物进行收运及配送。乙方司机等员工属于乙方的工作人员，如在运输过程中发生交通事故或者遭受侵权或他人侵权，由乙方承担责任，与甲方无关。</w:t>
      </w:r>
    </w:p>
    <w:p w14:paraId="3EF7D83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2" w:firstLineChars="2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五、</w:t>
      </w:r>
      <w:r>
        <w:rPr>
          <w:rFonts w:hint="eastAsia" w:ascii="仿宋" w:hAnsi="仿宋" w:eastAsia="仿宋" w:cs="仿宋"/>
          <w:b/>
          <w:color w:val="auto"/>
          <w:sz w:val="28"/>
          <w:szCs w:val="28"/>
          <w:highlight w:val="none"/>
        </w:rPr>
        <w:t>费用及结算方式：</w:t>
      </w:r>
    </w:p>
    <w:p w14:paraId="66DDC5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依据《西安市医疗废物集中处置实施方案》：“为了确保医疗废物集中处置中心的正常运转，医疗废物处置收费由医疗废物集中处置中心和医疗废物产生单位通过签订协议，采取先收后结的收费结算方式”、“对一级以上(含一级)的医院按实际使用床位数收费，每张床位每日收取2元医疗废物处置费”，结合甲方医疗废物收运和处置的实际情况，本着“污染付费、公平负担、平等自愿、协商一致”的原则，甲乙双方经协商确定合同期内：</w:t>
      </w:r>
    </w:p>
    <w:p w14:paraId="6162C30F">
      <w:pPr>
        <w:widowControl w:val="0"/>
        <w:numPr>
          <w:ilvl w:val="0"/>
          <w:numId w:val="1"/>
        </w:numPr>
        <w:spacing w:line="460" w:lineRule="exact"/>
        <w:ind w:firstLine="560" w:firstLineChars="20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 xml:space="preserve">   年预算金额为人民币（大写：    ，小写：   ）</w:t>
      </w:r>
    </w:p>
    <w:p w14:paraId="5BAA9EB4">
      <w:pPr>
        <w:spacing w:line="4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（二）根据</w:t>
      </w:r>
      <w:r>
        <w:rPr>
          <w:rFonts w:hint="default" w:ascii="仿宋" w:hAnsi="仿宋" w:eastAsia="仿宋" w:cs="仿宋"/>
          <w:color w:val="auto"/>
          <w:sz w:val="28"/>
          <w:szCs w:val="28"/>
          <w:highlight w:val="none"/>
          <w:lang w:val="en-US" w:eastAsia="zh-CN"/>
        </w:rPr>
        <w:t>甲方提供的</w:t>
      </w:r>
      <w:r>
        <w:rPr>
          <w:rFonts w:hint="default" w:ascii="仿宋" w:hAnsi="仿宋" w:eastAsia="仿宋" w:cs="仿宋"/>
          <w:color w:val="auto"/>
          <w:sz w:val="28"/>
          <w:szCs w:val="28"/>
          <w:highlight w:val="none"/>
          <w:lang w:val="en-US"/>
        </w:rPr>
        <w:t>预估床位</w:t>
      </w:r>
      <w:r>
        <w:rPr>
          <w:rFonts w:hint="default" w:ascii="仿宋" w:hAnsi="仿宋" w:eastAsia="仿宋" w:cs="仿宋"/>
          <w:color w:val="auto"/>
          <w:sz w:val="28"/>
          <w:szCs w:val="28"/>
          <w:highlight w:val="none"/>
          <w:lang w:val="en-US" w:eastAsia="zh-CN"/>
        </w:rPr>
        <w:t>数</w:t>
      </w:r>
      <w:r>
        <w:rPr>
          <w:rFonts w:hint="eastAsia" w:ascii="仿宋" w:hAnsi="仿宋" w:eastAsia="仿宋" w:cs="仿宋"/>
          <w:color w:val="auto"/>
          <w:sz w:val="28"/>
          <w:szCs w:val="28"/>
          <w:highlight w:val="none"/>
          <w:lang w:val="en-US" w:eastAsia="zh-CN"/>
        </w:rPr>
        <w:t>甲乙双方协商，预估</w:t>
      </w:r>
      <w:r>
        <w:rPr>
          <w:rFonts w:hint="eastAsia" w:ascii="仿宋" w:hAnsi="仿宋" w:eastAsia="仿宋" w:cs="仿宋"/>
          <w:color w:val="auto"/>
          <w:sz w:val="28"/>
          <w:szCs w:val="28"/>
          <w:highlight w:val="none"/>
          <w:u w:val="single"/>
          <w:lang w:val="en-US" w:eastAsia="zh-CN"/>
        </w:rPr>
        <w:t xml:space="preserve">   2024  </w:t>
      </w:r>
      <w:r>
        <w:rPr>
          <w:rFonts w:hint="eastAsia" w:ascii="仿宋" w:hAnsi="仿宋" w:eastAsia="仿宋" w:cs="仿宋"/>
          <w:color w:val="auto"/>
          <w:sz w:val="28"/>
          <w:szCs w:val="28"/>
          <w:highlight w:val="none"/>
        </w:rPr>
        <w:t>年度甲方床位总数</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张，</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年度甲方全年</w:t>
      </w:r>
      <w:r>
        <w:rPr>
          <w:rFonts w:hint="eastAsia" w:ascii="仿宋" w:hAnsi="仿宋" w:eastAsia="仿宋" w:cs="仿宋"/>
          <w:color w:val="auto"/>
          <w:sz w:val="28"/>
          <w:szCs w:val="28"/>
          <w:highlight w:val="none"/>
          <w:lang w:val="en-US" w:eastAsia="zh-CN"/>
        </w:rPr>
        <w:t>应</w:t>
      </w:r>
      <w:r>
        <w:rPr>
          <w:rFonts w:hint="eastAsia" w:ascii="仿宋" w:hAnsi="仿宋" w:eastAsia="仿宋" w:cs="仿宋"/>
          <w:color w:val="auto"/>
          <w:sz w:val="28"/>
          <w:szCs w:val="28"/>
          <w:highlight w:val="none"/>
        </w:rPr>
        <w:t>预付乙方</w:t>
      </w:r>
      <w:r>
        <w:rPr>
          <w:rFonts w:hint="eastAsia" w:ascii="仿宋" w:hAnsi="仿宋" w:eastAsia="仿宋" w:cs="仿宋"/>
          <w:color w:val="auto"/>
          <w:sz w:val="28"/>
          <w:szCs w:val="28"/>
          <w:highlight w:val="none"/>
          <w:lang w:val="en-US" w:eastAsia="zh-CN"/>
        </w:rPr>
        <w:t>的</w:t>
      </w:r>
      <w:r>
        <w:rPr>
          <w:rFonts w:hint="eastAsia" w:ascii="仿宋" w:hAnsi="仿宋" w:eastAsia="仿宋" w:cs="仿宋"/>
          <w:color w:val="auto"/>
          <w:sz w:val="28"/>
          <w:szCs w:val="28"/>
          <w:highlight w:val="none"/>
        </w:rPr>
        <w:t>处置费总计人民币（大写：</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，小写：</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 xml:space="preserve">）；平均每季度应支付处置费人民币（大写：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，小写：</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,其中，第一季度至第三季度处置费用一次性全额支付方式，当年第四季度应支付的处置费，分两个阶段支付，第一阶段按收费方式约定先支付按照本季度应付处置费的30%支付，剩余70%的部分</w:t>
      </w:r>
      <w:r>
        <w:rPr>
          <w:rFonts w:hint="default" w:ascii="仿宋" w:hAnsi="仿宋" w:eastAsia="仿宋" w:cs="仿宋"/>
          <w:color w:val="auto"/>
          <w:sz w:val="28"/>
          <w:szCs w:val="28"/>
          <w:highlight w:val="none"/>
          <w:lang w:val="en-US" w:eastAsia="zh-CN"/>
        </w:rPr>
        <w:t>用于扣减全年应付费用</w:t>
      </w:r>
      <w:r>
        <w:rPr>
          <w:rFonts w:hint="eastAsia" w:ascii="仿宋" w:hAnsi="仿宋" w:eastAsia="仿宋" w:cs="仿宋"/>
          <w:color w:val="auto"/>
          <w:sz w:val="28"/>
          <w:szCs w:val="28"/>
          <w:highlight w:val="none"/>
          <w:lang w:val="en-US" w:eastAsia="zh-CN"/>
        </w:rPr>
        <w:t>待卫生健康委提供2024年甲方床位数据后纳入年度结算支付（按照</w:t>
      </w:r>
      <w:r>
        <w:rPr>
          <w:rFonts w:hint="eastAsia" w:ascii="仿宋" w:hAnsi="仿宋" w:eastAsia="仿宋" w:cs="仿宋"/>
          <w:color w:val="auto"/>
          <w:sz w:val="28"/>
          <w:szCs w:val="28"/>
          <w:highlight w:val="none"/>
        </w:rPr>
        <w:t>省、市卫生健康委员会提供的</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年度甲方实际使用正式床位总数</w:t>
      </w:r>
      <w:r>
        <w:rPr>
          <w:rFonts w:hint="eastAsia" w:ascii="仿宋" w:hAnsi="仿宋" w:eastAsia="仿宋" w:cs="仿宋"/>
          <w:color w:val="auto"/>
          <w:sz w:val="28"/>
          <w:szCs w:val="28"/>
          <w:highlight w:val="none"/>
          <w:lang w:val="en-US" w:eastAsia="zh-CN"/>
        </w:rPr>
        <w:t>据实</w:t>
      </w:r>
      <w:r>
        <w:rPr>
          <w:rFonts w:hint="eastAsia" w:ascii="仿宋" w:hAnsi="仿宋" w:eastAsia="仿宋" w:cs="仿宋"/>
          <w:color w:val="auto"/>
          <w:sz w:val="28"/>
          <w:szCs w:val="28"/>
          <w:highlight w:val="none"/>
          <w:lang w:eastAsia="zh-CN"/>
        </w:rPr>
        <w:t>结算</w:t>
      </w:r>
      <w:r>
        <w:rPr>
          <w:rFonts w:hint="eastAsia" w:ascii="仿宋" w:hAnsi="仿宋" w:eastAsia="仿宋" w:cs="仿宋"/>
          <w:color w:val="auto"/>
          <w:sz w:val="28"/>
          <w:szCs w:val="28"/>
          <w:highlight w:val="none"/>
          <w:lang w:val="en-US" w:eastAsia="zh-CN"/>
        </w:rPr>
        <w:t>全年应当支付费用，多退少补）</w:t>
      </w:r>
      <w:r>
        <w:rPr>
          <w:rFonts w:hint="eastAsia" w:ascii="仿宋" w:hAnsi="仿宋" w:eastAsia="仿宋" w:cs="仿宋"/>
          <w:color w:val="auto"/>
          <w:sz w:val="28"/>
          <w:szCs w:val="28"/>
          <w:highlight w:val="none"/>
        </w:rPr>
        <w:t xml:space="preserve">。    </w:t>
      </w:r>
    </w:p>
    <w:p w14:paraId="35212AD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val="en-US" w:eastAsia="zh-CN"/>
        </w:rPr>
        <w:t>注：依照本合同第五条第(二)款约定，乙方应补收</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none"/>
          <w:lang w:val="en-US" w:eastAsia="zh-CN"/>
        </w:rPr>
        <w:t>上</w:t>
      </w:r>
      <w:r>
        <w:rPr>
          <w:rFonts w:hint="eastAsia" w:ascii="仿宋" w:hAnsi="仿宋" w:eastAsia="仿宋" w:cs="仿宋"/>
          <w:color w:val="auto"/>
          <w:sz w:val="28"/>
          <w:szCs w:val="28"/>
          <w:highlight w:val="none"/>
          <w:lang w:val="en-US" w:eastAsia="zh-CN"/>
        </w:rPr>
        <w:t>年度医疗废物处置费人民币（大写：人民币</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万</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仟</w:t>
      </w:r>
      <w:r>
        <w:rPr>
          <w:rFonts w:hint="eastAsia" w:ascii="仿宋" w:hAnsi="仿宋" w:eastAsia="仿宋" w:cs="仿宋"/>
          <w:color w:val="auto"/>
          <w:sz w:val="28"/>
          <w:szCs w:val="28"/>
          <w:highlight w:val="none"/>
          <w:u w:val="single"/>
          <w:lang w:val="en-US" w:eastAsia="zh-CN"/>
        </w:rPr>
        <w:t xml:space="preserve">      </w:t>
      </w:r>
    </w:p>
    <w:p w14:paraId="6B2FC60A">
      <w:pPr>
        <w:keepNext w:val="0"/>
        <w:keepLines w:val="0"/>
        <w:pageBreakBefore w:val="0"/>
        <w:widowControl w:val="0"/>
        <w:numPr>
          <w:ilvl w:val="0"/>
          <w:numId w:val="0"/>
        </w:numPr>
        <w:tabs>
          <w:tab w:val="left" w:pos="513"/>
        </w:tabs>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val="en-US" w:eastAsia="zh-CN"/>
        </w:rPr>
        <w:tab/>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佰</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拾</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元整，小写：¥</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 xml:space="preserve">元整）。  </w:t>
      </w:r>
      <w:r>
        <w:rPr>
          <w:rFonts w:hint="eastAsia" w:ascii="仿宋" w:hAnsi="仿宋" w:eastAsia="仿宋" w:cs="仿宋"/>
          <w:color w:val="auto"/>
          <w:sz w:val="28"/>
          <w:szCs w:val="28"/>
          <w:highlight w:val="none"/>
          <w:lang w:eastAsia="zh-CN"/>
        </w:rPr>
        <w:t xml:space="preserve"> </w:t>
      </w:r>
    </w:p>
    <w:p w14:paraId="0E929F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收费方式：甲、乙双方商定：乙方于每(月、季度、半年)开始后10日内向甲方提供上(月、季度、半年)处置费发票，甲方于收到发票后10个工作日内将处置费一次性全额支付给乙方。如甲方未按时足额支付乙方处置费的，乙方有权停止收运、处置甲方的医疗废物，造成医疗废物无法规范处置、环境污染的事实，视同甲方违约，一切责任由甲方承担。</w:t>
      </w:r>
    </w:p>
    <w:p w14:paraId="7155F94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（四）乙方收款账户如下：</w:t>
      </w:r>
    </w:p>
    <w:p w14:paraId="0096AE1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账户名：</w:t>
      </w:r>
    </w:p>
    <w:p w14:paraId="629E365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开户行：</w:t>
      </w:r>
    </w:p>
    <w:p w14:paraId="094F52F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账  号：</w:t>
      </w:r>
    </w:p>
    <w:p w14:paraId="5468A8E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甲方仅认可上述指定账户并向该账户付款，甲方有权拒绝向指定账户之外的任何账户付款，并且由此导致的付款延迟责任由乙方承担。</w:t>
      </w:r>
    </w:p>
    <w:p w14:paraId="2557082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乙方要如实开具发票，不得变更开票内容，乙方开具发票出现税务争议时，乙方需承担税款、滞纳金、罚款等赔偿责任以及其他相关责任。 </w:t>
      </w:r>
    </w:p>
    <w:p w14:paraId="42DD73B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乙方持成交通知书、服务合同、正式发票与甲方进行结算。</w:t>
      </w:r>
    </w:p>
    <w:p w14:paraId="795A3F6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（五）甲方开票信息</w:t>
      </w:r>
    </w:p>
    <w:p w14:paraId="6E632BE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公司名称：</w:t>
      </w:r>
    </w:p>
    <w:p w14:paraId="3BC3C9E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统一社会信用代码：</w:t>
      </w:r>
    </w:p>
    <w:p w14:paraId="751749D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经营场所：</w:t>
      </w:r>
    </w:p>
    <w:p w14:paraId="34B60CD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电话：</w:t>
      </w:r>
    </w:p>
    <w:p w14:paraId="5F89055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b/>
          <w:color w:val="auto"/>
          <w:sz w:val="28"/>
          <w:szCs w:val="28"/>
          <w:highlight w:val="none"/>
          <w:lang w:val="en-US" w:eastAsia="zh-CN"/>
        </w:rPr>
      </w:pPr>
      <w:r>
        <w:rPr>
          <w:rFonts w:hint="eastAsia" w:ascii="仿宋" w:hAnsi="仿宋" w:eastAsia="仿宋" w:cs="仿宋"/>
          <w:color w:val="auto"/>
          <w:sz w:val="28"/>
          <w:szCs w:val="28"/>
          <w:highlight w:val="none"/>
          <w:lang w:val="en-US" w:eastAsia="zh-CN"/>
        </w:rPr>
        <w:t>银行信息：</w:t>
      </w:r>
    </w:p>
    <w:p w14:paraId="781FCCD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2" w:firstLineChars="2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六、</w:t>
      </w:r>
      <w:r>
        <w:rPr>
          <w:rFonts w:hint="eastAsia" w:ascii="仿宋" w:hAnsi="仿宋" w:eastAsia="仿宋" w:cs="仿宋"/>
          <w:b/>
          <w:color w:val="auto"/>
          <w:sz w:val="28"/>
          <w:szCs w:val="28"/>
          <w:highlight w:val="none"/>
        </w:rPr>
        <w:t>其它约定</w:t>
      </w:r>
    </w:p>
    <w:p w14:paraId="1F18731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u w:val="single"/>
          <w:lang w:val="en-US" w:eastAsia="zh-CN"/>
        </w:rPr>
        <w:t>1.</w:t>
      </w:r>
      <w:r>
        <w:rPr>
          <w:rFonts w:hint="eastAsia" w:ascii="仿宋" w:hAnsi="仿宋" w:eastAsia="仿宋" w:cs="仿宋"/>
          <w:color w:val="auto"/>
          <w:sz w:val="28"/>
          <w:szCs w:val="28"/>
          <w:highlight w:val="none"/>
          <w:u w:val="single"/>
        </w:rPr>
        <w:t>在本合同有效期</w:t>
      </w:r>
      <w:r>
        <w:rPr>
          <w:rFonts w:hint="eastAsia" w:ascii="仿宋" w:hAnsi="仿宋" w:eastAsia="仿宋" w:cs="仿宋"/>
          <w:color w:val="auto"/>
          <w:sz w:val="28"/>
          <w:szCs w:val="28"/>
          <w:highlight w:val="none"/>
          <w:u w:val="single"/>
          <w:lang w:val="en-US" w:eastAsia="zh-CN"/>
        </w:rPr>
        <w:t>届</w:t>
      </w:r>
      <w:r>
        <w:rPr>
          <w:rFonts w:hint="eastAsia" w:ascii="仿宋" w:hAnsi="仿宋" w:eastAsia="仿宋" w:cs="仿宋"/>
          <w:color w:val="auto"/>
          <w:sz w:val="28"/>
          <w:szCs w:val="28"/>
          <w:highlight w:val="none"/>
          <w:u w:val="single"/>
        </w:rPr>
        <w:t>满前 1 个月内，双方协商续签合同事宜。若甲方到期不续签，则乙方有权终止合同，并报送卫健委、生态环境行政主管部门。</w:t>
      </w:r>
    </w:p>
    <w:p w14:paraId="25EB3B6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2.国家有关医疗废物的法律、法规、规范性文件若发生变更修订，甲乙双方应根据变更后的要求对本合同进行修订。</w:t>
      </w:r>
    </w:p>
    <w:p w14:paraId="10D3277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3.西安市医疗废物处置收费标准发生变更时，甲乙双方应执行新的物价收费标准，甲、乙双方应重新签订《医疗废物集中处置合同》，本合同自行终止。</w:t>
      </w:r>
    </w:p>
    <w:p w14:paraId="4FEC073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4.甲方对床位使用率、费用有异议，应当在接到乙方通知后7日内以书面方式提出，否则视为双方一致认可。</w:t>
      </w:r>
    </w:p>
    <w:p w14:paraId="5F18E27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5.若甲方在规定期限内未结清款项，按应结未结款项的万分之五每日支付违约金。乙方同时上报卫健委、生态环境行政主管部门，并有权即刻停止服务直至结清所有款项再恢复服务，所造成全部责任由甲方承担。</w:t>
      </w:r>
    </w:p>
    <w:p w14:paraId="6F5E52C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甲方如果故意少报实际住院床日数，少付处置费，不按时付款，经查实，则由卫健、生态环境等部门责令缴交所欠费用。如有三个月未付款，乙方有权停止对甲方医疗废物的上门收运服务，并有权收取甲方涉及的医疗废物处置费一倍的违约金。</w:t>
      </w:r>
    </w:p>
    <w:p w14:paraId="2432D46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7.甲方拖欠医疗废物处置费三个月以上造成一切后果（包括医疗废物流失、渗漏、遗撒导致传染病传播及环境污染事故等）均由甲方承担。</w:t>
      </w:r>
    </w:p>
    <w:p w14:paraId="464CC1A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8.如果乙方违反有关法规以及未及时到甲方收运医疗废物，无理拒收医疗废物，在运送处置医疗废物过程中出现医疗废物流失、扩散，则由生态环境部门责令整改及依法处罚。</w:t>
      </w:r>
    </w:p>
    <w:p w14:paraId="2C8449D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七、违约责任</w:t>
      </w:r>
    </w:p>
    <w:p w14:paraId="5161DE8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1.合同履行期间，如乙方不能及时运输医疗废物，导致甲方或他人遭受人身或财产损失的，由乙方承担责任，赔偿损失。与甲方无关。</w:t>
      </w:r>
    </w:p>
    <w:p w14:paraId="0C955A7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2.如乙方迟延履行合同义务的，每延迟两日，按照年运费的1%支付违约金，违约金可累计计算。延迟履行30天的，甲方有权解除本合同。</w:t>
      </w:r>
    </w:p>
    <w:p w14:paraId="51E31C1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2" w:firstLineChars="200"/>
        <w:textAlignment w:val="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八、争议的解决：</w:t>
      </w:r>
    </w:p>
    <w:p w14:paraId="3EE0C5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1.本合同执行过程中未尽之事宜，应经双方共同协商，签署补充协议，补充协议和本合同具有同等法律效力。</w:t>
      </w:r>
    </w:p>
    <w:p w14:paraId="44DA9A2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2.双方在合同履行过程中产生争议应友好协商，如协商不成，报请卫健委、生态环境行政主管部门进行协调，协调不成，可以向甲方所在地人民法院提起诉讼。    </w:t>
      </w:r>
    </w:p>
    <w:p w14:paraId="22D7D892">
      <w:pPr>
        <w:keepNext w:val="0"/>
        <w:keepLines w:val="0"/>
        <w:pageBreakBefore w:val="0"/>
        <w:widowControl w:val="0"/>
        <w:kinsoku/>
        <w:wordWrap/>
        <w:overflowPunct/>
        <w:topLinePunct w:val="0"/>
        <w:autoSpaceDE/>
        <w:autoSpaceDN/>
        <w:bidi w:val="0"/>
        <w:adjustRightInd/>
        <w:snapToGrid/>
        <w:spacing w:line="240" w:lineRule="auto"/>
        <w:ind w:left="0" w:leftChars="0" w:right="0" w:firstLine="562" w:firstLineChars="2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九</w:t>
      </w:r>
      <w:r>
        <w:rPr>
          <w:rFonts w:hint="eastAsia" w:ascii="仿宋" w:hAnsi="仿宋" w:eastAsia="仿宋" w:cs="仿宋"/>
          <w:b/>
          <w:color w:val="auto"/>
          <w:sz w:val="28"/>
          <w:szCs w:val="28"/>
          <w:highlight w:val="none"/>
        </w:rPr>
        <w:t>、合同生效日及有效期：</w:t>
      </w:r>
    </w:p>
    <w:p w14:paraId="787166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1.本合同一式</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份，甲方执</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份，乙方</w:t>
      </w:r>
      <w:r>
        <w:rPr>
          <w:rFonts w:hint="eastAsia" w:ascii="仿宋" w:hAnsi="仿宋" w:eastAsia="仿宋" w:cs="仿宋"/>
          <w:color w:val="auto"/>
          <w:sz w:val="28"/>
          <w:szCs w:val="28"/>
          <w:highlight w:val="none"/>
          <w:u w:val="none"/>
          <w:lang w:val="en-US" w:eastAsia="zh-CN"/>
        </w:rPr>
        <w:t>执</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份，每份具有同等法律效力；经双方法定代表人或授权代表签字并加盖印章生效。</w:t>
      </w:r>
    </w:p>
    <w:p w14:paraId="7BDE7B5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lang w:val="en-US" w:eastAsia="zh-CN"/>
        </w:rPr>
        <w:t>2.</w:t>
      </w:r>
      <w:r>
        <w:rPr>
          <w:rFonts w:hint="eastAsia" w:ascii="仿宋" w:hAnsi="仿宋" w:eastAsia="仿宋" w:cs="仿宋"/>
          <w:b w:val="0"/>
          <w:bCs/>
          <w:color w:val="auto"/>
          <w:sz w:val="28"/>
          <w:szCs w:val="28"/>
          <w:highlight w:val="none"/>
        </w:rPr>
        <w:t>合同有效期：</w:t>
      </w:r>
    </w:p>
    <w:p w14:paraId="19C18DC0">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lang w:val="en-US" w:eastAsia="zh-CN"/>
        </w:rPr>
        <w:t xml:space="preserve">自       </w:t>
      </w:r>
      <w:r>
        <w:rPr>
          <w:rFonts w:hint="eastAsia" w:ascii="仿宋" w:hAnsi="仿宋" w:eastAsia="仿宋" w:cs="仿宋"/>
          <w:b w:val="0"/>
          <w:bCs/>
          <w:color w:val="auto"/>
          <w:sz w:val="28"/>
          <w:szCs w:val="28"/>
          <w:highlight w:val="none"/>
        </w:rPr>
        <w:t>年</w:t>
      </w:r>
      <w:r>
        <w:rPr>
          <w:rFonts w:hint="eastAsia" w:ascii="仿宋" w:hAnsi="仿宋" w:eastAsia="仿宋" w:cs="仿宋"/>
          <w:b w:val="0"/>
          <w:bCs/>
          <w:color w:val="auto"/>
          <w:sz w:val="28"/>
          <w:szCs w:val="28"/>
          <w:highlight w:val="none"/>
          <w:lang w:val="en-US" w:eastAsia="zh-CN"/>
        </w:rPr>
        <w:t xml:space="preserve">     </w:t>
      </w:r>
      <w:r>
        <w:rPr>
          <w:rFonts w:hint="eastAsia" w:ascii="仿宋" w:hAnsi="仿宋" w:eastAsia="仿宋" w:cs="仿宋"/>
          <w:b w:val="0"/>
          <w:bCs/>
          <w:color w:val="auto"/>
          <w:sz w:val="28"/>
          <w:szCs w:val="28"/>
          <w:highlight w:val="none"/>
        </w:rPr>
        <w:t>月</w:t>
      </w:r>
      <w:r>
        <w:rPr>
          <w:rFonts w:hint="eastAsia" w:ascii="仿宋" w:hAnsi="仿宋" w:eastAsia="仿宋" w:cs="仿宋"/>
          <w:b w:val="0"/>
          <w:bCs/>
          <w:color w:val="auto"/>
          <w:sz w:val="28"/>
          <w:szCs w:val="28"/>
          <w:highlight w:val="none"/>
          <w:lang w:val="en-US" w:eastAsia="zh-CN"/>
        </w:rPr>
        <w:t xml:space="preserve">     </w:t>
      </w:r>
      <w:r>
        <w:rPr>
          <w:rFonts w:hint="eastAsia" w:ascii="仿宋" w:hAnsi="仿宋" w:eastAsia="仿宋" w:cs="仿宋"/>
          <w:b w:val="0"/>
          <w:bCs/>
          <w:color w:val="auto"/>
          <w:sz w:val="28"/>
          <w:szCs w:val="28"/>
          <w:highlight w:val="none"/>
        </w:rPr>
        <w:t>日</w:t>
      </w:r>
      <w:r>
        <w:rPr>
          <w:rFonts w:hint="eastAsia" w:ascii="仿宋" w:hAnsi="仿宋" w:eastAsia="仿宋" w:cs="仿宋"/>
          <w:b w:val="0"/>
          <w:bCs/>
          <w:color w:val="auto"/>
          <w:sz w:val="28"/>
          <w:szCs w:val="28"/>
          <w:highlight w:val="none"/>
          <w:lang w:val="en-US" w:eastAsia="zh-CN"/>
        </w:rPr>
        <w:t>起</w:t>
      </w:r>
      <w:r>
        <w:rPr>
          <w:rFonts w:hint="eastAsia" w:ascii="仿宋" w:hAnsi="仿宋" w:eastAsia="仿宋" w:cs="仿宋"/>
          <w:b w:val="0"/>
          <w:bCs/>
          <w:color w:val="auto"/>
          <w:sz w:val="28"/>
          <w:szCs w:val="28"/>
          <w:highlight w:val="none"/>
        </w:rPr>
        <w:t>至</w:t>
      </w:r>
      <w:r>
        <w:rPr>
          <w:rFonts w:hint="eastAsia" w:ascii="仿宋" w:hAnsi="仿宋" w:eastAsia="仿宋" w:cs="仿宋"/>
          <w:b w:val="0"/>
          <w:bCs/>
          <w:color w:val="auto"/>
          <w:sz w:val="28"/>
          <w:szCs w:val="28"/>
          <w:highlight w:val="none"/>
          <w:lang w:val="en-US" w:eastAsia="zh-CN"/>
        </w:rPr>
        <w:t xml:space="preserve">       </w:t>
      </w:r>
      <w:r>
        <w:rPr>
          <w:rFonts w:hint="eastAsia" w:ascii="仿宋" w:hAnsi="仿宋" w:eastAsia="仿宋" w:cs="仿宋"/>
          <w:b w:val="0"/>
          <w:bCs/>
          <w:color w:val="auto"/>
          <w:sz w:val="28"/>
          <w:szCs w:val="28"/>
          <w:highlight w:val="none"/>
        </w:rPr>
        <w:t>年</w:t>
      </w:r>
      <w:r>
        <w:rPr>
          <w:rFonts w:hint="eastAsia" w:ascii="仿宋" w:hAnsi="仿宋" w:eastAsia="仿宋" w:cs="仿宋"/>
          <w:b w:val="0"/>
          <w:bCs/>
          <w:color w:val="auto"/>
          <w:sz w:val="28"/>
          <w:szCs w:val="28"/>
          <w:highlight w:val="none"/>
          <w:lang w:val="en-US" w:eastAsia="zh-CN"/>
        </w:rPr>
        <w:t xml:space="preserve">     </w:t>
      </w:r>
      <w:r>
        <w:rPr>
          <w:rFonts w:hint="eastAsia" w:ascii="仿宋" w:hAnsi="仿宋" w:eastAsia="仿宋" w:cs="仿宋"/>
          <w:b w:val="0"/>
          <w:bCs/>
          <w:color w:val="auto"/>
          <w:sz w:val="28"/>
          <w:szCs w:val="28"/>
          <w:highlight w:val="none"/>
        </w:rPr>
        <w:t>月</w:t>
      </w:r>
      <w:r>
        <w:rPr>
          <w:rFonts w:hint="eastAsia" w:ascii="仿宋" w:hAnsi="仿宋" w:eastAsia="仿宋" w:cs="仿宋"/>
          <w:b w:val="0"/>
          <w:bCs/>
          <w:color w:val="auto"/>
          <w:sz w:val="28"/>
          <w:szCs w:val="28"/>
          <w:highlight w:val="none"/>
          <w:lang w:val="en-US" w:eastAsia="zh-CN"/>
        </w:rPr>
        <w:t xml:space="preserve">     </w:t>
      </w:r>
      <w:r>
        <w:rPr>
          <w:rFonts w:hint="eastAsia" w:ascii="仿宋" w:hAnsi="仿宋" w:eastAsia="仿宋" w:cs="仿宋"/>
          <w:b w:val="0"/>
          <w:bCs/>
          <w:color w:val="auto"/>
          <w:sz w:val="28"/>
          <w:szCs w:val="28"/>
          <w:highlight w:val="none"/>
        </w:rPr>
        <w:t>日</w:t>
      </w:r>
    </w:p>
    <w:p w14:paraId="6E32884B">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val="0"/>
          <w:bCs/>
          <w:color w:val="auto"/>
          <w:sz w:val="28"/>
          <w:szCs w:val="28"/>
          <w:highlight w:val="none"/>
          <w:lang w:val="en-US" w:eastAsia="zh-CN"/>
        </w:rPr>
      </w:pPr>
    </w:p>
    <w:p w14:paraId="6EF1CB6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b w:val="0"/>
          <w:bCs/>
          <w:color w:val="auto"/>
          <w:sz w:val="30"/>
          <w:szCs w:val="30"/>
          <w:highlight w:val="none"/>
        </w:rPr>
      </w:pPr>
    </w:p>
    <w:p w14:paraId="220ED86D">
      <w:pPr>
        <w:widowControl w:val="0"/>
        <w:tabs>
          <w:tab w:val="center" w:pos="4153"/>
          <w:tab w:val="right" w:pos="8306"/>
        </w:tabs>
        <w:snapToGrid w:val="0"/>
        <w:jc w:val="left"/>
        <w:rPr>
          <w:rFonts w:hint="eastAsia" w:ascii="Times New Roman" w:hAnsi="Times New Roman" w:eastAsia="宋体" w:cs="Times New Roman"/>
          <w:color w:val="auto"/>
          <w:kern w:val="2"/>
          <w:sz w:val="18"/>
          <w:szCs w:val="18"/>
          <w:highlight w:val="none"/>
          <w:lang w:val="en-US" w:eastAsia="zh-CN" w:bidi="ar-SA"/>
        </w:rPr>
      </w:pPr>
    </w:p>
    <w:p w14:paraId="5DE2A41B">
      <w:pPr>
        <w:widowControl w:val="0"/>
        <w:tabs>
          <w:tab w:val="center" w:pos="4153"/>
          <w:tab w:val="right" w:pos="8306"/>
        </w:tabs>
        <w:snapToGrid w:val="0"/>
        <w:jc w:val="left"/>
        <w:rPr>
          <w:rFonts w:hint="eastAsia" w:ascii="仿宋" w:hAnsi="仿宋" w:eastAsia="仿宋" w:cs="Times New Roman"/>
          <w:b w:val="0"/>
          <w:bCs/>
          <w:color w:val="auto"/>
          <w:kern w:val="2"/>
          <w:sz w:val="30"/>
          <w:szCs w:val="30"/>
          <w:highlight w:val="none"/>
          <w:lang w:val="en-US" w:eastAsia="zh-CN" w:bidi="ar-SA"/>
        </w:rPr>
      </w:pPr>
    </w:p>
    <w:p w14:paraId="0B036FB5">
      <w:pPr>
        <w:widowControl w:val="0"/>
        <w:tabs>
          <w:tab w:val="center" w:pos="4153"/>
          <w:tab w:val="right" w:pos="8306"/>
        </w:tabs>
        <w:snapToGrid w:val="0"/>
        <w:jc w:val="left"/>
        <w:rPr>
          <w:rFonts w:hint="eastAsia" w:ascii="仿宋" w:hAnsi="仿宋" w:eastAsia="仿宋" w:cs="Times New Roman"/>
          <w:b w:val="0"/>
          <w:bCs/>
          <w:color w:val="auto"/>
          <w:kern w:val="2"/>
          <w:sz w:val="30"/>
          <w:szCs w:val="30"/>
          <w:highlight w:val="none"/>
          <w:lang w:val="en-US" w:eastAsia="zh-CN" w:bidi="ar-SA"/>
        </w:rPr>
      </w:pPr>
    </w:p>
    <w:p w14:paraId="2105984E">
      <w:pPr>
        <w:widowControl w:val="0"/>
        <w:tabs>
          <w:tab w:val="center" w:pos="4153"/>
          <w:tab w:val="right" w:pos="8306"/>
        </w:tabs>
        <w:snapToGrid w:val="0"/>
        <w:jc w:val="left"/>
        <w:rPr>
          <w:rFonts w:hint="eastAsia" w:ascii="仿宋" w:hAnsi="仿宋" w:eastAsia="仿宋" w:cs="Times New Roman"/>
          <w:b w:val="0"/>
          <w:bCs/>
          <w:color w:val="auto"/>
          <w:kern w:val="2"/>
          <w:sz w:val="30"/>
          <w:szCs w:val="30"/>
          <w:highlight w:val="none"/>
          <w:lang w:val="en-US" w:eastAsia="zh-CN" w:bidi="ar-SA"/>
        </w:rPr>
      </w:pPr>
    </w:p>
    <w:p w14:paraId="59BB4251">
      <w:pPr>
        <w:widowControl w:val="0"/>
        <w:tabs>
          <w:tab w:val="center" w:pos="4153"/>
          <w:tab w:val="right" w:pos="8306"/>
        </w:tabs>
        <w:snapToGrid w:val="0"/>
        <w:jc w:val="left"/>
        <w:rPr>
          <w:rFonts w:hint="eastAsia" w:ascii="仿宋" w:hAnsi="仿宋" w:eastAsia="仿宋" w:cs="Times New Roman"/>
          <w:b w:val="0"/>
          <w:bCs/>
          <w:color w:val="auto"/>
          <w:kern w:val="2"/>
          <w:sz w:val="30"/>
          <w:szCs w:val="30"/>
          <w:highlight w:val="none"/>
          <w:lang w:val="en-US" w:eastAsia="zh-CN" w:bidi="ar-SA"/>
        </w:rPr>
      </w:pPr>
    </w:p>
    <w:p w14:paraId="4E327B22">
      <w:pPr>
        <w:widowControl w:val="0"/>
        <w:tabs>
          <w:tab w:val="center" w:pos="4153"/>
          <w:tab w:val="right" w:pos="8306"/>
        </w:tabs>
        <w:snapToGrid w:val="0"/>
        <w:jc w:val="left"/>
        <w:rPr>
          <w:rFonts w:hint="eastAsia" w:ascii="仿宋" w:hAnsi="仿宋" w:eastAsia="仿宋" w:cs="Times New Roman"/>
          <w:b w:val="0"/>
          <w:bCs/>
          <w:color w:val="auto"/>
          <w:kern w:val="2"/>
          <w:sz w:val="30"/>
          <w:szCs w:val="30"/>
          <w:highlight w:val="none"/>
          <w:lang w:val="en-US" w:eastAsia="zh-CN" w:bidi="ar-SA"/>
        </w:rPr>
      </w:pPr>
    </w:p>
    <w:p w14:paraId="0A641B6F">
      <w:pPr>
        <w:widowControl w:val="0"/>
        <w:tabs>
          <w:tab w:val="center" w:pos="4153"/>
          <w:tab w:val="right" w:pos="8306"/>
        </w:tabs>
        <w:snapToGrid w:val="0"/>
        <w:jc w:val="left"/>
        <w:rPr>
          <w:rFonts w:hint="eastAsia" w:ascii="仿宋" w:hAnsi="仿宋" w:eastAsia="仿宋" w:cs="Times New Roman"/>
          <w:b w:val="0"/>
          <w:bCs/>
          <w:color w:val="auto"/>
          <w:kern w:val="2"/>
          <w:sz w:val="30"/>
          <w:szCs w:val="30"/>
          <w:highlight w:val="none"/>
          <w:lang w:val="en-US" w:eastAsia="zh-CN" w:bidi="ar-SA"/>
        </w:rPr>
      </w:pPr>
    </w:p>
    <w:p w14:paraId="7ED2D958">
      <w:pPr>
        <w:keepNext w:val="0"/>
        <w:keepLines w:val="0"/>
        <w:pageBreakBefore w:val="0"/>
        <w:widowControl w:val="0"/>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lang w:eastAsia="zh-CN"/>
        </w:rPr>
      </w:pPr>
    </w:p>
    <w:p w14:paraId="7C271751">
      <w:pPr>
        <w:widowControl w:val="0"/>
        <w:tabs>
          <w:tab w:val="center" w:pos="4153"/>
          <w:tab w:val="right" w:pos="8306"/>
        </w:tabs>
        <w:snapToGrid w:val="0"/>
        <w:jc w:val="left"/>
        <w:rPr>
          <w:rFonts w:hint="eastAsia" w:ascii="仿宋" w:hAnsi="仿宋" w:eastAsia="仿宋" w:cs="仿宋"/>
          <w:color w:val="auto"/>
          <w:kern w:val="2"/>
          <w:sz w:val="30"/>
          <w:szCs w:val="30"/>
          <w:highlight w:val="none"/>
          <w:lang w:val="en-US" w:eastAsia="zh-CN" w:bidi="ar-SA"/>
        </w:rPr>
      </w:pPr>
    </w:p>
    <w:p w14:paraId="6D6085AB">
      <w:pPr>
        <w:widowControl w:val="0"/>
        <w:tabs>
          <w:tab w:val="center" w:pos="4153"/>
          <w:tab w:val="right" w:pos="8306"/>
        </w:tabs>
        <w:snapToGrid w:val="0"/>
        <w:jc w:val="left"/>
        <w:rPr>
          <w:rFonts w:hint="eastAsia" w:ascii="仿宋" w:hAnsi="仿宋" w:eastAsia="仿宋" w:cs="仿宋"/>
          <w:color w:val="auto"/>
          <w:kern w:val="2"/>
          <w:sz w:val="30"/>
          <w:szCs w:val="30"/>
          <w:highlight w:val="none"/>
          <w:lang w:val="en-US" w:eastAsia="zh-CN" w:bidi="ar-SA"/>
        </w:rPr>
      </w:pPr>
    </w:p>
    <w:p w14:paraId="603EC55E">
      <w:pPr>
        <w:tabs>
          <w:tab w:val="left" w:pos="480"/>
        </w:tabs>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  方（法人公章）                        乙  方（法人公章）</w:t>
      </w:r>
    </w:p>
    <w:p w14:paraId="44B12538">
      <w:pPr>
        <w:tabs>
          <w:tab w:val="left" w:pos="480"/>
        </w:tabs>
        <w:ind w:firstLine="560" w:firstLineChars="200"/>
        <w:rPr>
          <w:rFonts w:hint="eastAsia" w:ascii="仿宋" w:hAnsi="仿宋" w:eastAsia="仿宋" w:cs="仿宋"/>
          <w:color w:val="auto"/>
          <w:sz w:val="28"/>
          <w:szCs w:val="28"/>
          <w:highlight w:val="none"/>
        </w:rPr>
      </w:pPr>
    </w:p>
    <w:p w14:paraId="7010815A">
      <w:pPr>
        <w:tabs>
          <w:tab w:val="left" w:pos="480"/>
        </w:tabs>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单位名称：西安市第五医院                  单位名称：</w:t>
      </w:r>
    </w:p>
    <w:p w14:paraId="126E92B1">
      <w:pPr>
        <w:tabs>
          <w:tab w:val="left" w:pos="480"/>
        </w:tabs>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址：西安市莲湖区西关正街112号        地  址：</w:t>
      </w:r>
    </w:p>
    <w:p w14:paraId="1221C6CC">
      <w:pPr>
        <w:tabs>
          <w:tab w:val="left" w:pos="480"/>
        </w:tabs>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经办人：                                  经办人：                                </w:t>
      </w:r>
    </w:p>
    <w:p w14:paraId="64EFA76B">
      <w:pPr>
        <w:tabs>
          <w:tab w:val="left" w:pos="480"/>
        </w:tabs>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主管院长：                                                              </w:t>
      </w:r>
    </w:p>
    <w:p w14:paraId="7F43EB34">
      <w:pPr>
        <w:tabs>
          <w:tab w:val="left" w:pos="480"/>
        </w:tabs>
        <w:suppressAutoHyphens/>
        <w:ind w:left="4410" w:hanging="5880" w:hangingChars="2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法定代表人（签字或盖章）：                 法定代表人（签字或盖章）：                                                          </w:t>
      </w:r>
    </w:p>
    <w:p w14:paraId="365D71A2">
      <w:pPr>
        <w:tabs>
          <w:tab w:val="left" w:pos="480"/>
        </w:tabs>
        <w:suppressAutoHyphens/>
        <w:ind w:left="4410" w:hanging="5880" w:hangingChars="2100"/>
        <w:rPr>
          <w:rFonts w:hint="eastAsia" w:ascii="仿宋" w:hAnsi="仿宋" w:eastAsia="仿宋" w:cs="仿宋"/>
          <w:color w:val="auto"/>
          <w:sz w:val="28"/>
          <w:szCs w:val="28"/>
          <w:highlight w:val="none"/>
        </w:rPr>
      </w:pPr>
    </w:p>
    <w:p w14:paraId="7429A3BB">
      <w:pPr>
        <w:tabs>
          <w:tab w:val="left" w:pos="480"/>
        </w:tabs>
        <w:suppressAutoHyphens/>
        <w:ind w:firstLine="5880" w:firstLineChars="2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p w14:paraId="7F02BF0B">
      <w:pPr>
        <w:tabs>
          <w:tab w:val="left" w:pos="480"/>
        </w:tabs>
        <w:ind w:firstLine="5880" w:firstLineChars="2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帐  号：       </w:t>
      </w:r>
    </w:p>
    <w:p w14:paraId="7F683FEC">
      <w:pPr>
        <w:tabs>
          <w:tab w:val="left" w:pos="480"/>
        </w:tabs>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联系电话：029-                            联系电话：</w:t>
      </w:r>
    </w:p>
    <w:p w14:paraId="760A1FC0">
      <w:pPr>
        <w:tabs>
          <w:tab w:val="left" w:pos="480"/>
        </w:tabs>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签订日期：年  月  日                 签订日期：年  月  日</w:t>
      </w:r>
    </w:p>
    <w:p w14:paraId="0D72BC87">
      <w:pPr>
        <w:keepNext w:val="0"/>
        <w:keepLines w:val="0"/>
        <w:pageBreakBefore w:val="0"/>
        <w:widowControl w:val="0"/>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sz w:val="30"/>
          <w:szCs w:val="30"/>
          <w:highlight w:val="none"/>
          <w:lang w:eastAsia="zh-CN"/>
        </w:rPr>
      </w:pPr>
    </w:p>
    <w:p w14:paraId="7F9AA9C7">
      <w:pPr>
        <w:keepNext w:val="0"/>
        <w:keepLines w:val="0"/>
        <w:pageBreakBefore w:val="0"/>
        <w:widowControl w:val="0"/>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kern w:val="24"/>
          <w:sz w:val="30"/>
          <w:szCs w:val="30"/>
          <w:highlight w:val="none"/>
        </w:rPr>
      </w:pPr>
    </w:p>
    <w:p w14:paraId="24BDFC9B">
      <w:pPr>
        <w:spacing w:line="360" w:lineRule="auto"/>
        <w:rPr>
          <w:rFonts w:hint="eastAsia" w:ascii="宋体" w:hAnsi="宋体" w:eastAsia="宋体" w:cs="宋体"/>
          <w:color w:val="auto"/>
          <w:sz w:val="24"/>
          <w:szCs w:val="24"/>
          <w:highlight w:val="none"/>
          <w:lang w:val="en-US" w:eastAsia="zh-Hans"/>
        </w:rPr>
      </w:pPr>
    </w:p>
    <w:p w14:paraId="0DD2AB8A"/>
    <w:sectPr>
      <w:headerReference r:id="rId6" w:type="default"/>
      <w:footerReference r:id="rId7" w:type="default"/>
      <w:pgSz w:w="11906" w:h="16838"/>
      <w:pgMar w:top="1134" w:right="1800" w:bottom="1134"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81A7B">
    <w:pPr>
      <w:widowControl w:val="0"/>
      <w:tabs>
        <w:tab w:val="center" w:pos="4153"/>
        <w:tab w:val="right" w:pos="8306"/>
      </w:tabs>
      <w:snapToGrid w:val="0"/>
      <w:ind w:right="360"/>
      <w:jc w:val="left"/>
      <w:rPr>
        <w:rFonts w:hint="eastAsia"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9D73B8">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49</w:t>
                          </w:r>
                          <w:r>
                            <w:rPr>
                              <w:rFonts w:ascii="Times New Roman" w:hAnsi="Times New Roman"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6A9D73B8">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49</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D7DB0">
    <w:pPr>
      <w:framePr w:wrap="around" w:vAnchor="text" w:hAnchor="margin" w:xAlign="right" w:y="1"/>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21"/>
        <w:szCs w:val="24"/>
        <w:lang w:val="en-US" w:eastAsia="zh-CN" w:bidi="ar-SA"/>
      </w:rPr>
      <w:instrText xml:space="preserve">PAGE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fldChar w:fldCharType="end"/>
    </w:r>
  </w:p>
  <w:p w14:paraId="02D8EBE0">
    <w:pPr>
      <w:widowControl w:val="0"/>
      <w:tabs>
        <w:tab w:val="center" w:pos="4153"/>
        <w:tab w:val="right" w:pos="8306"/>
      </w:tabs>
      <w:snapToGrid w:val="0"/>
      <w:ind w:right="360"/>
      <w:jc w:val="left"/>
      <w:rPr>
        <w:rFonts w:ascii="Times New Roman" w:hAnsi="Times New Roman" w:eastAsia="宋体" w:cs="Times New Roman"/>
        <w:kern w:val="2"/>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A4D57">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35944">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5D35944">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8F41A">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rPr>
        <w:rFonts w:hint="eastAsia" w:ascii="Times New Roman" w:hAnsi="Times New Roman" w:eastAsia="宋体" w:cs="Times New Roman"/>
        <w:kern w:val="2"/>
        <w:sz w:val="18"/>
        <w:szCs w:val="24"/>
        <w:lang w:val="en-US" w:eastAsia="zh-CN" w:bidi="ar-SA"/>
      </w:rPr>
    </w:pPr>
    <w:r>
      <w:rPr>
        <w:rFonts w:hint="eastAsia" w:ascii="仿宋_GB2312" w:hAnsi="Times New Roman" w:eastAsia="仿宋_GB2312" w:cs="Times New Roman"/>
        <w:kern w:val="2"/>
        <w:sz w:val="18"/>
        <w:szCs w:val="24"/>
        <w:lang w:val="en-US" w:eastAsia="zh-CN" w:bidi="ar-S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9C25A">
    <w:pPr>
      <w:pStyle w:val="4"/>
      <w:pBdr>
        <w:bottom w:val="none" w:color="auto" w:sz="0" w:space="1"/>
      </w:pBdr>
      <w:jc w:val="both"/>
      <w:rPr>
        <w:rFonts w:hint="eastAsia"/>
      </w:rPr>
    </w:pPr>
    <w:r>
      <w:rPr>
        <w:rFonts w:hint="eastAsia" w:ascii="仿宋_GB2312" w:eastAsia="仿宋_GB231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3AFEA0"/>
    <w:multiLevelType w:val="singleLevel"/>
    <w:tmpl w:val="1F3AFEA0"/>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4ZTYwMmRkOWVkZmVkZDM5NDdmYTU2ODdlMTEzYWYifQ=="/>
  </w:docVars>
  <w:rsids>
    <w:rsidRoot w:val="27B25795"/>
    <w:rsid w:val="27B25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Body Text Indent"/>
    <w:basedOn w:val="1"/>
    <w:unhideWhenUsed/>
    <w:qFormat/>
    <w:uiPriority w:val="99"/>
    <w:pPr>
      <w:ind w:firstLine="640" w:firstLineChars="200"/>
    </w:pPr>
    <w:rPr>
      <w:rFonts w:ascii="仿宋_GB2312" w:eastAsia="仿宋_GB2312"/>
      <w:sz w:val="32"/>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qFormat/>
    <w:uiPriority w:val="0"/>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样式 10 磅"/>
    <w:qFormat/>
    <w:uiPriority w:val="0"/>
    <w:pPr>
      <w:widowControl w:val="0"/>
      <w:jc w:val="both"/>
    </w:pPr>
    <w:rPr>
      <w:rFonts w:ascii="Arial" w:hAnsi="Arial" w:eastAsia="Arial" w:cs="Arial"/>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2024-11-11T08:59:00Z</dcterms:created>
  <dc:creator>Khunnie。</dc:creator>
  <cp:lastModifiedBy>Khunnie。</cp:lastModifiedBy>
  <dcterms:modified xsi:type="dcterms:W3CDTF">2024-11-11T09:00:00Z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B65219E82D91426C850FAA8AD0938FE9_11</vt:lpwstr>
  </property>
</Properties>
</file>