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医疗设备购置项目</w:t>
      </w:r>
    </w:p>
    <w:p>
      <w:pPr>
        <w:pStyle w:val="null3"/>
        <w:jc w:val="center"/>
        <w:outlineLvl w:val="2"/>
      </w:pPr>
      <w:r>
        <w:rPr>
          <w:sz w:val="28"/>
          <w:b/>
        </w:rPr>
        <w:t>采购项目编号：</w:t>
      </w:r>
      <w:r>
        <w:rPr>
          <w:sz w:val="28"/>
          <w:b/>
        </w:rPr>
        <w:t>JXRC-241020</w:t>
      </w:r>
      <w:r>
        <w:br/>
      </w:r>
      <w:r>
        <w:br/>
      </w:r>
      <w:r>
        <w:br/>
      </w:r>
    </w:p>
    <w:p>
      <w:pPr>
        <w:pStyle w:val="null3"/>
        <w:jc w:val="center"/>
        <w:outlineLvl w:val="2"/>
      </w:pPr>
      <w:r>
        <w:rPr>
          <w:sz w:val="28"/>
          <w:b/>
        </w:rPr>
        <w:t>西安急救中心</w:t>
      </w:r>
    </w:p>
    <w:p>
      <w:pPr>
        <w:pStyle w:val="null3"/>
        <w:jc w:val="center"/>
        <w:outlineLvl w:val="2"/>
      </w:pPr>
      <w:r>
        <w:rPr>
          <w:sz w:val="28"/>
          <w:b/>
        </w:rPr>
        <w:t>陕西嘉信瑞诚招标有限公司</w:t>
      </w:r>
      <w:r>
        <w:rPr>
          <w:sz w:val="28"/>
          <w:b/>
        </w:rPr>
        <w:t>共同编制</w:t>
      </w:r>
    </w:p>
    <w:p>
      <w:pPr>
        <w:pStyle w:val="null3"/>
        <w:jc w:val="center"/>
        <w:outlineLvl w:val="2"/>
      </w:pPr>
      <w:r>
        <w:rPr>
          <w:sz w:val="28"/>
          <w:b/>
        </w:rPr>
        <w:t>2024年11月05日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陕西嘉信瑞诚招标有限公司</w:t>
      </w:r>
      <w:r>
        <w:rPr/>
        <w:t>（以下简称“代理机构”）受</w:t>
      </w:r>
      <w:r>
        <w:rPr/>
        <w:t>西安急救中心</w:t>
      </w:r>
      <w:r>
        <w:rPr/>
        <w:t>委托，拟对</w:t>
      </w:r>
      <w:r>
        <w:rPr/>
        <w:t>医疗设备购置项目</w:t>
      </w:r>
      <w:r>
        <w:rPr/>
        <w:t>进行国内公开招标，兹邀请符合本次招标要求的供应商参加投标。</w:t>
      </w:r>
    </w:p>
    <w:p>
      <w:pPr>
        <w:pStyle w:val="null3"/>
        <w:outlineLvl w:val="2"/>
      </w:pPr>
      <w:r>
        <w:rPr>
          <w:sz w:val="28"/>
          <w:b/>
        </w:rPr>
        <w:t>一、采购项目编号：</w:t>
      </w:r>
      <w:r>
        <w:rPr>
          <w:sz w:val="28"/>
          <w:b/>
        </w:rPr>
        <w:t>JXRC-241020</w:t>
      </w:r>
    </w:p>
    <w:p>
      <w:pPr>
        <w:pStyle w:val="null3"/>
        <w:outlineLvl w:val="2"/>
      </w:pPr>
      <w:r>
        <w:rPr>
          <w:sz w:val="28"/>
          <w:b/>
        </w:rPr>
        <w:t>二、采购项目名称：</w:t>
      </w:r>
      <w:r>
        <w:rPr>
          <w:sz w:val="28"/>
          <w:b/>
        </w:rPr>
        <w:t>医疗设备购置项目</w:t>
      </w:r>
    </w:p>
    <w:p>
      <w:pPr>
        <w:pStyle w:val="null3"/>
        <w:outlineLvl w:val="2"/>
      </w:pPr>
      <w:r>
        <w:rPr>
          <w:sz w:val="28"/>
          <w:b/>
        </w:rPr>
        <w:t>三、招标项目简介</w:t>
      </w:r>
    </w:p>
    <w:p>
      <w:pPr>
        <w:pStyle w:val="null3"/>
        <w:ind w:firstLine="480"/>
      </w:pPr>
      <w:r>
        <w:rPr/>
        <w:t>医疗设备购置，一批。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投标人应有良好的财务状况：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p>
      <w:pPr>
        <w:pStyle w:val="null3"/>
      </w:pPr>
      <w:r>
        <w:rPr/>
        <w:t>3、投标人应有依法缴纳税收的良好记录：法人提供自2024年5月1日以来至少一个月的纳税证明或完税证明(增值税、企业所得税至少一种)，纳税证明或完税证明上应有代收机构或税务机关的公章或业务专用章；其他组织和自然人提供自2024年5月1日以来至少一个月缴纳税收的凭据；依法免税的投标人应提供相关文件证明。并进行电子签章。</w:t>
      </w:r>
    </w:p>
    <w:p>
      <w:pPr>
        <w:pStyle w:val="null3"/>
      </w:pPr>
      <w:r>
        <w:rPr/>
        <w:t>4、投标人应有依法缴纳社会保障资金的良好记录：提供自2024年5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提供被授权人在本单位缴纳社保的证明材料（2024年1月1日起至今任意一个月的社保缴纳证明材料）；并进行电子签章。</w:t>
      </w:r>
    </w:p>
    <w:p>
      <w:pPr>
        <w:pStyle w:val="null3"/>
      </w:pPr>
      <w:r>
        <w:rPr/>
        <w:t>6、参加本次政府采购活动前三年内，在经营活动中没有重大违法记录：投标人须提供《无重大违法记录声明》完成承诺并进行电子签章。</w:t>
      </w:r>
    </w:p>
    <w:p>
      <w:pPr>
        <w:pStyle w:val="null3"/>
      </w:pPr>
      <w:r>
        <w:rPr/>
        <w:t>7、投标人应具有履行合同所必需的设备和专业技术能力：投标人须提供《具有履行合同所必需的设备和专业技术能力的承诺书》完成承诺并进行电子签章。</w:t>
      </w:r>
    </w:p>
    <w:p>
      <w:pPr>
        <w:pStyle w:val="null3"/>
      </w:pPr>
      <w:r>
        <w:rPr/>
        <w:t>8、医疗器械注册证或备案凭证：投标人须提供拟投产品有效的医疗器械注册证或备案凭证；并进行电子签章。</w:t>
      </w:r>
    </w:p>
    <w:p>
      <w:pPr>
        <w:pStyle w:val="null3"/>
      </w:pPr>
      <w:r>
        <w:rPr/>
        <w:t>9、许可证：若投标人为制造厂家，应出具医疗器械生产许可证（拟投医疗器械须在其生产范围内）；若投标人为经销商，应出具医疗器械经营许可证（或备案凭证），以及拟投医疗器械制造厂家的医疗器械生产许可证（投标产品须在其生产范围内）；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西安急救中心</w:t>
      </w:r>
    </w:p>
    <w:p>
      <w:pPr>
        <w:pStyle w:val="null3"/>
      </w:pPr>
      <w:r>
        <w:rPr/>
        <w:t xml:space="preserve"> 地址： </w:t>
      </w:r>
      <w:r>
        <w:rPr/>
        <w:t>西安市凤城四路111号</w:t>
      </w:r>
    </w:p>
    <w:p>
      <w:pPr>
        <w:pStyle w:val="null3"/>
      </w:pPr>
      <w:r>
        <w:rPr/>
        <w:t xml:space="preserve"> 邮编： </w:t>
      </w:r>
      <w:r>
        <w:rPr/>
        <w:t>710000</w:t>
      </w:r>
    </w:p>
    <w:p>
      <w:pPr>
        <w:pStyle w:val="null3"/>
      </w:pPr>
      <w:r>
        <w:rPr/>
        <w:t xml:space="preserve"> 联系人： </w:t>
      </w:r>
      <w:r>
        <w:rPr/>
        <w:t>西安急救中心经办</w:t>
      </w:r>
    </w:p>
    <w:p>
      <w:pPr>
        <w:pStyle w:val="null3"/>
      </w:pPr>
      <w:r>
        <w:rPr/>
        <w:t xml:space="preserve"> 联系电话： </w:t>
      </w:r>
      <w:r>
        <w:rPr/>
        <w:t>029-86103223</w:t>
      </w:r>
    </w:p>
    <w:p>
      <w:pPr>
        <w:pStyle w:val="null3"/>
        <w:outlineLvl w:val="2"/>
      </w:pPr>
      <w:r>
        <w:rPr>
          <w:sz w:val="28"/>
          <w:b/>
        </w:rPr>
        <w:t>代理机构：</w:t>
      </w:r>
      <w:r>
        <w:rPr>
          <w:sz w:val="28"/>
          <w:b/>
        </w:rPr>
        <w:t>陕西嘉信瑞诚招标有限公司</w:t>
      </w:r>
    </w:p>
    <w:p>
      <w:pPr>
        <w:pStyle w:val="null3"/>
      </w:pPr>
      <w:r>
        <w:rPr/>
        <w:t xml:space="preserve"> 地址： </w:t>
      </w:r>
      <w:r>
        <w:rPr/>
        <w:t>西安市南稍门十字东南角大话南门壹中心18层1806室</w:t>
      </w:r>
    </w:p>
    <w:p>
      <w:pPr>
        <w:pStyle w:val="null3"/>
      </w:pPr>
      <w:r>
        <w:rPr/>
        <w:t xml:space="preserve"> 邮编： </w:t>
      </w:r>
      <w:r>
        <w:rPr/>
        <w:t>710061</w:t>
      </w:r>
    </w:p>
    <w:p>
      <w:pPr>
        <w:pStyle w:val="null3"/>
      </w:pPr>
      <w:r>
        <w:rPr/>
        <w:t xml:space="preserve"> 联系人： </w:t>
      </w:r>
      <w:r>
        <w:rPr/>
        <w:t>曲慧、田颖琦</w:t>
      </w:r>
    </w:p>
    <w:p>
      <w:pPr>
        <w:pStyle w:val="null3"/>
      </w:pPr>
      <w:r>
        <w:rPr/>
        <w:t xml:space="preserve"> 联系电话： </w:t>
      </w:r>
      <w:r>
        <w:rPr/>
        <w:t>029-81541692</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029- 89821846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西安急救中心</w:t>
      </w:r>
      <w:r>
        <w:rPr/>
        <w:t>和</w:t>
      </w:r>
      <w:r>
        <w:rPr/>
        <w:t>陕西嘉信瑞诚招标有限公司</w:t>
      </w:r>
      <w:r>
        <w:rPr/>
        <w:t>享有。对招标文件中供应商参加本次政府采购活动应当具备的条件，招标项目技术、服务、商务及其他要求，评标细则及标准由</w:t>
      </w:r>
      <w:r>
        <w:rPr/>
        <w:t>西安急救中心</w:t>
      </w:r>
      <w:r>
        <w:rPr/>
        <w:t>负责解释。除上述招标文件内容，其他内容由</w:t>
      </w:r>
      <w:r>
        <w:rPr/>
        <w:t>陕西嘉信瑞诚招标有限公司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西安急救中心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陕西嘉信瑞诚招标有限公司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1.乙方交付的货物技术规格必须与招标文件规定的技术规格和投标文件的响应承诺以及响应样品相一致。 2.乙方提供的货物必须是原厂生产的全新货物，并且符合国家质量性能检测标准及该产品的出厂标准。 3.货物包装应当符合技术规范文件要求。乙方应随货物向甲方交付货物的质量检测证书、使用说明及相关资料。 4.货物在规定时间内配送至甲方指定地点。 以合同约定为准。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陕西嘉信瑞诚招标有限公司</w:t>
      </w:r>
      <w:r>
        <w:rPr/>
        <w:t xml:space="preserve"> 负责答复；供应商对除采购需求外的采购文件的询问、质疑由</w:t>
      </w:r>
      <w:r>
        <w:rPr/>
        <w:t>陕西嘉信瑞诚招标有限公司</w:t>
      </w:r>
      <w:r>
        <w:rPr/>
        <w:t xml:space="preserve"> 负责答复；供应商对采购过程、采购结果的询问、质疑由 </w:t>
      </w:r>
      <w:r>
        <w:rPr/>
        <w:t>陕西嘉信瑞诚招标有限公司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联系人：曲慧、田颖琦</w:t>
      </w:r>
    </w:p>
    <w:p>
      <w:pPr>
        <w:pStyle w:val="null3"/>
      </w:pPr>
      <w:r>
        <w:rPr/>
        <w:t>联系电话：029-81541692</w:t>
      </w:r>
    </w:p>
    <w:p>
      <w:pPr>
        <w:pStyle w:val="null3"/>
      </w:pPr>
      <w:r>
        <w:rPr/>
        <w:t>地址：西安市南稍门十字东南角大话南门壹中心18层1806室</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sz w:val="21"/>
          <w:color w:val="000000"/>
        </w:rPr>
        <w:t>医疗设备采购，一批。</w:t>
      </w:r>
    </w:p>
    <w:tbl>
      <w:tblPr>
        <w:tblW w:w="0" w:type="auto"/>
        <w:tblBorders>
          <w:top w:val="none" w:color="000000" w:sz="4"/>
          <w:left w:val="none" w:color="000000" w:sz="4"/>
          <w:bottom w:val="none" w:color="000000" w:sz="4"/>
          <w:right w:val="none" w:color="000000" w:sz="4"/>
          <w:insideH w:val="none"/>
          <w:insideV w:val="none"/>
        </w:tblBorders>
      </w:tblPr>
      <w:tblGrid>
        <w:gridCol w:w="2055"/>
        <w:gridCol w:w="1284"/>
        <w:gridCol w:w="1884"/>
        <w:gridCol w:w="1541"/>
        <w:gridCol w:w="1541"/>
      </w:tblGrid>
      <w:tr>
        <w:tc>
          <w:tcPr>
            <w:tcW w:type="dxa" w:w="20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设备名称</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产地</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单台最高限价（元/台）</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预估采购数量</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备注</w:t>
            </w:r>
          </w:p>
        </w:tc>
      </w:tr>
      <w:tr>
        <w:tc>
          <w:tcPr>
            <w:tcW w:type="dxa" w:w="20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自动心肺复苏仪</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国产</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95000</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13台</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rPr>
              <w:t>核心产品</w:t>
            </w:r>
          </w:p>
        </w:tc>
      </w:tr>
      <w:tr>
        <w:tc>
          <w:tcPr>
            <w:tcW w:type="dxa" w:w="20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上车担架</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国产</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4000</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25台</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rFonts w:ascii="宋体" w:hAnsi="宋体" w:cs="宋体" w:eastAsia="宋体"/>
          <w:sz w:val="21"/>
          <w:b/>
        </w:rPr>
        <w:t>预计采购数量只在本次招标中进行估算采用，实际采购数量根据中标单价及预算进行采购</w:t>
      </w:r>
      <w:r>
        <w:rPr>
          <w:rFonts w:ascii="宋体" w:hAnsi="宋体" w:cs="宋体" w:eastAsia="宋体"/>
          <w:sz w:val="21"/>
          <w:b/>
        </w:rPr>
        <w:t>。</w:t>
      </w:r>
    </w:p>
    <w:p>
      <w:pPr>
        <w:pStyle w:val="null3"/>
        <w:outlineLvl w:val="2"/>
      </w:pPr>
      <w:r>
        <w:rPr>
          <w:sz w:val="28"/>
          <w:b/>
        </w:rPr>
        <w:t>3.2采购内容</w:t>
      </w:r>
    </w:p>
    <w:p>
      <w:pPr>
        <w:pStyle w:val="null3"/>
      </w:pPr>
      <w:r>
        <w:rPr/>
        <w:t>采购包1：</w:t>
      </w:r>
    </w:p>
    <w:p>
      <w:pPr>
        <w:pStyle w:val="null3"/>
      </w:pPr>
      <w:r>
        <w:rPr/>
        <w:t>采购包预算金额（元）: 1,420,000.00</w:t>
      </w:r>
    </w:p>
    <w:p>
      <w:pPr>
        <w:pStyle w:val="null3"/>
      </w:pPr>
      <w:r>
        <w:rPr/>
        <w:t>采购包最高限价（元）: 1,420,000.00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医疗设备购置</w:t>
            </w:r>
          </w:p>
        </w:tc>
        <w:tc>
          <w:tcPr>
            <w:tcW w:type="dxa" w:w="831"/>
          </w:tcPr>
          <w:p>
            <w:pPr>
              <w:pStyle w:val="null3"/>
              <w:jc w:val="right"/>
            </w:pPr>
            <w:r>
              <w:rPr/>
              <w:t>1.00</w:t>
            </w:r>
          </w:p>
        </w:tc>
        <w:tc>
          <w:tcPr>
            <w:tcW w:type="dxa" w:w="831"/>
          </w:tcPr>
          <w:p>
            <w:pPr>
              <w:pStyle w:val="null3"/>
              <w:jc w:val="right"/>
            </w:pPr>
            <w:r>
              <w:rPr/>
              <w:t>1,420,000.00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标的名称：医疗设备购置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一、自动心肺复苏仪（核心产品） 适用于院前急救及转运过程中对心跳呼吸骤停的患者进行胸外按压等心肺复苏抢救。</w:t>
            </w:r>
          </w:p>
        </w:tc>
      </w:tr>
      <w:tr>
        <w:tc>
          <w:tcPr>
            <w:tcW w:type="dxa" w:w="2769"/>
          </w:tcPr>
          <w:p/>
        </w:tc>
        <w:tc>
          <w:tcPr>
            <w:tcW w:type="dxa" w:w="2769"/>
          </w:tcPr>
          <w:p>
            <w:pPr>
              <w:pStyle w:val="null3"/>
            </w:pPr>
            <w:r>
              <w:rPr/>
              <w:t>2</w:t>
            </w:r>
          </w:p>
        </w:tc>
        <w:tc>
          <w:tcPr>
            <w:tcW w:type="dxa" w:w="2769"/>
          </w:tcPr>
          <w:p>
            <w:pPr>
              <w:pStyle w:val="null3"/>
            </w:pPr>
            <w:r>
              <w:rPr/>
              <w:t>1.电动电控型心肺复苏机，无需任何气源即可实现心脏按压。</w:t>
            </w:r>
          </w:p>
        </w:tc>
      </w:tr>
      <w:tr>
        <w:tc>
          <w:tcPr>
            <w:tcW w:type="dxa" w:w="2769"/>
          </w:tcPr>
          <w:p/>
        </w:tc>
        <w:tc>
          <w:tcPr>
            <w:tcW w:type="dxa" w:w="2769"/>
          </w:tcPr>
          <w:p>
            <w:pPr>
              <w:pStyle w:val="null3"/>
            </w:pPr>
            <w:r>
              <w:rPr/>
              <w:t>3</w:t>
            </w:r>
          </w:p>
        </w:tc>
        <w:tc>
          <w:tcPr>
            <w:tcW w:type="dxa" w:w="2769"/>
          </w:tcPr>
          <w:p>
            <w:pPr>
              <w:pStyle w:val="null3"/>
            </w:pPr>
            <w:r>
              <w:rPr/>
              <w:t>2.整机重量（含电池及背板）≤7kg。</w:t>
            </w:r>
          </w:p>
        </w:tc>
      </w:tr>
      <w:tr>
        <w:tc>
          <w:tcPr>
            <w:tcW w:type="dxa" w:w="2769"/>
          </w:tcPr>
          <w:p/>
        </w:tc>
        <w:tc>
          <w:tcPr>
            <w:tcW w:type="dxa" w:w="2769"/>
          </w:tcPr>
          <w:p>
            <w:pPr>
              <w:pStyle w:val="null3"/>
            </w:pPr>
            <w:r>
              <w:rPr/>
              <w:t>4</w:t>
            </w:r>
          </w:p>
        </w:tc>
        <w:tc>
          <w:tcPr>
            <w:tcW w:type="dxa" w:w="2769"/>
          </w:tcPr>
          <w:p>
            <w:pPr>
              <w:pStyle w:val="null3"/>
            </w:pPr>
            <w:r>
              <w:rPr/>
              <w:t>3.电池可连续工作≥60分钟，可在充电时同时进行按压操作。</w:t>
            </w:r>
          </w:p>
        </w:tc>
      </w:tr>
      <w:tr>
        <w:tc>
          <w:tcPr>
            <w:tcW w:type="dxa" w:w="2769"/>
          </w:tcPr>
          <w:p/>
        </w:tc>
        <w:tc>
          <w:tcPr>
            <w:tcW w:type="dxa" w:w="2769"/>
          </w:tcPr>
          <w:p>
            <w:pPr>
              <w:pStyle w:val="null3"/>
            </w:pPr>
            <w:r>
              <w:rPr/>
              <w:t>5</w:t>
            </w:r>
          </w:p>
        </w:tc>
        <w:tc>
          <w:tcPr>
            <w:tcW w:type="dxa" w:w="2769"/>
          </w:tcPr>
          <w:p>
            <w:pPr>
              <w:pStyle w:val="null3"/>
            </w:pPr>
            <w:r>
              <w:rPr/>
              <w:t>4.可快速安装，安装设备导致的心肺复苏中断应≤10秒。</w:t>
            </w:r>
          </w:p>
        </w:tc>
      </w:tr>
      <w:tr>
        <w:tc>
          <w:tcPr>
            <w:tcW w:type="dxa" w:w="2769"/>
          </w:tcPr>
          <w:p/>
        </w:tc>
        <w:tc>
          <w:tcPr>
            <w:tcW w:type="dxa" w:w="2769"/>
          </w:tcPr>
          <w:p>
            <w:pPr>
              <w:pStyle w:val="null3"/>
            </w:pPr>
            <w:r>
              <w:rPr/>
              <w:t>6</w:t>
            </w:r>
          </w:p>
        </w:tc>
        <w:tc>
          <w:tcPr>
            <w:tcW w:type="dxa" w:w="2769"/>
          </w:tcPr>
          <w:p>
            <w:pPr>
              <w:pStyle w:val="null3"/>
            </w:pPr>
            <w:r>
              <w:rPr/>
              <w:t>5.按压深度3-5.5cm可调节，或者大于此区间。</w:t>
            </w:r>
          </w:p>
        </w:tc>
      </w:tr>
      <w:tr>
        <w:tc>
          <w:tcPr>
            <w:tcW w:type="dxa" w:w="2769"/>
          </w:tcPr>
          <w:p/>
        </w:tc>
        <w:tc>
          <w:tcPr>
            <w:tcW w:type="dxa" w:w="2769"/>
          </w:tcPr>
          <w:p>
            <w:pPr>
              <w:pStyle w:val="null3"/>
            </w:pPr>
            <w:r>
              <w:rPr/>
              <w:t>7</w:t>
            </w:r>
          </w:p>
        </w:tc>
        <w:tc>
          <w:tcPr>
            <w:tcW w:type="dxa" w:w="2769"/>
          </w:tcPr>
          <w:p>
            <w:pPr>
              <w:pStyle w:val="null3"/>
            </w:pPr>
            <w:r>
              <w:rPr/>
              <w:t>6.按压频率100-120次/分钟可调。按压频率允许误差≤±1次/分钟。</w:t>
            </w:r>
          </w:p>
        </w:tc>
      </w:tr>
      <w:tr>
        <w:tc>
          <w:tcPr>
            <w:tcW w:type="dxa" w:w="2769"/>
          </w:tcPr>
          <w:p/>
        </w:tc>
        <w:tc>
          <w:tcPr>
            <w:tcW w:type="dxa" w:w="2769"/>
          </w:tcPr>
          <w:p>
            <w:pPr>
              <w:pStyle w:val="null3"/>
            </w:pPr>
            <w:r>
              <w:rPr/>
              <w:t>8</w:t>
            </w:r>
          </w:p>
        </w:tc>
        <w:tc>
          <w:tcPr>
            <w:tcW w:type="dxa" w:w="2769"/>
          </w:tcPr>
          <w:p>
            <w:pPr>
              <w:pStyle w:val="null3"/>
            </w:pPr>
            <w:r>
              <w:rPr/>
              <w:t>7.按压模式包括30:2模式和连续按压模式。</w:t>
            </w:r>
          </w:p>
        </w:tc>
      </w:tr>
      <w:tr>
        <w:tc>
          <w:tcPr>
            <w:tcW w:type="dxa" w:w="2769"/>
          </w:tcPr>
          <w:p/>
        </w:tc>
        <w:tc>
          <w:tcPr>
            <w:tcW w:type="dxa" w:w="2769"/>
          </w:tcPr>
          <w:p>
            <w:pPr>
              <w:pStyle w:val="null3"/>
            </w:pPr>
            <w:r>
              <w:rPr/>
              <w:t>9</w:t>
            </w:r>
          </w:p>
        </w:tc>
        <w:tc>
          <w:tcPr>
            <w:tcW w:type="dxa" w:w="2769"/>
          </w:tcPr>
          <w:p>
            <w:pPr>
              <w:pStyle w:val="null3"/>
            </w:pPr>
            <w:r>
              <w:rPr/>
              <w:t>8.适用于急救担架转运，设备倾斜45度仍可正常复苏，设备固定牢固，可准确定位且转运途中按压位置不会偏移。</w:t>
            </w:r>
          </w:p>
        </w:tc>
      </w:tr>
      <w:tr>
        <w:tc>
          <w:tcPr>
            <w:tcW w:type="dxa" w:w="2769"/>
          </w:tcPr>
          <w:p/>
        </w:tc>
        <w:tc>
          <w:tcPr>
            <w:tcW w:type="dxa" w:w="2769"/>
          </w:tcPr>
          <w:p>
            <w:pPr>
              <w:pStyle w:val="null3"/>
            </w:pPr>
            <w:r>
              <w:rPr/>
              <w:t>10</w:t>
            </w:r>
          </w:p>
        </w:tc>
        <w:tc>
          <w:tcPr>
            <w:tcW w:type="dxa" w:w="2769"/>
          </w:tcPr>
          <w:p>
            <w:pPr>
              <w:pStyle w:val="null3"/>
            </w:pPr>
            <w:r>
              <w:rPr/>
              <w:t>9.设备工作过程中不需解除设备，按键停止按压即可进行除颤操作。</w:t>
            </w:r>
          </w:p>
        </w:tc>
      </w:tr>
      <w:tr>
        <w:tc>
          <w:tcPr>
            <w:tcW w:type="dxa" w:w="2769"/>
          </w:tcPr>
          <w:p/>
        </w:tc>
        <w:tc>
          <w:tcPr>
            <w:tcW w:type="dxa" w:w="2769"/>
          </w:tcPr>
          <w:p>
            <w:pPr>
              <w:pStyle w:val="null3"/>
            </w:pPr>
            <w:r>
              <w:rPr/>
              <w:t>11</w:t>
            </w:r>
          </w:p>
        </w:tc>
        <w:tc>
          <w:tcPr>
            <w:tcW w:type="dxa" w:w="2769"/>
          </w:tcPr>
          <w:p>
            <w:pPr>
              <w:pStyle w:val="null3"/>
            </w:pPr>
            <w:r>
              <w:rPr/>
              <w:t>10. -5℃至40℃能持续稳定实施胸腔按压。</w:t>
            </w:r>
          </w:p>
        </w:tc>
      </w:tr>
      <w:tr>
        <w:tc>
          <w:tcPr>
            <w:tcW w:type="dxa" w:w="2769"/>
          </w:tcPr>
          <w:p/>
        </w:tc>
        <w:tc>
          <w:tcPr>
            <w:tcW w:type="dxa" w:w="2769"/>
          </w:tcPr>
          <w:p>
            <w:pPr>
              <w:pStyle w:val="null3"/>
            </w:pPr>
            <w:r>
              <w:rPr/>
              <w:t>12</w:t>
            </w:r>
          </w:p>
        </w:tc>
        <w:tc>
          <w:tcPr>
            <w:tcW w:type="dxa" w:w="2769"/>
          </w:tcPr>
          <w:p>
            <w:pPr>
              <w:pStyle w:val="null3"/>
            </w:pPr>
            <w:r>
              <w:rPr/>
              <w:t>11.具有电量指示，电量低时发出警示。</w:t>
            </w:r>
          </w:p>
        </w:tc>
      </w:tr>
      <w:tr>
        <w:tc>
          <w:tcPr>
            <w:tcW w:type="dxa" w:w="2769"/>
          </w:tcPr>
          <w:p/>
        </w:tc>
        <w:tc>
          <w:tcPr>
            <w:tcW w:type="dxa" w:w="2769"/>
          </w:tcPr>
          <w:p>
            <w:pPr>
              <w:pStyle w:val="null3"/>
            </w:pPr>
            <w:r>
              <w:rPr/>
              <w:t>13</w:t>
            </w:r>
          </w:p>
        </w:tc>
        <w:tc>
          <w:tcPr>
            <w:tcW w:type="dxa" w:w="2769"/>
          </w:tcPr>
          <w:p>
            <w:pPr>
              <w:pStyle w:val="null3"/>
            </w:pPr>
            <w:r>
              <w:rPr/>
              <w:t>12.安全要求：符合国家标准GB 9706.1-2020及GB/T16886.1-2022的要求(提供证明材料)。</w:t>
            </w:r>
          </w:p>
        </w:tc>
      </w:tr>
      <w:tr>
        <w:tc>
          <w:tcPr>
            <w:tcW w:type="dxa" w:w="2769"/>
          </w:tcPr>
          <w:p/>
        </w:tc>
        <w:tc>
          <w:tcPr>
            <w:tcW w:type="dxa" w:w="2769"/>
          </w:tcPr>
          <w:p>
            <w:pPr>
              <w:pStyle w:val="null3"/>
            </w:pPr>
            <w:r>
              <w:rPr/>
              <w:t>14</w:t>
            </w:r>
          </w:p>
        </w:tc>
        <w:tc>
          <w:tcPr>
            <w:tcW w:type="dxa" w:w="2769"/>
          </w:tcPr>
          <w:p>
            <w:pPr>
              <w:pStyle w:val="null3"/>
            </w:pPr>
            <w:r>
              <w:rPr/>
              <w:t>13.配有便携式背包。</w:t>
            </w:r>
          </w:p>
        </w:tc>
      </w:tr>
      <w:tr>
        <w:tc>
          <w:tcPr>
            <w:tcW w:type="dxa" w:w="2769"/>
          </w:tcPr>
          <w:p/>
        </w:tc>
        <w:tc>
          <w:tcPr>
            <w:tcW w:type="dxa" w:w="2769"/>
          </w:tcPr>
          <w:p>
            <w:pPr>
              <w:pStyle w:val="null3"/>
            </w:pPr>
            <w:r>
              <w:rPr/>
              <w:t>15</w:t>
            </w:r>
          </w:p>
        </w:tc>
        <w:tc>
          <w:tcPr>
            <w:tcW w:type="dxa" w:w="2769"/>
          </w:tcPr>
          <w:p>
            <w:pPr>
              <w:pStyle w:val="null3"/>
            </w:pPr>
            <w:r>
              <w:rPr/>
              <w:t>二、上车担架</w:t>
            </w:r>
          </w:p>
        </w:tc>
      </w:tr>
      <w:tr>
        <w:tc>
          <w:tcPr>
            <w:tcW w:type="dxa" w:w="2769"/>
          </w:tcPr>
          <w:p/>
        </w:tc>
        <w:tc>
          <w:tcPr>
            <w:tcW w:type="dxa" w:w="2769"/>
          </w:tcPr>
          <w:p>
            <w:pPr>
              <w:pStyle w:val="null3"/>
            </w:pPr>
            <w:r>
              <w:rPr/>
              <w:t>16</w:t>
            </w:r>
          </w:p>
        </w:tc>
        <w:tc>
          <w:tcPr>
            <w:tcW w:type="dxa" w:w="2769"/>
          </w:tcPr>
          <w:p>
            <w:pPr>
              <w:pStyle w:val="null3"/>
            </w:pPr>
            <w:r>
              <w:rPr/>
              <w:t>1.产地：国产。</w:t>
            </w:r>
          </w:p>
        </w:tc>
      </w:tr>
      <w:tr>
        <w:tc>
          <w:tcPr>
            <w:tcW w:type="dxa" w:w="2769"/>
          </w:tcPr>
          <w:p/>
        </w:tc>
        <w:tc>
          <w:tcPr>
            <w:tcW w:type="dxa" w:w="2769"/>
          </w:tcPr>
          <w:p>
            <w:pPr>
              <w:pStyle w:val="null3"/>
            </w:pPr>
            <w:r>
              <w:rPr/>
              <w:t>17</w:t>
            </w:r>
          </w:p>
        </w:tc>
        <w:tc>
          <w:tcPr>
            <w:tcW w:type="dxa" w:w="2769"/>
          </w:tcPr>
          <w:p>
            <w:pPr>
              <w:pStyle w:val="null3"/>
            </w:pPr>
            <w:r>
              <w:rPr/>
              <w:t>2.承重≥150kg。</w:t>
            </w:r>
          </w:p>
        </w:tc>
      </w:tr>
      <w:tr>
        <w:tc>
          <w:tcPr>
            <w:tcW w:type="dxa" w:w="2769"/>
          </w:tcPr>
          <w:p/>
        </w:tc>
        <w:tc>
          <w:tcPr>
            <w:tcW w:type="dxa" w:w="2769"/>
          </w:tcPr>
          <w:p>
            <w:pPr>
              <w:pStyle w:val="null3"/>
            </w:pPr>
            <w:r>
              <w:rPr/>
              <w:t>18</w:t>
            </w:r>
          </w:p>
        </w:tc>
        <w:tc>
          <w:tcPr>
            <w:tcW w:type="dxa" w:w="2769"/>
          </w:tcPr>
          <w:p>
            <w:pPr>
              <w:pStyle w:val="null3"/>
            </w:pPr>
            <w:r>
              <w:rPr/>
              <w:t>3.床面由软垫和可调式靠背组成，靠背可调整角度至患者半卧位。</w:t>
            </w:r>
          </w:p>
        </w:tc>
      </w:tr>
      <w:tr>
        <w:tc>
          <w:tcPr>
            <w:tcW w:type="dxa" w:w="2769"/>
          </w:tcPr>
          <w:p/>
        </w:tc>
        <w:tc>
          <w:tcPr>
            <w:tcW w:type="dxa" w:w="2769"/>
          </w:tcPr>
          <w:p>
            <w:pPr>
              <w:pStyle w:val="null3"/>
            </w:pPr>
            <w:r>
              <w:rPr/>
              <w:t>19</w:t>
            </w:r>
          </w:p>
        </w:tc>
        <w:tc>
          <w:tcPr>
            <w:tcW w:type="dxa" w:w="2769"/>
          </w:tcPr>
          <w:p>
            <w:pPr>
              <w:pStyle w:val="null3"/>
            </w:pPr>
            <w:r>
              <w:rPr/>
              <w:t>4.担架机械折叠腿可控制折叠。</w:t>
            </w:r>
          </w:p>
        </w:tc>
      </w:tr>
      <w:tr>
        <w:tc>
          <w:tcPr>
            <w:tcW w:type="dxa" w:w="2769"/>
          </w:tcPr>
          <w:p/>
        </w:tc>
        <w:tc>
          <w:tcPr>
            <w:tcW w:type="dxa" w:w="2769"/>
          </w:tcPr>
          <w:p>
            <w:pPr>
              <w:pStyle w:val="null3"/>
            </w:pPr>
            <w:r>
              <w:rPr/>
              <w:t>20</w:t>
            </w:r>
          </w:p>
        </w:tc>
        <w:tc>
          <w:tcPr>
            <w:tcW w:type="dxa" w:w="2769"/>
          </w:tcPr>
          <w:p>
            <w:pPr>
              <w:pStyle w:val="null3"/>
            </w:pPr>
            <w:r>
              <w:rPr/>
              <w:t>5.装车时担架腿部可在担架下自动折叠，下车时担架腿部自动打开。</w:t>
            </w:r>
          </w:p>
        </w:tc>
      </w:tr>
      <w:tr>
        <w:tc>
          <w:tcPr>
            <w:tcW w:type="dxa" w:w="2769"/>
          </w:tcPr>
          <w:p/>
        </w:tc>
        <w:tc>
          <w:tcPr>
            <w:tcW w:type="dxa" w:w="2769"/>
          </w:tcPr>
          <w:p>
            <w:pPr>
              <w:pStyle w:val="null3"/>
            </w:pPr>
            <w:r>
              <w:rPr/>
              <w:t>21</w:t>
            </w:r>
          </w:p>
        </w:tc>
        <w:tc>
          <w:tcPr>
            <w:tcW w:type="dxa" w:w="2769"/>
          </w:tcPr>
          <w:p>
            <w:pPr>
              <w:pStyle w:val="null3"/>
            </w:pPr>
            <w:r>
              <w:rPr/>
              <w:t>6.在救护车上时担架可用固定装置锁定。</w:t>
            </w:r>
          </w:p>
        </w:tc>
      </w:tr>
      <w:tr>
        <w:tc>
          <w:tcPr>
            <w:tcW w:type="dxa" w:w="2769"/>
          </w:tcPr>
          <w:p/>
        </w:tc>
        <w:tc>
          <w:tcPr>
            <w:tcW w:type="dxa" w:w="2769"/>
          </w:tcPr>
          <w:p>
            <w:pPr>
              <w:pStyle w:val="null3"/>
            </w:pPr>
            <w:r>
              <w:rPr/>
              <w:t>22</w:t>
            </w:r>
          </w:p>
        </w:tc>
        <w:tc>
          <w:tcPr>
            <w:tcW w:type="dxa" w:w="2769"/>
          </w:tcPr>
          <w:p>
            <w:pPr>
              <w:pStyle w:val="null3"/>
            </w:pPr>
            <w:r>
              <w:rPr/>
              <w:t>7.具有患者固定带。</w:t>
            </w:r>
          </w:p>
        </w:tc>
      </w:tr>
      <w:tr>
        <w:tc>
          <w:tcPr>
            <w:tcW w:type="dxa" w:w="2769"/>
          </w:tcPr>
          <w:p/>
        </w:tc>
        <w:tc>
          <w:tcPr>
            <w:tcW w:type="dxa" w:w="2769"/>
          </w:tcPr>
          <w:p>
            <w:pPr>
              <w:pStyle w:val="null3"/>
            </w:pPr>
            <w:r>
              <w:rPr/>
              <w:t>23</w:t>
            </w:r>
          </w:p>
        </w:tc>
        <w:tc>
          <w:tcPr>
            <w:tcW w:type="dxa" w:w="2769"/>
          </w:tcPr>
          <w:p>
            <w:pPr>
              <w:pStyle w:val="null3"/>
            </w:pPr>
            <w:r>
              <w:rPr/>
              <w:t>8.担架两侧配置护栏。</w:t>
            </w:r>
          </w:p>
        </w:tc>
      </w:tr>
      <w:tr>
        <w:tc>
          <w:tcPr>
            <w:tcW w:type="dxa" w:w="2769"/>
          </w:tcPr>
          <w:p/>
        </w:tc>
        <w:tc>
          <w:tcPr>
            <w:tcW w:type="dxa" w:w="2769"/>
          </w:tcPr>
          <w:p>
            <w:pPr>
              <w:pStyle w:val="null3"/>
            </w:pPr>
            <w:r>
              <w:rPr/>
              <w:t>24</w:t>
            </w:r>
          </w:p>
        </w:tc>
        <w:tc>
          <w:tcPr>
            <w:tcW w:type="dxa" w:w="2769"/>
          </w:tcPr>
          <w:p>
            <w:pPr>
              <w:pStyle w:val="null3"/>
            </w:pPr>
            <w:r>
              <w:rPr/>
              <w:t>9.担架轮子有固定卡扣。</w:t>
            </w:r>
          </w:p>
        </w:tc>
      </w:tr>
      <w:tr>
        <w:tc>
          <w:tcPr>
            <w:tcW w:type="dxa" w:w="2769"/>
          </w:tcPr>
          <w:p/>
        </w:tc>
        <w:tc>
          <w:tcPr>
            <w:tcW w:type="dxa" w:w="2769"/>
          </w:tcPr>
          <w:p>
            <w:pPr>
              <w:pStyle w:val="null3"/>
            </w:pPr>
            <w:r>
              <w:rPr/>
              <w:t>25</w:t>
            </w:r>
          </w:p>
        </w:tc>
        <w:tc>
          <w:tcPr>
            <w:tcW w:type="dxa" w:w="2769"/>
          </w:tcPr>
          <w:p>
            <w:pPr>
              <w:pStyle w:val="null3"/>
            </w:pPr>
            <w:r>
              <w:rPr/>
              <w:t>10.担架一端配备输液架。</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签订合同后10个日历日内交付。</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产品到达采购人指定地点安装、调试并验收合格后</w:t>
      </w:r>
      <w:r>
        <w:rPr/>
        <w:t xml:space="preserve"> ，达到付款条件起 </w:t>
      </w:r>
      <w:r>
        <w:rPr/>
        <w:t>20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（一）验收： （1）现场验收：设备及其备附件到达采购人指定地点后，采购人根据合同要求，在成交供应商和采购人双方同时在场的情况下，进行外观验收，确认产地、规格、型号和数量。 （2）安装调试：成交供应商应配合采购人的工期要求，负责在现场对设备进行安装、调试和试运行，直至验收合格。成交供应商应提供全部安装、调试过程中所需的材料、设施设备、人工等。 （3）成交供应商应向采购人提交项目实施过程中的所有资料，以便采购人日后管理和维护。</w:t>
      </w:r>
    </w:p>
    <w:p>
      <w:pPr>
        <w:pStyle w:val="null3"/>
        <w:outlineLvl w:val="3"/>
      </w:pPr>
      <w:r>
        <w:rPr>
          <w:sz w:val="24"/>
          <w:b/>
        </w:rPr>
        <w:t>3.4.6包装方式及运输</w:t>
      </w:r>
    </w:p>
    <w:p>
      <w:pPr>
        <w:pStyle w:val="null3"/>
      </w:pPr>
      <w:r>
        <w:rPr/>
        <w:t>采购包1：</w:t>
      </w:r>
    </w:p>
    <w:p>
      <w:pPr>
        <w:pStyle w:val="null3"/>
      </w:pPr>
      <w:r>
        <w:rPr/>
        <w:t>（1）设备及其备附件的包装应为出厂时的原包装，包装内应附有详细的装箱清单、出厂合格证明及其他相关资料。 （2）运输由成交供应商负责，运杂费已包含在合同总价内，包括从设备供应地点运送至交付地点所含的运输费、装卸费、仓储费、保险费等。</w:t>
      </w:r>
    </w:p>
    <w:p>
      <w:pPr>
        <w:pStyle w:val="null3"/>
        <w:outlineLvl w:val="3"/>
      </w:pPr>
      <w:r>
        <w:rPr>
          <w:sz w:val="24"/>
          <w:b/>
        </w:rPr>
        <w:t>3.4.7质量保修范围和保修期</w:t>
      </w:r>
    </w:p>
    <w:p>
      <w:pPr>
        <w:pStyle w:val="null3"/>
      </w:pPr>
      <w:r>
        <w:rPr/>
        <w:t>采购包1：</w:t>
      </w:r>
    </w:p>
    <w:p>
      <w:pPr>
        <w:pStyle w:val="null3"/>
      </w:pPr>
      <w:r>
        <w:rPr/>
        <w:t>（1）从验收合格之日起开始计算，整机保修时间≥3年； （2）出具售后服务承诺书，报修后及时修理，不超过24小时； （3）质保期内凡本项目所涉及的产品在正常使用中出现的故障，均由成交供应商负责提供免费检测维修、更换，更换的零部件应保证自更换之日起提供相同的质量保证期； （4）具有完整的售后服务响应体系：1小时内响应，2小时内到达现场，专业的技术服务售后服务人员（提供人员资质证明）； （5）保修期内反复维修仍不能排除故障的，由供货商换货； （6）质量保证期过后，硬件更换仅收取成本费用。</w:t>
      </w:r>
    </w:p>
    <w:p>
      <w:pPr>
        <w:pStyle w:val="null3"/>
        <w:outlineLvl w:val="3"/>
      </w:pPr>
      <w:r>
        <w:rPr>
          <w:sz w:val="24"/>
          <w:b/>
        </w:rPr>
        <w:t>3.4.8违约责任与解决争议的方法</w:t>
      </w:r>
    </w:p>
    <w:p>
      <w:pPr>
        <w:pStyle w:val="null3"/>
      </w:pPr>
      <w:r>
        <w:rPr/>
        <w:t>采购包1：</w:t>
      </w:r>
    </w:p>
    <w:p>
      <w:pPr>
        <w:pStyle w:val="null3"/>
      </w:pPr>
      <w:r>
        <w:rPr/>
        <w:t>1、按《中华人民共和国政府采购法》、《中华人民共和国民法典》中的相关条款执行。 2、供应商逾期交货物的，每逾期一日，供应商应向采购人支付本合同总价款3‰的违约金，供应商逾期超过15日，采购人有权单方解除本合同，并要求供应商承担本合同总价款30%的违约金。 3、供应商未按合同要求提供货物或质量不能满足要求，供应商必须无条件更换，提高技术，完善质量，否则，采购人有权解除合同，要求供应商承担本合同总价款30%的违约金，并对供应商的违约行为报监管机构进行相应的处罚。 4、本合同下供应商违约给采购人造成损失的，供应商除违约金外还应赔偿由此给采购人造成的全部损失，范围包括给采购人造成的实际损失、可预期利益、因委托第三方而支付的费用，以及采购人因维权所产生的诉讼费、律师费、公证费、保全费、差旅费等全部相关费用。</w:t>
      </w:r>
    </w:p>
    <w:p>
      <w:pPr>
        <w:pStyle w:val="null3"/>
        <w:jc w:val="left"/>
        <w:outlineLvl w:val="2"/>
      </w:pPr>
      <w:r>
        <w:rPr>
          <w:sz w:val="28"/>
          <w:b/>
        </w:rPr>
        <w:t>3.5其他要求</w:t>
      </w:r>
    </w:p>
    <w:p>
      <w:pPr>
        <w:pStyle w:val="null3"/>
      </w:pPr>
      <w:r>
        <w:rPr/>
        <w:t>1.供应商负责自动心肺复苏仪和上车担架与救护车的安装，包含提供安装所必备的专业工具及配件，期间所发生的一切费用由供应商负担； 2.供应商在投标时提供投标产品的宣传彩页（企业官方印刷，含产品真实彩色图片）； 3.提供投标产品标识内容（生产厂家、注册证号、型号规格、标准号、产品编号或系列号）； 4. 结算方式：不超过预算总金额，按中标单价及实际订购数量据实结算； 5.合同总价包括：设备供应价、运杂费（含保险）、安装调试费、培训费、及其它相关费用。 6.培训要求：供应商应提供现场技术培训，保证使用人员正确操作设备； 7.交付需提供速查卡、保修卡、验收单、货品清单、合格证、说明书。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投标人应有良好的财务状况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投标人应有依法缴纳税收的良好记录</w:t>
            </w:r>
          </w:p>
        </w:tc>
        <w:tc>
          <w:tcPr>
            <w:tcW w:type="dxa" w:w="3322"/>
          </w:tcPr>
          <w:p>
            <w:pPr>
              <w:pStyle w:val="null3"/>
            </w:pPr>
            <w:r>
              <w:rPr/>
              <w:t>法人提供自2024年5月1日以来至少一个月的纳税证明或完税证明(增值税、企业所得税至少一种)，纳税证明或完税证明上应有代收机构或税务机关的公章或业务专用章；其他组织和自然人提供自2024年5月1日以来至少一个月缴纳税收的凭据；依法免税的投标人应提供相关文件证明。并进行电子签章。</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投标人应有依法缴纳社会保障资金的良好记录</w:t>
            </w:r>
          </w:p>
        </w:tc>
        <w:tc>
          <w:tcPr>
            <w:tcW w:type="dxa" w:w="3322"/>
          </w:tcPr>
          <w:p>
            <w:pPr>
              <w:pStyle w:val="null3"/>
            </w:pPr>
            <w:r>
              <w:rPr/>
              <w:t>提供自2024年5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提供被授权人在本单位缴纳社保的证明材料（2024年1月1日起至今任意一个月的社保缴纳证明材料）；并进行电子签章。</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投标人须提供《无重大违法记录声明》完成承诺并进行电子签章。</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投标人应具有履行合同所必需的设备和专业技术能力</w:t>
            </w:r>
          </w:p>
        </w:tc>
        <w:tc>
          <w:tcPr>
            <w:tcW w:type="dxa" w:w="3322"/>
          </w:tcPr>
          <w:p>
            <w:pPr>
              <w:pStyle w:val="null3"/>
            </w:pPr>
            <w:r>
              <w:rPr/>
              <w:t>投标人须提供《具有履行合同所必需的设备和专业技术能力的承诺书》完成承诺并进行电子签章。</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医疗器械注册证或备案凭证</w:t>
            </w:r>
          </w:p>
        </w:tc>
        <w:tc>
          <w:tcPr>
            <w:tcW w:type="dxa" w:w="3322"/>
          </w:tcPr>
          <w:p>
            <w:pPr>
              <w:pStyle w:val="null3"/>
            </w:pPr>
            <w:r>
              <w:rPr/>
              <w:t>投标人须提供拟投产品有效的医疗器械注册证或备案凭证；并进行电子签章。</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许可证</w:t>
            </w:r>
          </w:p>
        </w:tc>
        <w:tc>
          <w:tcPr>
            <w:tcW w:type="dxa" w:w="3322"/>
          </w:tcPr>
          <w:p>
            <w:pPr>
              <w:pStyle w:val="null3"/>
            </w:pPr>
            <w:r>
              <w:rPr/>
              <w:t>若投标人为制造厂家，应出具医疗器械生产许可证（拟投医疗器械须在其生产范围内）；若投标人为经销商，应出具医疗器械经营许可证（或备案凭证），以及拟投医疗器械制造厂家的医疗器械生产许可证（投标产品须在其生产范围内）；并进行电子签章。</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签章符合招标文件要求</w:t>
            </w:r>
          </w:p>
        </w:tc>
        <w:tc>
          <w:tcPr>
            <w:tcW w:type="dxa" w:w="3322"/>
          </w:tcPr>
          <w:p>
            <w:pPr>
              <w:pStyle w:val="null3"/>
            </w:pPr>
            <w:r>
              <w:rPr/>
              <w:t>供应商应当加盖投标人（法定名称）电子印章</w:t>
            </w:r>
          </w:p>
        </w:tc>
        <w:tc>
          <w:tcPr>
            <w:tcW w:type="dxa" w:w="1661"/>
          </w:tcPr>
          <w:p>
            <w:pPr>
              <w:pStyle w:val="null3"/>
            </w:pPr>
            <w:r>
              <w:rPr/>
              <w:t>品目耗材报价表 其它分项报价表 供应商基本信息 投标文件封面 供应商企业关联关系说明书</w:t>
            </w:r>
          </w:p>
        </w:tc>
      </w:tr>
      <w:tr>
        <w:tc>
          <w:tcPr>
            <w:tcW w:type="dxa" w:w="831"/>
          </w:tcPr>
          <w:p>
            <w:pPr>
              <w:pStyle w:val="null3"/>
            </w:pPr>
            <w:r>
              <w:rPr/>
              <w:t>3</w:t>
            </w:r>
          </w:p>
        </w:tc>
        <w:tc>
          <w:tcPr>
            <w:tcW w:type="dxa" w:w="2492"/>
          </w:tcPr>
          <w:p>
            <w:pPr>
              <w:pStyle w:val="null3"/>
            </w:pPr>
            <w:r>
              <w:rPr/>
              <w:t>商务要求响应</w:t>
            </w:r>
          </w:p>
        </w:tc>
        <w:tc>
          <w:tcPr>
            <w:tcW w:type="dxa" w:w="3322"/>
          </w:tcPr>
          <w:p>
            <w:pPr>
              <w:pStyle w:val="null3"/>
            </w:pPr>
            <w:r>
              <w:rPr/>
              <w:t>供应商必须满足招标文件的商务要求</w:t>
            </w:r>
          </w:p>
        </w:tc>
        <w:tc>
          <w:tcPr>
            <w:tcW w:type="dxa" w:w="1661"/>
          </w:tcPr>
          <w:p>
            <w:pPr>
              <w:pStyle w:val="null3"/>
            </w:pPr>
            <w:r>
              <w:rPr/>
              <w:t>商务响应偏离表</w:t>
            </w:r>
          </w:p>
        </w:tc>
      </w:tr>
      <w:tr>
        <w:tc>
          <w:tcPr>
            <w:tcW w:type="dxa" w:w="831"/>
          </w:tcPr>
          <w:p>
            <w:pPr>
              <w:pStyle w:val="null3"/>
            </w:pPr>
            <w:r>
              <w:rPr/>
              <w:t>4</w:t>
            </w:r>
          </w:p>
        </w:tc>
        <w:tc>
          <w:tcPr>
            <w:tcW w:type="dxa" w:w="2492"/>
          </w:tcPr>
          <w:p>
            <w:pPr>
              <w:pStyle w:val="null3"/>
            </w:pPr>
            <w:r>
              <w:rPr/>
              <w:t>供应商承诺书</w:t>
            </w:r>
          </w:p>
        </w:tc>
        <w:tc>
          <w:tcPr>
            <w:tcW w:type="dxa" w:w="3322"/>
          </w:tcPr>
          <w:p>
            <w:pPr>
              <w:pStyle w:val="null3"/>
            </w:pPr>
            <w:r>
              <w:rPr/>
              <w:t>供应商须提供参加政府采购活动承诺书（格式见投标文件格式附件）</w:t>
            </w:r>
          </w:p>
        </w:tc>
        <w:tc>
          <w:tcPr>
            <w:tcW w:type="dxa" w:w="1661"/>
          </w:tcPr>
          <w:p>
            <w:pPr>
              <w:pStyle w:val="null3"/>
            </w:pPr>
            <w:r>
              <w:rPr/>
              <w:t>供应商承诺书</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投标产品的技术指标满足招标文件要求的得30分，每不满足一项扣1分，扣完为止。 供应商应提供相关技术参数佐证材料（包括但不限于含彩色样本或说明书或图纸或权威机构出具的检验报告等，并在技术响应偏离表中标注对应页码及位置，未提供或所提供材料无法有效证明的将视为不满足本参数要求）。</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技术响应偏离表</w:t>
            </w:r>
          </w:p>
        </w:tc>
      </w:tr>
      <w:tr>
        <w:tc>
          <w:tcPr>
            <w:tcW w:type="dxa" w:w="831"/>
            <w:vMerge/>
          </w:tcPr>
          <w:p/>
        </w:tc>
        <w:tc>
          <w:tcPr>
            <w:tcW w:type="dxa" w:w="1661"/>
          </w:tcPr>
          <w:p>
            <w:pPr>
              <w:pStyle w:val="null3"/>
            </w:pPr>
            <w:r>
              <w:rPr/>
              <w:t>设备选型方案</w:t>
            </w:r>
          </w:p>
        </w:tc>
        <w:tc>
          <w:tcPr>
            <w:tcW w:type="dxa" w:w="2492"/>
          </w:tcPr>
          <w:p>
            <w:pPr>
              <w:pStyle w:val="null3"/>
            </w:pPr>
            <w:r>
              <w:rPr/>
              <w:t>供应商针对本项目提供具体可行的设备选型方案，包括但不限于：①所投产品型号、功能、技术规格等详细信息描述；②根据所投产品品牌与配置清单，设备配置先进、选型科学合理，从配置完整性、性能稳定性、兼容性、行业使用广泛性等方面描述（供应商须提供证明材料，包括但不限于所投设备产品临床使用优势、市场销售情况等）。 设备选型方案思路清晰、科学合理、可行性强、完全满足采购人需求得7分；设备选型方案思路清晰、科学合理、可行性较强、满足采购人需求得6分；设备选型方案合理完善、可行性较强、基本满足采购人需求得4分；设备选型方案有缺漏项、可行性一般得2分；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项目实施方案</w:t>
            </w:r>
          </w:p>
        </w:tc>
        <w:tc>
          <w:tcPr>
            <w:tcW w:type="dxa" w:w="2492"/>
          </w:tcPr>
          <w:p>
            <w:pPr>
              <w:pStyle w:val="null3"/>
            </w:pPr>
            <w:r>
              <w:rPr/>
              <w:t>一、评审内容 供应商针对本项目提供完整的项目实施方案。内容包含：①保供方案（须细化到接到采购人通知后具体的供货计划表）；②团队人员配置计划及车辆配送安排计划；③具有健全的产品安装、检测、调试、试运行及验收方案。 二、评审标准 1、完整性：方案须全面，对评审内容中的各项要求有详细描述； 2、可实施性：切合本项目实际情况，实施步骤清晰、合理； 3、针对性：方案能够紧扣本项目所采购设备种类等实际情况，内容科学合理。 三、赋分依据（满分6分） 上述3项评审内容全部满足评审标准得6分；每有一个评审内容缺项扣2分，扣完为止；每有一项评审内容存在缺陷，扣（0-2）分。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质量保证</w:t>
            </w:r>
          </w:p>
        </w:tc>
        <w:tc>
          <w:tcPr>
            <w:tcW w:type="dxa" w:w="2492"/>
          </w:tcPr>
          <w:p>
            <w:pPr>
              <w:pStyle w:val="null3"/>
            </w:pPr>
            <w:r>
              <w:rPr/>
              <w:t>一、评审内容 供应商针对本项目提供质量保证承诺方案。内容包含：①符合国家相关质量标准、通过国家法定检验注册，产品性能稳定，具有合法的产品来源渠道的证明材料；②在产品使用、技术保障方面的承诺和保证措施。 二、评审标准 1、完整性：方案须全面，对评审内容中的各项要求有详细描述； 2、针对性：方案能够紧扣本项目实际情况，内容科学合理。 三、赋分依据（满分4分） 上述2项评审内容全部满足评审标准得4分；每有一个评审内容缺项扣2分，扣完为止；每有一项评审内容存在缺陷，扣（0-2）分。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应急预案</w:t>
            </w:r>
          </w:p>
        </w:tc>
        <w:tc>
          <w:tcPr>
            <w:tcW w:type="dxa" w:w="2492"/>
          </w:tcPr>
          <w:p>
            <w:pPr>
              <w:pStyle w:val="null3"/>
            </w:pPr>
            <w:r>
              <w:rPr/>
              <w:t>一、评审内容 供应商针对本项目提供完整的项目应急预案。内容包含：①设备故障及维修服务到场响应时限；②其他应急突发状况处置措施（包括但不限于安装、实施、培训、维护维修等环节的紧急处理方案）。 二、评审标准 1、完整性：方案须全面，对评审内容中的各项要求有详细描述； 2、可实施性：切合本项目实际情况，实施步骤清晰、合理； 3、针对性：方案能够紧扣本项目所采购设备种类等实际情况，内容科学合理。 三、赋分依据（满分4分） 上述2项评审内容全部满足评审标准得4分；每有一个评审内容缺项扣2分，扣完为止；每有一项评审内容存在缺陷，扣（0-2）分。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提供2021年7月1日至投标文件递交截止时间市场销售业绩（以合同签订日期为准）： ①所投核心产品（自动心肺复苏仪）市场销售业绩，每提供1份有效业绩得1分，满分5分； ②所投“上车担架”市场销售业绩，每提供1份有效得1分，满分2分。 注：投标文件中须提供完整有效的合同复印件；复印件加盖供应商公章，原件备查。</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供应商业绩</w:t>
            </w:r>
          </w:p>
        </w:tc>
      </w:tr>
      <w:tr>
        <w:tc>
          <w:tcPr>
            <w:tcW w:type="dxa" w:w="831"/>
            <w:vMerge/>
          </w:tcPr>
          <w:p/>
        </w:tc>
        <w:tc>
          <w:tcPr>
            <w:tcW w:type="dxa" w:w="1661"/>
          </w:tcPr>
          <w:p>
            <w:pPr>
              <w:pStyle w:val="null3"/>
            </w:pPr>
            <w:r>
              <w:rPr/>
              <w:t>售后服务方案</w:t>
            </w:r>
          </w:p>
        </w:tc>
        <w:tc>
          <w:tcPr>
            <w:tcW w:type="dxa" w:w="2492"/>
          </w:tcPr>
          <w:p>
            <w:pPr>
              <w:pStyle w:val="null3"/>
            </w:pPr>
            <w:r>
              <w:rPr/>
              <w:t>一、评审内容 供应商针对本项目提供完整的售后服务方案。内容包含：①售后服务保障体系,包括但不限于人员配备、备品备件供应计划、设备（产品）发生故障后的补救措施等方面；②提供售后服务承诺且符合实际需求。 二、评审标准 1、完整性：方案须全面，对评审内容中的各项要求有详细描述； 2、可实施性：切合本项目实际情况，实施步骤清晰、合理； 3、针对性：方案能够紧扣项目实际情况，内容科学合理。 三、赋分依据（满分4分） 上述2项评审内容全部满足评审标准得4分；每有一个评审内容缺项扣2分，扣完为止；每有一项评审内容存在缺陷，扣（0-2）分。 说明：1、缺陷是指内容没有结合项目实际需求、虽有内容但不完善、内容表述前后不一致、套用其他项目方案或与项目需求不匹配及其他不利于项目实施的等任意一种情形。 2、须提供相关的佐证材料，如售后服务机构工作场所的证明材料（包括但不限于：租房协议或产权证明材料，办公场所图片，售后服务机构专职人员名单及相关行业从业资历，本行业内的技术证书及相关证明材料等资料）。</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培训方案</w:t>
            </w:r>
          </w:p>
        </w:tc>
        <w:tc>
          <w:tcPr>
            <w:tcW w:type="dxa" w:w="2492"/>
          </w:tcPr>
          <w:p>
            <w:pPr>
              <w:pStyle w:val="null3"/>
            </w:pPr>
            <w:r>
              <w:rPr/>
              <w:t>一、评审内容 供应商针对本项目提供完整的培训方案。 二、评审标准 1、完整性：方案须全面，对评审内容中的各项要求有详细描述； 2、可实施性：切合本项目实际情况，实施步骤清晰、合理； 3、针对性：方案能够紧扣项目实际情况，内容科学合理。 三、赋分依据（满分3分） 上述评审内容全部满足评审标准得3分；评审内容存在缺陷，扣（0-3）分。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 且投标价格最低的投标报价为评标基准价，其价格分为满分。其他投标人的价格分统一按照下列公式计算：投标报价得分=(评标基准价／投标报价)×35 计算分数时四舍五入取小数点后两位。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投标分项报价表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详见附件：供应商承诺书</w:t>
      </w:r>
    </w:p>
    <w:p>
      <w:pPr>
        <w:pStyle w:val="null3"/>
        <w:ind w:firstLine="960"/>
      </w:pPr>
      <w:r>
        <w:rPr/>
        <w:t>详见附件：供应商基本信息</w:t>
      </w:r>
    </w:p>
    <w:p>
      <w:pPr>
        <w:pStyle w:val="null3"/>
        <w:ind w:firstLine="960"/>
      </w:pPr>
      <w:r>
        <w:rPr/>
        <w:t>详见附件：供应商企业关联关系说明书</w:t>
      </w:r>
    </w:p>
    <w:p>
      <w:pPr>
        <w:pStyle w:val="null3"/>
        <w:ind w:firstLine="960"/>
      </w:pPr>
      <w:r>
        <w:rPr/>
        <w:t>详见附件：供应商业绩</w:t>
      </w:r>
    </w:p>
    <w:p>
      <w:pPr>
        <w:pStyle w:val="null3"/>
        <w:ind w:firstLine="960"/>
      </w:pPr>
      <w:r>
        <w:rPr/>
        <w:t>详见附件：供应商资格要求</w:t>
      </w:r>
    </w:p>
    <w:p>
      <w:pPr>
        <w:pStyle w:val="null3"/>
        <w:ind w:firstLine="960"/>
      </w:pPr>
      <w:r>
        <w:rPr/>
        <w:t>详见附件：技术响应偏离表</w:t>
      </w:r>
    </w:p>
    <w:p>
      <w:pPr>
        <w:pStyle w:val="null3"/>
        <w:ind w:firstLine="960"/>
      </w:pPr>
      <w:r>
        <w:rPr/>
        <w:t>详见附件：品目耗材报价表</w:t>
      </w:r>
    </w:p>
    <w:p>
      <w:pPr>
        <w:pStyle w:val="null3"/>
        <w:ind w:firstLine="960"/>
      </w:pPr>
      <w:r>
        <w:rPr/>
        <w:t>详见附件：其它分项报价表</w:t>
      </w:r>
    </w:p>
    <w:p>
      <w:pPr>
        <w:pStyle w:val="null3"/>
        <w:ind w:firstLine="960"/>
      </w:pPr>
      <w:r>
        <w:rPr/>
        <w:t>详见附件：商务响应偏离表</w:t>
      </w:r>
    </w:p>
    <w:p>
      <w:pPr>
        <w:pStyle w:val="null3"/>
        <w:ind w:firstLine="960"/>
      </w:pPr>
      <w:r>
        <w:rPr/>
        <w:t>详见附件：投标方案</w:t>
      </w:r>
    </w:p>
    <w:p>
      <w:pPr>
        <w:pStyle w:val="null3"/>
        <w:ind w:firstLine="960"/>
      </w:pPr>
      <w:r>
        <w:rPr/>
        <w:t>详见附件：投标分项报价表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