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福银高速（G70）西安至蓝田段扩能改造项目环境影响评价技术服务</w:t>
      </w:r>
    </w:p>
    <w:p>
      <w:pPr>
        <w:pStyle w:val="null3"/>
        <w:jc w:val="center"/>
        <w:outlineLvl w:val="2"/>
      </w:pPr>
      <w:r>
        <w:rPr>
          <w:sz w:val="28"/>
          <w:b/>
        </w:rPr>
        <w:t>采购项目编号：</w:t>
      </w:r>
      <w:r>
        <w:rPr>
          <w:sz w:val="28"/>
          <w:b/>
        </w:rPr>
        <w:t>CTSD2024(Z)-FW-048</w:t>
      </w:r>
      <w:r>
        <w:br/>
      </w:r>
      <w:r>
        <w:br/>
      </w:r>
      <w:r>
        <w:br/>
      </w:r>
    </w:p>
    <w:p>
      <w:pPr>
        <w:pStyle w:val="null3"/>
        <w:jc w:val="center"/>
        <w:outlineLvl w:val="2"/>
      </w:pPr>
      <w:r>
        <w:rPr>
          <w:sz w:val="28"/>
          <w:b/>
        </w:rPr>
        <w:t>西安市公路工程管理处</w:t>
      </w:r>
    </w:p>
    <w:p>
      <w:pPr>
        <w:pStyle w:val="null3"/>
        <w:jc w:val="center"/>
        <w:outlineLvl w:val="2"/>
      </w:pPr>
      <w:r>
        <w:rPr>
          <w:sz w:val="28"/>
          <w:b/>
        </w:rPr>
        <w:t>城投时代（陕西）项目管理有限公司</w:t>
      </w:r>
      <w:r>
        <w:rPr>
          <w:sz w:val="28"/>
          <w:b/>
        </w:rPr>
        <w:t>共同编制</w:t>
      </w:r>
    </w:p>
    <w:p>
      <w:pPr>
        <w:pStyle w:val="null3"/>
        <w:jc w:val="center"/>
        <w:outlineLvl w:val="2"/>
      </w:pPr>
      <w:r>
        <w:rPr>
          <w:sz w:val="28"/>
          <w:b/>
        </w:rPr>
        <w:t>2024年11月27日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城投时代（陕西）项目管理有限公司</w:t>
      </w:r>
      <w:r>
        <w:rPr/>
        <w:t>（以下简称“代理机构”）受</w:t>
      </w:r>
      <w:r>
        <w:rPr/>
        <w:t>西安市公路工程管理处</w:t>
      </w:r>
      <w:r>
        <w:rPr/>
        <w:t>委托，拟对</w:t>
      </w:r>
      <w:r>
        <w:rPr/>
        <w:t>福银高速（G70）西安至蓝田段扩能改造项目环境影响评价技术服务</w:t>
      </w:r>
      <w:r>
        <w:rPr/>
        <w:t>采用竞争性磋商采购方式进行采购，兹邀请供应商参加本项目的竞争性磋商。</w:t>
      </w:r>
    </w:p>
    <w:p>
      <w:pPr>
        <w:pStyle w:val="null3"/>
        <w:outlineLvl w:val="2"/>
      </w:pPr>
      <w:r>
        <w:rPr>
          <w:sz w:val="28"/>
          <w:b/>
        </w:rPr>
        <w:t>一、项目编号：</w:t>
      </w:r>
      <w:r>
        <w:rPr>
          <w:sz w:val="28"/>
          <w:b/>
        </w:rPr>
        <w:t>CTSD2024(Z)-FW-048</w:t>
      </w:r>
    </w:p>
    <w:p>
      <w:pPr>
        <w:pStyle w:val="null3"/>
        <w:outlineLvl w:val="2"/>
      </w:pPr>
      <w:r>
        <w:rPr>
          <w:sz w:val="28"/>
          <w:b/>
        </w:rPr>
        <w:t>二、项目名称：</w:t>
      </w:r>
      <w:r>
        <w:rPr>
          <w:sz w:val="28"/>
          <w:b/>
        </w:rPr>
        <w:t>福银高速（G70）西安至蓝田段扩能改造项目环境影响评价技术服务</w:t>
      </w:r>
    </w:p>
    <w:p>
      <w:pPr>
        <w:pStyle w:val="null3"/>
        <w:outlineLvl w:val="2"/>
      </w:pPr>
      <w:r>
        <w:rPr>
          <w:sz w:val="28"/>
          <w:b/>
        </w:rPr>
        <w:t>三、磋商项目简介</w:t>
      </w:r>
    </w:p>
    <w:p>
      <w:pPr>
        <w:pStyle w:val="null3"/>
        <w:ind w:firstLine="480"/>
      </w:pPr>
      <w:r>
        <w:rPr/>
        <w:t>福银高速（G70）西安至蓝田段扩能改造项目起点位于绕城高速香王立交，终点位于蓝田县城，路线全长24公里。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采购包1（福银高速（G70）西安至蓝田段扩能改造项目环境影响评价技术服务）：属于专门面向中小企业采购。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1、法定代表人授权委托书：非法定代表人参加磋商的，须提供法定代表人授权委托书及被授权人身份证原件；法定代表人参加磋商时,只须提供法定代表人身份证原件。</w:t>
      </w:r>
    </w:p>
    <w:p>
      <w:pPr>
        <w:pStyle w:val="null3"/>
      </w:pPr>
      <w:r>
        <w:rPr/>
        <w:t>2、企业网站查询：供应商需在中华人民共和国生态环境部“环境影响评价信用平台”备案。</w:t>
      </w:r>
    </w:p>
    <w:p>
      <w:pPr>
        <w:pStyle w:val="null3"/>
      </w:pPr>
      <w:r>
        <w:rPr/>
        <w:t>3、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pPr>
        <w:pStyle w:val="null3"/>
      </w:pPr>
      <w:r>
        <w:rPr/>
        <w:t>4、控股关系：申请人应具备行政主管部单位负责人为同一人或者存在直接控股、管理关系的不同投标人，不得参加本次采购活动。</w:t>
      </w:r>
    </w:p>
    <w:p>
      <w:pPr>
        <w:pStyle w:val="null3"/>
      </w:pPr>
      <w:r>
        <w:rPr/>
        <w:t>5、联合体：本项目不接受联合体磋商，不允许分包。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西安市公路工程管理处</w:t>
      </w:r>
    </w:p>
    <w:p>
      <w:pPr>
        <w:pStyle w:val="null3"/>
      </w:pPr>
      <w:r>
        <w:rPr/>
        <w:t xml:space="preserve"> 地址： </w:t>
      </w:r>
      <w:r>
        <w:rPr/>
        <w:t>含光南路218号</w:t>
      </w:r>
    </w:p>
    <w:p>
      <w:pPr>
        <w:pStyle w:val="null3"/>
      </w:pPr>
      <w:r>
        <w:rPr/>
        <w:t xml:space="preserve"> 邮编： </w:t>
      </w:r>
      <w:r>
        <w:rPr/>
        <w:t>710000</w:t>
      </w:r>
    </w:p>
    <w:p>
      <w:pPr>
        <w:pStyle w:val="null3"/>
      </w:pPr>
      <w:r>
        <w:rPr/>
        <w:t xml:space="preserve"> 联系人： </w:t>
      </w:r>
      <w:r>
        <w:rPr/>
        <w:t>王工 李工</w:t>
      </w:r>
    </w:p>
    <w:p>
      <w:pPr>
        <w:pStyle w:val="null3"/>
      </w:pPr>
      <w:r>
        <w:rPr/>
        <w:t xml:space="preserve"> 联系电话： </w:t>
      </w:r>
      <w:r>
        <w:rPr/>
        <w:t>029-88211197</w:t>
      </w:r>
    </w:p>
    <w:p>
      <w:pPr>
        <w:pStyle w:val="null3"/>
        <w:outlineLvl w:val="3"/>
      </w:pPr>
      <w:r>
        <w:rPr>
          <w:sz w:val="24"/>
          <w:b/>
        </w:rPr>
        <w:t>代理机构：</w:t>
      </w:r>
      <w:r>
        <w:rPr>
          <w:sz w:val="24"/>
          <w:b/>
        </w:rPr>
        <w:t>城投时代（陕西）项目管理有限公司</w:t>
      </w:r>
    </w:p>
    <w:p>
      <w:pPr>
        <w:pStyle w:val="null3"/>
      </w:pPr>
      <w:r>
        <w:rPr/>
        <w:t xml:space="preserve"> 地址： </w:t>
      </w:r>
      <w:r>
        <w:rPr/>
        <w:t>陕西省西安市经济技术开发区凤城七路联益中心5楼501室</w:t>
      </w:r>
    </w:p>
    <w:p>
      <w:pPr>
        <w:pStyle w:val="null3"/>
      </w:pPr>
      <w:r>
        <w:rPr/>
        <w:t xml:space="preserve"> 邮编： </w:t>
      </w:r>
      <w:r>
        <w:rPr/>
        <w:t>710000</w:t>
      </w:r>
    </w:p>
    <w:p>
      <w:pPr>
        <w:pStyle w:val="null3"/>
      </w:pPr>
      <w:r>
        <w:rPr/>
        <w:t xml:space="preserve"> 联系人： </w:t>
      </w:r>
      <w:r>
        <w:rPr/>
        <w:t>朱媛媛 李嘉森</w:t>
      </w:r>
    </w:p>
    <w:p>
      <w:pPr>
        <w:pStyle w:val="null3"/>
      </w:pPr>
      <w:r>
        <w:rPr/>
        <w:t xml:space="preserve"> 联系电话： </w:t>
      </w:r>
      <w:r>
        <w:rPr/>
        <w:t>029-89160083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代理服务费收费标准：人民币：¥7000.00元 1、参照国家计委计价格[2002]1980号及发改办价格[2003]857号通知规定。 2、支付方式：成交供应商应在领取通知书的同时，支付本项目代理服务费。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西安市公路工程管理处</w:t>
      </w:r>
      <w:r>
        <w:rPr/>
        <w:t>和</w:t>
      </w:r>
      <w:r>
        <w:rPr/>
        <w:t>城投时代（陕西）项目管理有限公司</w:t>
      </w:r>
      <w:r>
        <w:rPr/>
        <w:t>享有。对磋商文件中供应商参加本次政府采购活动应当具备的条件，磋商项目技术、服务、商务及其他要求，评审细则及标准由</w:t>
      </w:r>
      <w:r>
        <w:rPr/>
        <w:t>西安市公路工程管理处</w:t>
      </w:r>
      <w:r>
        <w:rPr/>
        <w:t>负责解释。除上述磋商文件内容，其他内容由</w:t>
      </w:r>
      <w:r>
        <w:rPr/>
        <w:t>城投时代（陕西）项目管理有限公司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西安市公路工程管理处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城投时代（陕西）项目管理有限公司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城投时代（陕西）项目管理有限公司</w:t>
      </w:r>
      <w:r>
        <w:rPr/>
        <w:t xml:space="preserve"> 负责答复；供应商对除采购需求外的采购文件的询问、质疑由</w:t>
      </w:r>
      <w:r>
        <w:rPr/>
        <w:t>城投时代（陕西）项目管理有限公司</w:t>
      </w:r>
      <w:r>
        <w:rPr/>
        <w:t xml:space="preserve"> 负责答复；供应商对采购过程、采购结果的询问、质疑由 </w:t>
      </w:r>
      <w:r>
        <w:rPr/>
        <w:t>城投时代（陕西）项目管理有限公司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联系人：朱媛媛 李嘉森</w:t>
      </w:r>
    </w:p>
    <w:p>
      <w:pPr>
        <w:pStyle w:val="null3"/>
      </w:pPr>
      <w:r>
        <w:rPr/>
        <w:t>联系电话：029-89160083</w:t>
      </w:r>
    </w:p>
    <w:p>
      <w:pPr>
        <w:pStyle w:val="null3"/>
      </w:pPr>
      <w:r>
        <w:rPr/>
        <w:t>地址：陕西省西安市经济技术开发区凤城七路联益中心5楼501室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福银高速（G70）西安至蓝田段扩能改造项目起点位于绕城高速香王立交，终点位于蓝田县城，路线全长24公里。此次采购内容为通过现场查勘、类比调查，对项目所在地区的自然条件、社会经济情况等进行勘察、调研，分析并预测道路工程对周边环境的影响，提出建设项目的环境保护建议与要求，编制项目环境影响评价报告，给出建设项目的环境影响评价结论，最终通过环保部门的审查并获得批复。</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485,000.00</w:t>
      </w:r>
    </w:p>
    <w:p>
      <w:pPr>
        <w:pStyle w:val="null3"/>
      </w:pPr>
      <w:r>
        <w:rPr/>
        <w:t>采购包最高限价（元）: 485,000.00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福银高速（G70）西安至蓝田段扩能改造项目环境影响评价技术服务</w:t>
            </w:r>
          </w:p>
        </w:tc>
        <w:tc>
          <w:tcPr>
            <w:tcW w:type="dxa" w:w="831"/>
          </w:tcPr>
          <w:p>
            <w:pPr>
              <w:pStyle w:val="null3"/>
              <w:jc w:val="right"/>
            </w:pPr>
            <w:r>
              <w:rPr/>
              <w:t>1.00</w:t>
            </w:r>
          </w:p>
        </w:tc>
        <w:tc>
          <w:tcPr>
            <w:tcW w:type="dxa" w:w="831"/>
          </w:tcPr>
          <w:p>
            <w:pPr>
              <w:pStyle w:val="null3"/>
              <w:jc w:val="right"/>
            </w:pPr>
            <w:r>
              <w:rPr/>
              <w:t>485,000.00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标的名称：福银高速（G70）西安至蓝田段扩能改造项目环境影响评价技术服务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w:t>
            </w:r>
            <w:r>
              <w:rPr>
                <w:rFonts w:ascii="宋体" w:hAnsi="宋体" w:cs="宋体" w:eastAsia="宋体"/>
              </w:rPr>
              <w:t>、编制依据</w:t>
            </w:r>
          </w:p>
          <w:p>
            <w:pPr>
              <w:pStyle w:val="null3"/>
              <w:ind w:firstLine="400"/>
            </w:pPr>
            <w:r>
              <w:rPr>
                <w:rFonts w:ascii="宋体" w:hAnsi="宋体" w:cs="宋体" w:eastAsia="宋体"/>
              </w:rPr>
              <w:t>根据《中华人民共和国环境保护法》、《中华人民共和国环境影响评价法》、《建设项目环境保护管理条例》等国家和地方环保法律法规的要求，并结合现行的《建设项目环境影响评价分类管理名录（</w:t>
            </w:r>
            <w:r>
              <w:rPr>
                <w:rFonts w:ascii="calibri" w:hAnsi="calibri" w:cs="calibri" w:eastAsia="calibri"/>
              </w:rPr>
              <w:t>2021</w:t>
            </w:r>
            <w:r>
              <w:rPr>
                <w:rFonts w:ascii="宋体" w:hAnsi="宋体" w:cs="宋体" w:eastAsia="宋体"/>
              </w:rPr>
              <w:t xml:space="preserve">年版）》，项目属于“五十二、交通运输业、管道运输业 </w:t>
            </w:r>
            <w:r>
              <w:rPr>
                <w:rFonts w:ascii="calibri" w:hAnsi="calibri" w:cs="calibri" w:eastAsia="calibri"/>
              </w:rPr>
              <w:t>130</w:t>
            </w:r>
            <w:r>
              <w:rPr>
                <w:rFonts w:ascii="宋体" w:hAnsi="宋体" w:cs="宋体" w:eastAsia="宋体"/>
              </w:rPr>
              <w:t>”，需要开展环境影响评价。</w:t>
            </w:r>
          </w:p>
          <w:p>
            <w:pPr>
              <w:pStyle w:val="null3"/>
            </w:pPr>
            <w:r>
              <w:rPr>
                <w:rFonts w:ascii="宋体" w:hAnsi="宋体" w:cs="宋体" w:eastAsia="宋体"/>
              </w:rPr>
              <w:t>二、</w:t>
            </w:r>
            <w:r>
              <w:rPr>
                <w:rFonts w:ascii="宋体" w:hAnsi="宋体" w:cs="宋体" w:eastAsia="宋体"/>
              </w:rPr>
              <w:t>服务内容</w:t>
            </w:r>
          </w:p>
          <w:p>
            <w:pPr>
              <w:pStyle w:val="null3"/>
              <w:ind w:firstLine="400"/>
            </w:pPr>
            <w:r>
              <w:rPr>
                <w:rFonts w:ascii="宋体" w:hAnsi="宋体" w:cs="宋体" w:eastAsia="宋体"/>
              </w:rPr>
              <w:t>现场查勘、类比调查，对项目所在地区的自然条件、社会经济情况等进行勘察、调研，分析并预测道路工程对周边环境的影响，提出建设项目的环境保护建议与要求，编制项目环境影响评价报告，给出建设项目的环境影响评价结论。</w:t>
            </w:r>
          </w:p>
          <w:p>
            <w:pPr>
              <w:pStyle w:val="null3"/>
            </w:pPr>
            <w:r>
              <w:rPr>
                <w:rFonts w:ascii="宋体" w:hAnsi="宋体" w:cs="宋体" w:eastAsia="宋体"/>
              </w:rPr>
              <w:t>三、服务</w:t>
            </w:r>
            <w:r>
              <w:rPr>
                <w:rFonts w:ascii="宋体" w:hAnsi="宋体" w:cs="宋体" w:eastAsia="宋体"/>
              </w:rPr>
              <w:t>要求</w:t>
            </w:r>
          </w:p>
          <w:p>
            <w:pPr>
              <w:pStyle w:val="null3"/>
              <w:ind w:firstLine="400"/>
            </w:pPr>
            <w:r>
              <w:rPr>
                <w:rFonts w:ascii="宋体" w:hAnsi="宋体" w:cs="宋体" w:eastAsia="宋体"/>
              </w:rPr>
              <w:t>按期完成环境影响评价报告，通过环保部门的审查并最终获得批复。</w:t>
            </w:r>
          </w:p>
          <w:p>
            <w:pPr>
              <w:pStyle w:val="null3"/>
            </w:pPr>
            <w:r>
              <w:rPr>
                <w:rFonts w:ascii="宋体" w:hAnsi="宋体" w:cs="宋体" w:eastAsia="宋体"/>
              </w:rPr>
              <w:t>四、质量要求</w:t>
            </w:r>
          </w:p>
          <w:p>
            <w:pPr>
              <w:pStyle w:val="null3"/>
              <w:ind w:firstLine="400"/>
            </w:pPr>
            <w:r>
              <w:rPr>
                <w:rFonts w:ascii="宋体" w:hAnsi="宋体" w:cs="宋体" w:eastAsia="宋体"/>
              </w:rPr>
              <w:t>编制成果必须符合国家现行有关标准规定和采购文件的具体要求。</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供应商自行配备满足采购需求的相应设备。</w:t>
      </w:r>
    </w:p>
    <w:p>
      <w:pPr>
        <w:pStyle w:val="null3"/>
        <w:outlineLvl w:val="2"/>
      </w:pPr>
      <w:r>
        <w:rPr>
          <w:sz w:val="28"/>
          <w:b/>
        </w:rPr>
        <w:t>3.2.5其他要求</w:t>
      </w:r>
    </w:p>
    <w:p>
      <w:pPr>
        <w:pStyle w:val="null3"/>
      </w:pPr>
      <w:r>
        <w:rPr/>
        <w:t>采购包1：</w:t>
      </w:r>
    </w:p>
    <w:p>
      <w:pPr>
        <w:pStyle w:val="null3"/>
      </w:pPr>
      <w:r>
        <w:rPr/>
        <w:t>在合同期间出现的安全问题由投标人自行负责，与发包人无关。</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120日内完成，如遇不可抗拒因素，经甲乙双方协商一致，可以延长服务期限。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按期完成环境影响评价报告，通过环保部门的审查并最终获得批复。</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乙方提交技术成果，通过环保部门的审查并获得批复，且社会资本方成立项目公司(SPV公司)后</w:t>
      </w:r>
      <w:r>
        <w:rPr/>
        <w:t xml:space="preserve"> ，达到付款条件起 </w:t>
      </w:r>
      <w:r>
        <w:rPr/>
        <w:t>90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因甲方建设方案变化等原因导致乙方延期工作、延迟交付成果的，责任由甲方承担并顺延工作期限。如因甲方未能按时向乙方提供资料、合同费用等原因，造成乙方工作延期，责任由甲方承担并尽快向乙方提供所需资料及合同费用等。 2、因乙方原因导致成果未按时完成，对甲方造成影响的，责任由乙方承担。乙方无正当理由延误成果交付，每逾期一天，按合同总金额的千分之二支付甲方逾期赔偿金，并尽快完成合同约定的工作内容。 3、甲方按合同约定向乙方支付预付款后，若乙方不能按期提交工作成果且因乙方原因导致工作无法继续推进的情况下，乙方应无条件退还全部预付款。 4、因履行本合同发生争议，由合同双方协商解决，协商不成的，提交西安仲裁委员会仲裁。</w:t>
      </w:r>
    </w:p>
    <w:p>
      <w:pPr>
        <w:pStyle w:val="null3"/>
        <w:outlineLvl w:val="2"/>
      </w:pPr>
      <w:r>
        <w:rPr>
          <w:sz w:val="28"/>
          <w:b/>
        </w:rPr>
        <w:t>3.4其他要求</w:t>
      </w:r>
    </w:p>
    <w:p>
      <w:pPr>
        <w:pStyle w:val="null3"/>
      </w:pPr>
      <w:r>
        <w:rPr/>
        <w:t>（1） 乙方在项目实施过程中形成的所有原始资料、过程资料、最终成果及所涉知识产权归甲方所有，未经甲方书面同意，所有资料不得以任何方式、任何理由向第三方披露或提供，不得向任何人透露有关内容。 （2）双方均有义务对属于对方的技术和经济秘密进行保护，未经同意不得将对方的资料、成果用于本合同以外的项目。</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1.提供合法有效的法人或其他组织的营业执照等证明文件，自然人参与的提供其身份证原件。 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供应商需在项目电子化交易系统中按要求上传相应证明文件并进行电子签章。</w:t>
            </w:r>
          </w:p>
        </w:tc>
        <w:tc>
          <w:tcPr>
            <w:tcW w:type="dxa" w:w="1661"/>
          </w:tcPr>
          <w:p>
            <w:pPr>
              <w:pStyle w:val="null3"/>
            </w:pPr>
            <w:r>
              <w:rPr/>
              <w:t>资格证明材料 标的清单 响应函 响应文件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提供经会计师事务所审计的提供2023年度的财务审计报告或开标前3个月内供应商基本存款账户开户银行出具的资信证明及开户许可证（基本存款账户信息）。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t>资格证明材料 标的清单 响应文件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标的清单 响应函 响应文件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非法定代表人参加磋商的，须提供法定代表人授权委托书及被授权人身份证原件；法定代表人参加磋商时,只须提供法定代表人身份证原件。</w:t>
            </w:r>
          </w:p>
        </w:tc>
        <w:tc>
          <w:tcPr>
            <w:tcW w:type="dxa" w:w="1661"/>
          </w:tcPr>
          <w:p>
            <w:pPr>
              <w:pStyle w:val="null3"/>
            </w:pPr>
            <w:r>
              <w:rPr/>
              <w:t>资格证明材料 响应文件</w:t>
            </w:r>
          </w:p>
        </w:tc>
      </w:tr>
      <w:tr>
        <w:tc>
          <w:tcPr>
            <w:tcW w:type="dxa" w:w="831"/>
          </w:tcPr>
          <w:p>
            <w:pPr>
              <w:pStyle w:val="null3"/>
            </w:pPr>
            <w:r>
              <w:rPr/>
              <w:t>2</w:t>
            </w:r>
          </w:p>
        </w:tc>
        <w:tc>
          <w:tcPr>
            <w:tcW w:type="dxa" w:w="2492"/>
          </w:tcPr>
          <w:p>
            <w:pPr>
              <w:pStyle w:val="null3"/>
            </w:pPr>
            <w:r>
              <w:rPr/>
              <w:t>企业网站查询</w:t>
            </w:r>
          </w:p>
        </w:tc>
        <w:tc>
          <w:tcPr>
            <w:tcW w:type="dxa" w:w="3322"/>
          </w:tcPr>
          <w:p>
            <w:pPr>
              <w:pStyle w:val="null3"/>
            </w:pPr>
            <w:r>
              <w:rPr/>
              <w:t>供应商需在中华人民共和国生态环境部“环境影响评价信用平台”备案。</w:t>
            </w:r>
          </w:p>
        </w:tc>
        <w:tc>
          <w:tcPr>
            <w:tcW w:type="dxa" w:w="1661"/>
          </w:tcPr>
          <w:p>
            <w:pPr>
              <w:pStyle w:val="null3"/>
            </w:pPr>
            <w:r>
              <w:rPr/>
              <w:t>资格证明材料 响应文件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tc>
        <w:tc>
          <w:tcPr>
            <w:tcW w:type="dxa" w:w="1661"/>
          </w:tcPr>
          <w:p>
            <w:pPr>
              <w:pStyle w:val="null3"/>
            </w:pPr>
            <w:r>
              <w:rPr/>
              <w:t>资格证明材料 响应文件</w:t>
            </w:r>
          </w:p>
        </w:tc>
      </w:tr>
      <w:tr>
        <w:tc>
          <w:tcPr>
            <w:tcW w:type="dxa" w:w="831"/>
          </w:tcPr>
          <w:p>
            <w:pPr>
              <w:pStyle w:val="null3"/>
            </w:pPr>
            <w:r>
              <w:rPr/>
              <w:t>4</w:t>
            </w:r>
          </w:p>
        </w:tc>
        <w:tc>
          <w:tcPr>
            <w:tcW w:type="dxa" w:w="2492"/>
          </w:tcPr>
          <w:p>
            <w:pPr>
              <w:pStyle w:val="null3"/>
            </w:pPr>
            <w:r>
              <w:rPr/>
              <w:t>控股关系</w:t>
            </w:r>
          </w:p>
        </w:tc>
        <w:tc>
          <w:tcPr>
            <w:tcW w:type="dxa" w:w="3322"/>
          </w:tcPr>
          <w:p>
            <w:pPr>
              <w:pStyle w:val="null3"/>
            </w:pPr>
            <w:r>
              <w:rPr/>
              <w:t>申请人应具备行政主管部单位负责人为同一人或者存在直接控股、管理关系的不同投标人，不得参加本次采购活动。</w:t>
            </w:r>
          </w:p>
        </w:tc>
        <w:tc>
          <w:tcPr>
            <w:tcW w:type="dxa" w:w="1661"/>
          </w:tcPr>
          <w:p>
            <w:pPr>
              <w:pStyle w:val="null3"/>
            </w:pPr>
            <w:r>
              <w:rPr/>
              <w:t>资格证明材料 响应文件</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资格证明材料 响应文件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响应文件</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响应文件封面 中小企业声明函 残疾人福利性单位声明函 资格证明材料 标的清单 报价表 响应函 响应文件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应满足磋商文件中的规定</w:t>
            </w:r>
          </w:p>
        </w:tc>
        <w:tc>
          <w:tcPr>
            <w:tcW w:type="dxa" w:w="1661"/>
          </w:tcPr>
          <w:p>
            <w:pPr>
              <w:pStyle w:val="null3"/>
            </w:pPr>
            <w:r>
              <w:rPr/>
              <w:t>资格证明材料 响应函 响应文件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 响应函 响应文件</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满足本磋商文件中标注的实质性条款（服务期限、服务地点、支付方式、支付约定）要求的</w:t>
            </w:r>
          </w:p>
        </w:tc>
        <w:tc>
          <w:tcPr>
            <w:tcW w:type="dxa" w:w="1661"/>
          </w:tcPr>
          <w:p>
            <w:pPr>
              <w:pStyle w:val="null3"/>
            </w:pPr>
            <w:r>
              <w:rPr/>
              <w:t>响应文件封面 中小企业声明函 残疾人福利性单位声明函 标的清单 报价表 响应函 响应文件 监狱企业的证明文件</w:t>
            </w:r>
          </w:p>
        </w:tc>
      </w:tr>
      <w:tr>
        <w:tc>
          <w:tcPr>
            <w:tcW w:type="dxa" w:w="831"/>
          </w:tcPr>
          <w:p>
            <w:pPr>
              <w:pStyle w:val="null3"/>
            </w:pPr>
            <w:r>
              <w:rPr/>
              <w:t>6</w:t>
            </w:r>
          </w:p>
        </w:tc>
        <w:tc>
          <w:tcPr>
            <w:tcW w:type="dxa" w:w="2492"/>
          </w:tcPr>
          <w:p>
            <w:pPr>
              <w:pStyle w:val="null3"/>
            </w:pPr>
            <w:r>
              <w:rPr/>
              <w:t>质量要求</w:t>
            </w:r>
          </w:p>
        </w:tc>
        <w:tc>
          <w:tcPr>
            <w:tcW w:type="dxa" w:w="3322"/>
          </w:tcPr>
          <w:p>
            <w:pPr>
              <w:pStyle w:val="null3"/>
            </w:pPr>
            <w:r>
              <w:rPr/>
              <w:t>满足磋商文件要求</w:t>
            </w:r>
          </w:p>
        </w:tc>
        <w:tc>
          <w:tcPr>
            <w:tcW w:type="dxa" w:w="1661"/>
          </w:tcPr>
          <w:p>
            <w:pPr>
              <w:pStyle w:val="null3"/>
            </w:pPr>
            <w:r>
              <w:rPr/>
              <w:t>响应文件封面 中小企业声明函 残疾人福利性单位声明函 标的清单 报价表 响应函 响应文件 监狱企业的证明文件</w:t>
            </w:r>
          </w:p>
        </w:tc>
      </w:tr>
      <w:tr>
        <w:tc>
          <w:tcPr>
            <w:tcW w:type="dxa" w:w="831"/>
          </w:tcPr>
          <w:p>
            <w:pPr>
              <w:pStyle w:val="null3"/>
            </w:pPr>
            <w:r>
              <w:rPr/>
              <w:t>7</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响应文件封面 中小企业声明函 残疾人福利性单位声明函 资格证明材料 标的清单 报价表 响应函 响应文件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人员配备</w:t>
            </w:r>
          </w:p>
        </w:tc>
        <w:tc>
          <w:tcPr>
            <w:tcW w:type="dxa" w:w="2492"/>
          </w:tcPr>
          <w:p>
            <w:pPr>
              <w:pStyle w:val="null3"/>
            </w:pPr>
            <w:r>
              <w:rPr/>
              <w:t>1、项目负责人须具有环境影响评价工程师职业资格且具有环境保护相关专业中级及以上技术职称得5分。 2、有详细的项目团队配置名单。项目团队成员除项目负责人外，具有中级及以上相关技术职称人员，每提供1个得1分，最高5分。（上述人员均须提供职业资格、职称证书及单位为其缴纳社保的证明材料，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响应文件</w:t>
            </w:r>
          </w:p>
        </w:tc>
      </w:tr>
      <w:tr>
        <w:tc>
          <w:tcPr>
            <w:tcW w:type="dxa" w:w="831"/>
            <w:vMerge/>
          </w:tcPr>
          <w:p/>
        </w:tc>
        <w:tc>
          <w:tcPr>
            <w:tcW w:type="dxa" w:w="1661"/>
          </w:tcPr>
          <w:p>
            <w:pPr>
              <w:pStyle w:val="null3"/>
            </w:pPr>
            <w:r>
              <w:rPr/>
              <w:t>业绩</w:t>
            </w:r>
          </w:p>
        </w:tc>
        <w:tc>
          <w:tcPr>
            <w:tcW w:type="dxa" w:w="2492"/>
          </w:tcPr>
          <w:p>
            <w:pPr>
              <w:pStyle w:val="null3"/>
            </w:pPr>
            <w:r>
              <w:rPr/>
              <w:t>2021年10月1日以来（以合同时间为准）完成类似项目业绩，每提供一项得2分，最高6分。 注：响应文件中提供完整的合同复印件加盖供应商公章。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响应文件</w:t>
            </w:r>
          </w:p>
        </w:tc>
      </w:tr>
      <w:tr>
        <w:tc>
          <w:tcPr>
            <w:tcW w:type="dxa" w:w="831"/>
            <w:vMerge/>
          </w:tcPr>
          <w:p/>
        </w:tc>
        <w:tc>
          <w:tcPr>
            <w:tcW w:type="dxa" w:w="1661"/>
          </w:tcPr>
          <w:p>
            <w:pPr>
              <w:pStyle w:val="null3"/>
            </w:pPr>
            <w:r>
              <w:rPr/>
              <w:t>项目总体理解与认识</w:t>
            </w:r>
          </w:p>
        </w:tc>
        <w:tc>
          <w:tcPr>
            <w:tcW w:type="dxa" w:w="2492"/>
          </w:tcPr>
          <w:p>
            <w:pPr>
              <w:pStyle w:val="null3"/>
            </w:pPr>
            <w:r>
              <w:rPr/>
              <w:t>1、对项目背景以及项目工作目标的总体理解与认识，认识准确，理解到位得10分； 2、认识基本准确，理解基本到位得7分； 3、认识不准确，基本一般得3分；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环境影响评价方案编制框架及内容</w:t>
            </w:r>
          </w:p>
        </w:tc>
        <w:tc>
          <w:tcPr>
            <w:tcW w:type="dxa" w:w="2492"/>
          </w:tcPr>
          <w:p>
            <w:pPr>
              <w:pStyle w:val="null3"/>
            </w:pPr>
            <w:r>
              <w:rPr/>
              <w:t>1、环境影响评价方案全面、完整、清晰、透彻且具备科学性、可行性、针对性得12分； 2、环境影响评价方案完整，满足采购需求得6分； 3、方案基本满足采购需求得4分； 4、未提供不得分。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重难点分析</w:t>
            </w:r>
          </w:p>
        </w:tc>
        <w:tc>
          <w:tcPr>
            <w:tcW w:type="dxa" w:w="2492"/>
          </w:tcPr>
          <w:p>
            <w:pPr>
              <w:pStyle w:val="null3"/>
            </w:pPr>
            <w:r>
              <w:rPr/>
              <w:t>1、对本项工作重点难点是否理解全面、深刻完全满足得10分； 2、针对性较强较详细得7分； 3、针对性一般得3分；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工作实施步骤和方法</w:t>
            </w:r>
          </w:p>
        </w:tc>
        <w:tc>
          <w:tcPr>
            <w:tcW w:type="dxa" w:w="2492"/>
          </w:tcPr>
          <w:p>
            <w:pPr>
              <w:pStyle w:val="null3"/>
            </w:pPr>
            <w:r>
              <w:rPr/>
              <w:t>1、针对本项目的实施组织措施内容把握准确、完整、详细，思路清晰、细节考虑到位得9分； 2、细节、思路表达准确，内容良好得6分； 3、描述内容一般得3分； 4、未提供不得分。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进度保证措施</w:t>
            </w:r>
          </w:p>
        </w:tc>
        <w:tc>
          <w:tcPr>
            <w:tcW w:type="dxa" w:w="2492"/>
          </w:tcPr>
          <w:p>
            <w:pPr>
              <w:pStyle w:val="null3"/>
            </w:pPr>
            <w:r>
              <w:rPr/>
              <w:t>供应商根据项目特点，提供项目实施的进度保证措施，确保项目高效、高质量完成。 1、措施科学、合理得8分； 2、措施较合理、实时性较强得5分； 3、措施一般得3分；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质量保证措施</w:t>
            </w:r>
          </w:p>
        </w:tc>
        <w:tc>
          <w:tcPr>
            <w:tcW w:type="dxa" w:w="2492"/>
          </w:tcPr>
          <w:p>
            <w:pPr>
              <w:pStyle w:val="null3"/>
            </w:pPr>
            <w:r>
              <w:rPr/>
              <w:t>1、质量保证措施内容完整详尽，责任制度明确，人员管理措施可行性强得8分； 2、措施内容无缺漏，责任制度措施、人员管理较强得5分； 3、措施内容一般得3分； 4、未提供不得分。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合理化建议</w:t>
            </w:r>
          </w:p>
        </w:tc>
        <w:tc>
          <w:tcPr>
            <w:tcW w:type="dxa" w:w="2492"/>
          </w:tcPr>
          <w:p>
            <w:pPr>
              <w:pStyle w:val="null3"/>
            </w:pPr>
            <w:r>
              <w:rPr/>
              <w:t>1、针对本项目的合理化建议详细合理，针对性强得6分； 2、合理化建议较详细得3分； 3、合理化建议一般得1分；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完全承诺磋商文件和合同条款的要求，对成果交付时间内质量、人员到位情况、后期服务的响应时间及配合程度等做出实质性承诺（内容应当包含不能完全履行承诺时愿意接受处罚的相关承诺）。 1、承诺事项具体、可行、可操作性强得6分； 2、承诺事项较具体、可行、可操作性较强得3分； 3、承诺事项不具体或较差得1分；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标的清单</w:t>
            </w:r>
          </w:p>
          <w:p>
            <w:pPr>
              <w:pStyle w:val="null3"/>
            </w:pPr>
            <w:r>
              <w:rPr/>
              <w:t>响应文件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详见附件：资格证明材料</w:t>
      </w:r>
    </w:p>
    <w:p>
      <w:pPr>
        <w:pStyle w:val="null3"/>
        <w:ind w:firstLine="960"/>
      </w:pPr>
      <w:r>
        <w:rPr/>
        <w:t>详见附件：响应文件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