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jc w:val="center"/>
        <w:rPr>
          <w:rFonts w:hint="eastAsia" w:ascii="宋体" w:hAnsi="宋体" w:eastAsia="宋体" w:cs="宋体"/>
          <w:highlight w:val="none"/>
          <w:lang w:eastAsia="zh-CN"/>
        </w:rPr>
      </w:pPr>
      <w:r>
        <w:rPr>
          <w:rFonts w:hint="eastAsia" w:ascii="宋体" w:hAnsi="宋体" w:eastAsia="宋体" w:cs="宋体"/>
          <w:highlight w:val="none"/>
          <w:lang w:eastAsia="zh-CN"/>
        </w:rPr>
        <w:t>第七章 拟签订采购合同文本</w:t>
      </w:r>
    </w:p>
    <w:p>
      <w:pPr>
        <w:jc w:val="center"/>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lang w:eastAsia="zh-CN"/>
        </w:rPr>
        <w:t>政府采购合同（仅供参考）</w:t>
      </w:r>
    </w:p>
    <w:p>
      <w:pPr>
        <w:ind w:left="420" w:leftChars="200"/>
        <w:rPr>
          <w:sz w:val="18"/>
          <w:szCs w:val="18"/>
          <w:highlight w:val="none"/>
          <w:lang w:eastAsia="zh-CN"/>
        </w:rPr>
      </w:pPr>
      <w:bookmarkStart w:id="0" w:name="_Hlk137199754"/>
      <w:r>
        <w:rPr>
          <w:rFonts w:hint="eastAsia" w:ascii="宋体" w:hAnsi="宋体" w:eastAsia="宋体" w:cs="仿宋"/>
          <w:bCs/>
          <w:sz w:val="24"/>
          <w:highlight w:val="none"/>
          <w:lang w:eastAsia="zh-CN"/>
        </w:rPr>
        <w:t>甲  方：</w:t>
      </w:r>
      <w:r>
        <w:rPr>
          <w:rFonts w:hint="eastAsia" w:ascii="宋体" w:hAnsi="宋体" w:eastAsia="宋体" w:cs="仿宋"/>
          <w:b/>
          <w:bCs/>
          <w:sz w:val="24"/>
          <w:highlight w:val="none"/>
          <w:u w:val="single"/>
          <w:lang w:eastAsia="zh-CN"/>
        </w:rPr>
        <w:t>西安市疾病预防控制中心</w:t>
      </w:r>
    </w:p>
    <w:p>
      <w:pPr>
        <w:spacing w:line="300" w:lineRule="auto"/>
        <w:ind w:left="420" w:leftChars="200"/>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乙  方：</w:t>
      </w:r>
      <w:r>
        <w:rPr>
          <w:rFonts w:hint="eastAsia" w:ascii="宋体" w:hAnsi="宋体" w:eastAsia="宋体" w:cs="仿宋"/>
          <w:b/>
          <w:bCs/>
          <w:sz w:val="24"/>
          <w:highlight w:val="none"/>
          <w:u w:val="single"/>
          <w:lang w:eastAsia="zh-CN"/>
        </w:rPr>
        <w:t xml:space="preserve">           </w:t>
      </w:r>
    </w:p>
    <w:p>
      <w:pPr>
        <w:spacing w:line="300" w:lineRule="auto"/>
        <w:ind w:left="420" w:leftChars="200"/>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鉴证方：</w:t>
      </w:r>
      <w:r>
        <w:rPr>
          <w:rFonts w:hint="eastAsia" w:ascii="宋体" w:hAnsi="宋体" w:eastAsia="宋体" w:cs="仿宋"/>
          <w:b/>
          <w:bCs/>
          <w:sz w:val="24"/>
          <w:highlight w:val="none"/>
          <w:u w:val="single"/>
          <w:lang w:eastAsia="zh-CN"/>
        </w:rPr>
        <w:t xml:space="preserve">           </w:t>
      </w:r>
    </w:p>
    <w:p>
      <w:pPr>
        <w:tabs>
          <w:tab w:val="left" w:pos="480"/>
        </w:tabs>
        <w:spacing w:line="300" w:lineRule="auto"/>
        <w:ind w:firstLine="480" w:firstLineChars="200"/>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根据《中华人民共和国政府采购法》及实施条例、《中华人民共和国民法典》和甲方采购项目：</w:t>
      </w:r>
      <w:r>
        <w:rPr>
          <w:rFonts w:hint="eastAsia" w:ascii="宋体" w:hAnsi="宋体" w:eastAsia="宋体" w:cs="仿宋"/>
          <w:bCs/>
          <w:sz w:val="24"/>
          <w:highlight w:val="none"/>
          <w:u w:val="single"/>
          <w:lang w:eastAsia="zh-CN"/>
        </w:rPr>
        <w:t>西安市疾病预防控制中心      采购项目第</w:t>
      </w:r>
      <w:r>
        <w:rPr>
          <w:rFonts w:ascii="宋体" w:hAnsi="宋体" w:eastAsia="宋体" w:cs="仿宋"/>
          <w:bCs/>
          <w:sz w:val="24"/>
          <w:highlight w:val="none"/>
          <w:u w:val="single"/>
          <w:lang w:eastAsia="zh-CN"/>
        </w:rPr>
        <w:t xml:space="preserve"> </w:t>
      </w:r>
      <w:r>
        <w:rPr>
          <w:rFonts w:hint="eastAsia" w:ascii="宋体" w:hAnsi="宋体" w:eastAsia="宋体" w:cs="仿宋"/>
          <w:bCs/>
          <w:sz w:val="24"/>
          <w:highlight w:val="none"/>
          <w:u w:val="single"/>
          <w:lang w:eastAsia="zh-CN"/>
        </w:rPr>
        <w:t>包：</w:t>
      </w:r>
      <w:r>
        <w:rPr>
          <w:rFonts w:ascii="宋体" w:hAnsi="宋体" w:eastAsia="宋体" w:cs="仿宋"/>
          <w:bCs/>
          <w:sz w:val="24"/>
          <w:highlight w:val="none"/>
          <w:u w:val="single"/>
          <w:lang w:eastAsia="zh-CN"/>
        </w:rPr>
        <w:t xml:space="preserve">     </w:t>
      </w:r>
      <w:r>
        <w:rPr>
          <w:rFonts w:hint="eastAsia" w:ascii="宋体" w:hAnsi="宋体" w:eastAsia="宋体" w:cs="仿宋"/>
          <w:bCs/>
          <w:sz w:val="24"/>
          <w:highlight w:val="none"/>
          <w:lang w:eastAsia="zh-CN"/>
        </w:rPr>
        <w:t>（采购项目编号：</w:t>
      </w:r>
      <w:r>
        <w:rPr>
          <w:rFonts w:hint="eastAsia" w:ascii="宋体" w:hAnsi="宋体" w:eastAsia="宋体" w:cs="仿宋"/>
          <w:bCs/>
          <w:sz w:val="24"/>
          <w:highlight w:val="none"/>
          <w:lang w:eastAsia="zh-CN"/>
        </w:rPr>
        <w:t xml:space="preserve">     </w:t>
      </w:r>
      <w:r>
        <w:rPr>
          <w:rFonts w:hint="eastAsia" w:ascii="宋体" w:hAnsi="宋体" w:eastAsia="宋体" w:cs="仿宋"/>
          <w:bCs/>
          <w:sz w:val="24"/>
          <w:highlight w:val="none"/>
          <w:lang w:eastAsia="zh-CN"/>
        </w:rPr>
        <w:t>）的招标文件、投标文件等有关规定，为确保甲方采购项目的顺利实施，甲、乙双方在平等自愿原则下签订本合同，并共同遵守如下条款：</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
          <w:sz w:val="24"/>
          <w:highlight w:val="none"/>
          <w:lang w:eastAsia="zh-CN"/>
        </w:rPr>
        <w:t>一、合同标的物内容及数量</w:t>
      </w:r>
    </w:p>
    <w:tbl>
      <w:tblPr>
        <w:tblStyle w:val="7"/>
        <w:tblW w:w="10338" w:type="dxa"/>
        <w:jc w:val="center"/>
        <w:tblLayout w:type="autofit"/>
        <w:tblCellMar>
          <w:top w:w="0" w:type="dxa"/>
          <w:left w:w="108" w:type="dxa"/>
          <w:bottom w:w="0" w:type="dxa"/>
          <w:right w:w="108" w:type="dxa"/>
        </w:tblCellMar>
      </w:tblPr>
      <w:tblGrid>
        <w:gridCol w:w="1080"/>
        <w:gridCol w:w="1080"/>
        <w:gridCol w:w="1265"/>
        <w:gridCol w:w="895"/>
        <w:gridCol w:w="1308"/>
        <w:gridCol w:w="852"/>
        <w:gridCol w:w="914"/>
        <w:gridCol w:w="1527"/>
        <w:gridCol w:w="1417"/>
      </w:tblGrid>
      <w:tr>
        <w:tblPrEx>
          <w:tblCellMar>
            <w:top w:w="0" w:type="dxa"/>
            <w:left w:w="108" w:type="dxa"/>
            <w:bottom w:w="0" w:type="dxa"/>
            <w:right w:w="108" w:type="dxa"/>
          </w:tblCellMar>
        </w:tblPrEx>
        <w:trPr>
          <w:trHeight w:val="585" w:hRule="atLeast"/>
          <w:jc w:val="center"/>
        </w:trPr>
        <w:tc>
          <w:tcPr>
            <w:tcW w:w="108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序号</w:t>
            </w:r>
          </w:p>
        </w:tc>
        <w:tc>
          <w:tcPr>
            <w:tcW w:w="1080"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名称</w:t>
            </w:r>
          </w:p>
        </w:tc>
        <w:tc>
          <w:tcPr>
            <w:tcW w:w="1265"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规格型号</w:t>
            </w:r>
          </w:p>
        </w:tc>
        <w:tc>
          <w:tcPr>
            <w:tcW w:w="895"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产地</w:t>
            </w:r>
          </w:p>
        </w:tc>
        <w:tc>
          <w:tcPr>
            <w:tcW w:w="1308"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生产厂家</w:t>
            </w:r>
          </w:p>
        </w:tc>
        <w:tc>
          <w:tcPr>
            <w:tcW w:w="852"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单位</w:t>
            </w:r>
          </w:p>
        </w:tc>
        <w:tc>
          <w:tcPr>
            <w:tcW w:w="914"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数量</w:t>
            </w:r>
          </w:p>
        </w:tc>
        <w:tc>
          <w:tcPr>
            <w:tcW w:w="1527"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单价（元）</w:t>
            </w:r>
          </w:p>
        </w:tc>
        <w:tc>
          <w:tcPr>
            <w:tcW w:w="1417" w:type="dxa"/>
            <w:tcBorders>
              <w:top w:val="single" w:color="auto" w:sz="8" w:space="0"/>
              <w:left w:val="nil"/>
              <w:bottom w:val="single" w:color="auto" w:sz="8" w:space="0"/>
              <w:right w:val="single" w:color="auto" w:sz="8" w:space="0"/>
            </w:tcBorders>
            <w:vAlign w:val="center"/>
          </w:tcPr>
          <w:p>
            <w:pPr>
              <w:jc w:val="center"/>
              <w:rPr>
                <w:rFonts w:hint="eastAsia" w:ascii="宋体" w:hAnsi="宋体" w:eastAsia="宋体"/>
                <w:sz w:val="24"/>
                <w:highlight w:val="none"/>
              </w:rPr>
            </w:pPr>
            <w:r>
              <w:rPr>
                <w:rFonts w:hint="eastAsia" w:ascii="宋体" w:hAnsi="宋体" w:eastAsia="宋体"/>
                <w:sz w:val="24"/>
                <w:highlight w:val="none"/>
              </w:rPr>
              <w:t>总价（元）</w:t>
            </w:r>
          </w:p>
        </w:tc>
      </w:tr>
      <w:tr>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r>
              <w:rPr>
                <w:rFonts w:hint="eastAsia" w:ascii="宋体" w:hAnsi="宋体" w:eastAsia="宋体" w:cs="宋体"/>
                <w:sz w:val="24"/>
                <w:highlight w:val="none"/>
              </w:rPr>
              <w:t>1</w:t>
            </w:r>
          </w:p>
        </w:tc>
        <w:tc>
          <w:tcPr>
            <w:tcW w:w="1080"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1265"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895"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1308"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852"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914"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1527"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1417"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r>
      <w:tr>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r>
              <w:rPr>
                <w:rFonts w:hint="eastAsia" w:ascii="宋体" w:hAnsi="宋体" w:eastAsia="宋体" w:cs="宋体"/>
                <w:sz w:val="24"/>
                <w:highlight w:val="none"/>
              </w:rPr>
              <w:t>2</w:t>
            </w:r>
          </w:p>
        </w:tc>
        <w:tc>
          <w:tcPr>
            <w:tcW w:w="1080"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1265"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895"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1308" w:type="dxa"/>
            <w:tcBorders>
              <w:top w:val="nil"/>
              <w:left w:val="nil"/>
              <w:bottom w:val="single" w:color="auto" w:sz="8" w:space="0"/>
              <w:right w:val="single" w:color="auto" w:sz="8" w:space="0"/>
            </w:tcBorders>
            <w:vAlign w:val="center"/>
          </w:tcPr>
          <w:p>
            <w:pPr>
              <w:pStyle w:val="5"/>
              <w:spacing w:line="300" w:lineRule="auto"/>
              <w:ind w:firstLine="200"/>
              <w:rPr>
                <w:rFonts w:hint="eastAsia" w:hAnsi="宋体" w:eastAsia="宋体" w:cs="宋体"/>
                <w:sz w:val="24"/>
                <w:szCs w:val="24"/>
                <w:highlight w:val="none"/>
              </w:rPr>
            </w:pPr>
          </w:p>
        </w:tc>
        <w:tc>
          <w:tcPr>
            <w:tcW w:w="852"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914"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1527"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c>
          <w:tcPr>
            <w:tcW w:w="1417" w:type="dxa"/>
            <w:tcBorders>
              <w:top w:val="nil"/>
              <w:left w:val="nil"/>
              <w:bottom w:val="single" w:color="auto" w:sz="8" w:space="0"/>
              <w:right w:val="single" w:color="auto" w:sz="8" w:space="0"/>
            </w:tcBorders>
            <w:vAlign w:val="center"/>
          </w:tcPr>
          <w:p>
            <w:pPr>
              <w:spacing w:line="300" w:lineRule="auto"/>
              <w:ind w:firstLine="200"/>
              <w:rPr>
                <w:rFonts w:hint="eastAsia" w:ascii="宋体" w:hAnsi="宋体" w:eastAsia="宋体" w:cs="宋体"/>
                <w:sz w:val="24"/>
                <w:highlight w:val="none"/>
              </w:rPr>
            </w:pPr>
          </w:p>
        </w:tc>
      </w:tr>
      <w:tr>
        <w:tblPrEx>
          <w:tblCellMar>
            <w:top w:w="0" w:type="dxa"/>
            <w:left w:w="108" w:type="dxa"/>
            <w:bottom w:w="0" w:type="dxa"/>
            <w:right w:w="108" w:type="dxa"/>
          </w:tblCellMar>
        </w:tblPrEx>
        <w:trPr>
          <w:trHeight w:val="300" w:hRule="atLeast"/>
          <w:jc w:val="center"/>
        </w:trPr>
        <w:tc>
          <w:tcPr>
            <w:tcW w:w="10338" w:type="dxa"/>
            <w:gridSpan w:val="9"/>
            <w:tcBorders>
              <w:top w:val="single" w:color="auto" w:sz="8" w:space="0"/>
              <w:left w:val="single" w:color="auto" w:sz="8" w:space="0"/>
              <w:bottom w:val="single" w:color="auto" w:sz="8" w:space="0"/>
              <w:right w:val="single" w:color="000000" w:sz="8" w:space="0"/>
            </w:tcBorders>
            <w:vAlign w:val="center"/>
          </w:tcPr>
          <w:p>
            <w:pPr>
              <w:spacing w:line="300" w:lineRule="auto"/>
              <w:ind w:firstLine="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合计：</w:t>
            </w:r>
            <w:r>
              <w:rPr>
                <w:rFonts w:hint="eastAsia" w:ascii="宋体" w:hAnsi="宋体" w:eastAsia="宋体" w:cs="宋体"/>
                <w:b/>
                <w:bCs/>
                <w:sz w:val="24"/>
                <w:highlight w:val="none"/>
                <w:lang w:eastAsia="zh-CN"/>
              </w:rPr>
              <w:t>人民币（大写）：      元整（</w:t>
            </w:r>
            <w:r>
              <w:rPr>
                <w:rFonts w:ascii="宋体" w:hAnsi="宋体" w:eastAsia="宋体" w:cs="Calibri"/>
                <w:b/>
                <w:bCs/>
                <w:sz w:val="24"/>
                <w:highlight w:val="none"/>
                <w:lang w:eastAsia="zh-CN"/>
              </w:rPr>
              <w:t>¥</w:t>
            </w:r>
            <w:r>
              <w:rPr>
                <w:rFonts w:hint="eastAsia" w:ascii="宋体" w:hAnsi="宋体" w:eastAsia="宋体" w:cs="宋体"/>
                <w:b/>
                <w:bCs/>
                <w:sz w:val="24"/>
                <w:highlight w:val="none"/>
                <w:lang w:eastAsia="zh-CN"/>
              </w:rPr>
              <w:t>:</w:t>
            </w:r>
            <w:r>
              <w:rPr>
                <w:rFonts w:ascii="宋体" w:hAnsi="宋体" w:eastAsia="宋体" w:cs="宋体"/>
                <w:b/>
                <w:bCs/>
                <w:sz w:val="24"/>
                <w:highlight w:val="none"/>
                <w:lang w:eastAsia="zh-CN"/>
              </w:rPr>
              <w:t>0</w:t>
            </w:r>
            <w:r>
              <w:rPr>
                <w:rFonts w:hint="eastAsia" w:ascii="宋体" w:hAnsi="宋体" w:eastAsia="宋体" w:cs="宋体"/>
                <w:b/>
                <w:bCs/>
                <w:sz w:val="24"/>
                <w:highlight w:val="none"/>
                <w:lang w:eastAsia="zh-CN"/>
              </w:rPr>
              <w:t>.00元）</w:t>
            </w:r>
          </w:p>
        </w:tc>
      </w:tr>
    </w:tbl>
    <w:p>
      <w:pPr>
        <w:tabs>
          <w:tab w:val="left" w:pos="480"/>
        </w:tabs>
        <w:spacing w:line="300" w:lineRule="auto"/>
        <w:rPr>
          <w:rFonts w:ascii="宋体" w:hAnsi="宋体" w:eastAsia="宋体" w:cs="仿宋"/>
          <w:b/>
          <w:sz w:val="24"/>
          <w:highlight w:val="none"/>
          <w:lang w:eastAsia="zh-CN"/>
        </w:rPr>
      </w:pPr>
      <w:r>
        <w:rPr>
          <w:rFonts w:hint="eastAsia" w:ascii="宋体" w:hAnsi="宋体" w:eastAsia="宋体" w:cs="仿宋"/>
          <w:b/>
          <w:sz w:val="24"/>
          <w:highlight w:val="none"/>
          <w:lang w:eastAsia="zh-CN"/>
        </w:rPr>
        <w:t>二、合同价款</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sz w:val="24"/>
          <w:highlight w:val="none"/>
          <w:lang w:eastAsia="zh-CN"/>
        </w:rPr>
        <w:t>（一）合同</w:t>
      </w:r>
      <w:r>
        <w:rPr>
          <w:rFonts w:hint="eastAsia" w:ascii="宋体" w:hAnsi="宋体" w:eastAsia="宋体" w:cs="仿宋"/>
          <w:sz w:val="24"/>
          <w:highlight w:val="none"/>
          <w:lang w:eastAsia="zh-CN"/>
        </w:rPr>
        <w:t>总价款为人民币（大写）</w:t>
      </w:r>
      <w:r>
        <w:rPr>
          <w:rFonts w:hint="eastAsia" w:ascii="宋体" w:hAnsi="宋体" w:eastAsia="宋体" w:cs="仿宋"/>
          <w:sz w:val="24"/>
          <w:highlight w:val="none"/>
          <w:u w:val="single"/>
          <w:lang w:eastAsia="zh-CN"/>
        </w:rPr>
        <w:t xml:space="preserve">     元整（</w:t>
      </w:r>
      <w:r>
        <w:rPr>
          <w:rFonts w:ascii="宋体" w:hAnsi="宋体" w:eastAsia="宋体" w:cs="Calibri"/>
          <w:sz w:val="24"/>
          <w:highlight w:val="none"/>
          <w:u w:val="single"/>
          <w:lang w:eastAsia="zh-CN"/>
        </w:rPr>
        <w:t>¥</w:t>
      </w:r>
      <w:r>
        <w:rPr>
          <w:rFonts w:hint="eastAsia" w:ascii="宋体" w:hAnsi="宋体" w:eastAsia="宋体" w:cs="仿宋"/>
          <w:sz w:val="24"/>
          <w:highlight w:val="none"/>
          <w:u w:val="single"/>
          <w:lang w:eastAsia="zh-CN"/>
        </w:rPr>
        <w:t>:</w:t>
      </w:r>
      <w:r>
        <w:rPr>
          <w:rFonts w:ascii="宋体" w:hAnsi="宋体" w:eastAsia="宋体" w:cs="仿宋"/>
          <w:sz w:val="24"/>
          <w:highlight w:val="none"/>
          <w:u w:val="single"/>
          <w:lang w:eastAsia="zh-CN"/>
        </w:rPr>
        <w:t>0</w:t>
      </w:r>
      <w:r>
        <w:rPr>
          <w:rFonts w:hint="eastAsia" w:ascii="宋体" w:hAnsi="宋体" w:eastAsia="宋体" w:cs="仿宋"/>
          <w:sz w:val="24"/>
          <w:highlight w:val="none"/>
          <w:u w:val="single"/>
          <w:lang w:eastAsia="zh-CN"/>
        </w:rPr>
        <w:t>.00元）</w:t>
      </w:r>
      <w:r>
        <w:rPr>
          <w:rFonts w:hint="eastAsia" w:ascii="宋体" w:hAnsi="宋体" w:eastAsia="宋体" w:cs="仿宋"/>
          <w:sz w:val="24"/>
          <w:highlight w:val="none"/>
          <w:lang w:eastAsia="zh-CN"/>
        </w:rPr>
        <w:t>。</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（二）合同总价包括：货物费、运输费（含保险费）、装卸费、检测验收、税金（含关税）、培训费、技术服务及其它费用。</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（三）合同总价一次性包死，不受市场价格变化因素的影响。</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b/>
          <w:sz w:val="24"/>
          <w:highlight w:val="none"/>
          <w:lang w:eastAsia="zh-CN"/>
        </w:rPr>
        <w:t>三、款项结算</w:t>
      </w:r>
    </w:p>
    <w:p>
      <w:pPr>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合同签订后，乙方须按其投标文件中响应的供货期按时交货并提供全额合规发票保证“货票同行”，货物到达甲方指定地点，验收合格后，达到付款条件起30日内，甲方一次性支付合同总价款，即人民币（大写）</w:t>
      </w:r>
      <w:r>
        <w:rPr>
          <w:rFonts w:hint="eastAsia" w:ascii="宋体" w:hAnsi="宋体" w:eastAsia="宋体" w:cs="仿宋"/>
          <w:sz w:val="24"/>
          <w:highlight w:val="none"/>
          <w:u w:val="single"/>
          <w:lang w:eastAsia="zh-CN"/>
        </w:rPr>
        <w:t xml:space="preserve">         </w:t>
      </w:r>
      <w:r>
        <w:rPr>
          <w:rFonts w:hint="eastAsia" w:ascii="宋体" w:hAnsi="宋体" w:eastAsia="宋体" w:cs="仿宋"/>
          <w:sz w:val="24"/>
          <w:highlight w:val="none"/>
          <w:lang w:eastAsia="zh-CN"/>
        </w:rPr>
        <w:t xml:space="preserve">元整（小写：¥ </w:t>
      </w:r>
      <w:r>
        <w:rPr>
          <w:rFonts w:hint="eastAsia" w:ascii="宋体" w:hAnsi="宋体" w:eastAsia="宋体" w:cs="仿宋"/>
          <w:sz w:val="24"/>
          <w:highlight w:val="none"/>
          <w:u w:val="single"/>
          <w:lang w:eastAsia="zh-CN"/>
        </w:rPr>
        <w:t xml:space="preserve">     0.00</w:t>
      </w:r>
      <w:r>
        <w:rPr>
          <w:rFonts w:hint="eastAsia" w:ascii="宋体" w:hAnsi="宋体" w:eastAsia="宋体" w:cs="仿宋"/>
          <w:sz w:val="24"/>
          <w:highlight w:val="none"/>
          <w:lang w:eastAsia="zh-CN"/>
        </w:rPr>
        <w:t>元）。</w:t>
      </w:r>
    </w:p>
    <w:p>
      <w:pPr>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四、交货条件：</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（一）交货地点：</w:t>
      </w:r>
      <w:r>
        <w:rPr>
          <w:rFonts w:hint="eastAsia" w:ascii="宋体" w:hAnsi="宋体" w:eastAsia="宋体" w:cs="仿宋"/>
          <w:b/>
          <w:bCs/>
          <w:sz w:val="24"/>
          <w:highlight w:val="none"/>
          <w:lang w:eastAsia="zh-CN"/>
        </w:rPr>
        <w:t>西安市疾病预防控制中心指定地点</w:t>
      </w:r>
      <w:r>
        <w:rPr>
          <w:rFonts w:hint="eastAsia" w:ascii="宋体" w:hAnsi="宋体" w:eastAsia="宋体" w:cs="仿宋"/>
          <w:bCs/>
          <w:sz w:val="24"/>
          <w:highlight w:val="none"/>
          <w:lang w:eastAsia="zh-CN"/>
        </w:rPr>
        <w:t>。</w:t>
      </w:r>
    </w:p>
    <w:p>
      <w:pPr>
        <w:tabs>
          <w:tab w:val="left" w:pos="480"/>
        </w:tabs>
        <w:spacing w:line="300" w:lineRule="auto"/>
        <w:ind w:firstLine="200"/>
        <w:rPr>
          <w:rFonts w:hint="eastAsia" w:ascii="宋体" w:hAnsi="宋体" w:eastAsia="宋体" w:cs="仿宋"/>
          <w:b/>
          <w:sz w:val="24"/>
          <w:highlight w:val="none"/>
          <w:lang w:eastAsia="zh-CN"/>
        </w:rPr>
      </w:pPr>
      <w:r>
        <w:rPr>
          <w:rFonts w:hint="eastAsia" w:ascii="宋体" w:hAnsi="宋体" w:eastAsia="宋体" w:cs="仿宋"/>
          <w:sz w:val="24"/>
          <w:highlight w:val="none"/>
          <w:lang w:eastAsia="zh-CN"/>
        </w:rPr>
        <w:t>（二）供货期限：</w:t>
      </w:r>
      <w:bookmarkStart w:id="1" w:name="_Hlk180486198"/>
      <w:r>
        <w:rPr>
          <w:rFonts w:hint="eastAsia" w:ascii="宋体" w:hAnsi="宋体" w:eastAsia="宋体" w:cs="仿宋"/>
          <w:b/>
          <w:sz w:val="24"/>
          <w:highlight w:val="none"/>
          <w:lang w:eastAsia="zh-CN"/>
        </w:rPr>
        <w:t>接到采购人送货通知后，30天内送达采购人指定地点。</w:t>
      </w:r>
      <w:bookmarkEnd w:id="1"/>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五、运输</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（一）运输由乙方负责，运杂费已包含在合同总价内，包括从货物供应地点至交货地点所含的运输费、装卸费、仓储费、保险费等。</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（二）运输方式由乙方自行选择，但必须保证按期交货。</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（三）因运输产生的一切风险及质量问题均由乙方承担。</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六、质量保证</w:t>
      </w:r>
    </w:p>
    <w:p>
      <w:pPr>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七、售后服务</w:t>
      </w:r>
    </w:p>
    <w:p>
      <w:pPr>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乙方为甲方所供货物须提供以下售后服务：</w:t>
      </w:r>
    </w:p>
    <w:p>
      <w:pPr>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一）人类免疫缺陷病毒(HIV)抗体诊断试剂1（酶联免疫法）、人类免疫缺陷病毒(HIV)抗体诊断试剂2（酶联免疫法）、丙型肝炎病毒（HCV）抗体诊断试剂1、丙型肝炎病毒（HCV）抗体诊断试剂2（酶联免疫法）试剂到交货地点的有效期≥10个月；CD4+T淋巴细胞检测试剂、丙型肝炎病毒（HCV）抗体快速检测试剂试剂到交货地点的有效期≥12个月。</w:t>
      </w:r>
      <w:bookmarkStart w:id="2" w:name="_GoBack"/>
      <w:bookmarkEnd w:id="2"/>
    </w:p>
    <w:p>
      <w:pPr>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（二）在质量保证期内，乙方对由于设计、工艺或材料的缺陷或运输、保存而产生的事故负责（负责解决并承担全部费用）。</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八、技术与服务</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（一）技术资料：</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1.操作使用说明和保存条件。</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2.制造厂商的检验、测试报告、检验合格证书，质量保证书等文件须验收时一并提供。</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3.货物验收标准。</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4.使用说明书。</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5.必须的其它技术资料。</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6.合同中要求的其他文件资料。</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（二）培训要求：验收后，乙方需为甲方培训操作使用技术人员二名，提高操作培训二名，培训服务以受培训人员熟练掌握相应技能为原则。</w:t>
      </w:r>
    </w:p>
    <w:p>
      <w:pPr>
        <w:tabs>
          <w:tab w:val="left" w:pos="480"/>
        </w:tabs>
        <w:spacing w:line="300" w:lineRule="auto"/>
        <w:rPr>
          <w:rFonts w:hint="eastAsia" w:ascii="宋体" w:hAnsi="宋体" w:eastAsia="宋体" w:cs="仿宋"/>
          <w:bCs/>
          <w:sz w:val="24"/>
          <w:highlight w:val="none"/>
          <w:lang w:eastAsia="zh-CN"/>
        </w:rPr>
      </w:pPr>
      <w:r>
        <w:rPr>
          <w:rFonts w:hint="eastAsia" w:ascii="宋体" w:hAnsi="宋体" w:eastAsia="宋体" w:cs="仿宋"/>
          <w:bCs/>
          <w:sz w:val="24"/>
          <w:highlight w:val="none"/>
          <w:lang w:eastAsia="zh-CN"/>
        </w:rPr>
        <w:t>（三）服务承诺：以投标文件、澄清表（函）、合同和随货物的相关文件为准。</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九、验收</w:t>
      </w:r>
    </w:p>
    <w:p>
      <w:pPr>
        <w:tabs>
          <w:tab w:val="left" w:pos="480"/>
        </w:tabs>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由甲方和乙方共同对货物进行验收。其内容包括确认货物的包装、产地、规格、型号和数量，对其货物技术指标、性能参数进行逐项核验。</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1.验收货物的指标、性能参数通过验收达到合同要求，或出现甲方不能正常使用的情况，将视为验收不合格，乙方应及时更换或退货。</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2.若发现乙方有弄虚作假的，故意或随意夸大货物技术性能，甲方除要求退货外，有权要求乙方赔偿甲方相应的损失。</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3.验收标准：按合同文件及澄清等技术指标进行验收。货物的各项指标均应符合验收标准及要求。</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 xml:space="preserve">4.验收合格后，填写验收单，甲方签字后生效。 </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 xml:space="preserve">5.验收依据 </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5.1本合同文本：</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5.2国家和行业制定的相应的标准和规范。</w:t>
      </w:r>
    </w:p>
    <w:p>
      <w:pPr>
        <w:tabs>
          <w:tab w:val="left" w:pos="480"/>
        </w:tabs>
        <w:spacing w:line="30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5.3验收清单（注明品名、数量、价格、规格型号、产地和生产厂家）。</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十、违约责任</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（一）按《民法典》中的相关条款执行。</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pPr>
        <w:tabs>
          <w:tab w:val="left" w:pos="480"/>
        </w:tabs>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1.乙方赔偿甲方解除合同的全部损失（包括但不限于重新采购产生的费用、合同未履行导致货物不能按规划交付使用可能产生的由此造成的甲方对第三方的违约损失）；</w:t>
      </w:r>
    </w:p>
    <w:p>
      <w:pPr>
        <w:tabs>
          <w:tab w:val="left" w:pos="480"/>
        </w:tabs>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2.乙方支付甲方违约金，违约金计算方法：以合同总价为基数，支付甲方合同总价的30%为违约金。同时对乙方的违约行为报监管机构进行相应的处罚。</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十一、合同争议解决的方式</w:t>
      </w:r>
    </w:p>
    <w:p>
      <w:pPr>
        <w:tabs>
          <w:tab w:val="left" w:pos="480"/>
        </w:tabs>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本合同在履行过程中发生的争议，由甲、乙双方当事人协商解决，协商不成的依法向甲方所在地人民法院起诉。</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十二、合同生效</w:t>
      </w:r>
    </w:p>
    <w:p>
      <w:pPr>
        <w:tabs>
          <w:tab w:val="left" w:pos="480"/>
        </w:tabs>
        <w:spacing w:line="300" w:lineRule="auto"/>
        <w:ind w:firstLine="480" w:firstLineChars="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本合同一式</w:t>
      </w:r>
      <w:r>
        <w:rPr>
          <w:rFonts w:hint="eastAsia" w:ascii="宋体" w:hAnsi="宋体" w:eastAsia="宋体" w:cs="仿宋"/>
          <w:b/>
          <w:bCs/>
          <w:sz w:val="24"/>
          <w:highlight w:val="none"/>
          <w:u w:val="single"/>
          <w:lang w:eastAsia="zh-CN"/>
        </w:rPr>
        <w:t>柒</w:t>
      </w:r>
      <w:r>
        <w:rPr>
          <w:rFonts w:hint="eastAsia" w:ascii="宋体" w:hAnsi="宋体" w:eastAsia="宋体" w:cs="仿宋"/>
          <w:sz w:val="24"/>
          <w:highlight w:val="none"/>
          <w:lang w:eastAsia="zh-CN"/>
        </w:rPr>
        <w:t>份，甲方</w:t>
      </w:r>
      <w:r>
        <w:rPr>
          <w:rFonts w:hint="eastAsia" w:ascii="宋体" w:hAnsi="宋体" w:eastAsia="宋体" w:cs="仿宋"/>
          <w:b/>
          <w:bCs/>
          <w:sz w:val="24"/>
          <w:highlight w:val="none"/>
          <w:u w:val="single"/>
          <w:lang w:eastAsia="zh-CN"/>
        </w:rPr>
        <w:t>伍</w:t>
      </w:r>
      <w:r>
        <w:rPr>
          <w:rFonts w:hint="eastAsia" w:ascii="宋体" w:hAnsi="宋体" w:eastAsia="宋体" w:cs="仿宋"/>
          <w:sz w:val="24"/>
          <w:highlight w:val="none"/>
          <w:lang w:eastAsia="zh-CN"/>
        </w:rPr>
        <w:t>份，乙方</w:t>
      </w:r>
      <w:r>
        <w:rPr>
          <w:rFonts w:hint="eastAsia" w:ascii="宋体" w:hAnsi="宋体" w:eastAsia="宋体" w:cs="仿宋"/>
          <w:b/>
          <w:bCs/>
          <w:sz w:val="24"/>
          <w:highlight w:val="none"/>
          <w:u w:val="single"/>
          <w:lang w:eastAsia="zh-CN"/>
        </w:rPr>
        <w:t>壹</w:t>
      </w:r>
      <w:r>
        <w:rPr>
          <w:rFonts w:hint="eastAsia" w:ascii="宋体" w:hAnsi="宋体" w:eastAsia="宋体" w:cs="仿宋"/>
          <w:sz w:val="24"/>
          <w:highlight w:val="none"/>
          <w:lang w:eastAsia="zh-CN"/>
        </w:rPr>
        <w:t>份，鉴证方</w:t>
      </w:r>
      <w:r>
        <w:rPr>
          <w:rFonts w:hint="eastAsia" w:ascii="宋体" w:hAnsi="宋体" w:eastAsia="宋体" w:cs="仿宋"/>
          <w:b/>
          <w:sz w:val="24"/>
          <w:highlight w:val="none"/>
          <w:u w:val="single"/>
          <w:lang w:eastAsia="zh-CN"/>
        </w:rPr>
        <w:t>壹</w:t>
      </w:r>
      <w:r>
        <w:rPr>
          <w:rFonts w:hint="eastAsia" w:ascii="宋体" w:hAnsi="宋体" w:eastAsia="宋体" w:cs="仿宋"/>
          <w:sz w:val="24"/>
          <w:highlight w:val="none"/>
          <w:lang w:eastAsia="zh-CN"/>
        </w:rPr>
        <w:t>份，本合同经甲方、乙方和鉴证方签字盖章后生效，质保期结束后，自动终止（但合同的服务承诺除外）。</w:t>
      </w:r>
    </w:p>
    <w:p>
      <w:pPr>
        <w:tabs>
          <w:tab w:val="left" w:pos="480"/>
        </w:tabs>
        <w:spacing w:line="300" w:lineRule="auto"/>
        <w:rPr>
          <w:rFonts w:hint="eastAsia" w:ascii="宋体" w:hAnsi="宋体" w:eastAsia="宋体" w:cs="仿宋"/>
          <w:b/>
          <w:sz w:val="24"/>
          <w:highlight w:val="none"/>
          <w:lang w:eastAsia="zh-CN"/>
        </w:rPr>
      </w:pPr>
      <w:r>
        <w:rPr>
          <w:rFonts w:hint="eastAsia" w:ascii="宋体" w:hAnsi="宋体" w:eastAsia="宋体" w:cs="仿宋"/>
          <w:b/>
          <w:sz w:val="24"/>
          <w:highlight w:val="none"/>
          <w:lang w:eastAsia="zh-CN"/>
        </w:rPr>
        <w:t>十三、其他事项</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（一）西安市财政局政府采购管理处在合同的履行期间以及履行期后，可以随时检查项目的执行情况，对采购内容、标准进行调查核实，并对发现的问题进行处理。</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（二）招标文件、投标文件、澄清表（函）、中标通知书、合同附件均成为合同不可分割的部分。</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（三）合同未尽事宜，由甲、乙双方协商，经见证方确认后，签订补充协议，与原合同具有同等法律效力。</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（四）合同一经签订，不得擅自变更、中止或终止合同。对确需变更、调整或中止、终止合同的，有法律规定的按照法律规定，除合同约定外，由甲乙双方再行协商，协商一致前，原合同或条款继续履行。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（五）本合同按照中华人民共和国的现行法律进行解释。</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（六）本合同附件作为本合同的组成部分，与本合同具有同等法律效力。</w:t>
      </w:r>
    </w:p>
    <w:p>
      <w:pPr>
        <w:tabs>
          <w:tab w:val="left" w:pos="480"/>
        </w:tabs>
        <w:spacing w:line="300" w:lineRule="auto"/>
        <w:ind w:firstLine="200"/>
        <w:rPr>
          <w:rFonts w:hint="eastAsia" w:ascii="宋体" w:hAnsi="宋体" w:eastAsia="宋体" w:cs="仿宋"/>
          <w:sz w:val="24"/>
          <w:highlight w:val="none"/>
          <w:lang w:eastAsia="zh-CN"/>
        </w:rPr>
      </w:pPr>
      <w:r>
        <w:rPr>
          <w:rFonts w:hint="eastAsia" w:ascii="宋体" w:hAnsi="宋体" w:eastAsia="宋体" w:cs="仿宋"/>
          <w:sz w:val="24"/>
          <w:highlight w:val="none"/>
        </w:rPr>
        <w:t>（以下无正文）</w:t>
      </w:r>
    </w:p>
    <w:tbl>
      <w:tblPr>
        <w:tblStyle w:val="7"/>
        <w:tblW w:w="0" w:type="auto"/>
        <w:tblInd w:w="0" w:type="dxa"/>
        <w:tblLayout w:type="autofit"/>
        <w:tblCellMar>
          <w:top w:w="0" w:type="dxa"/>
          <w:left w:w="108" w:type="dxa"/>
          <w:bottom w:w="0" w:type="dxa"/>
          <w:right w:w="108" w:type="dxa"/>
        </w:tblCellMar>
      </w:tblPr>
      <w:tblGrid>
        <w:gridCol w:w="4657"/>
        <w:gridCol w:w="4655"/>
      </w:tblGrid>
      <w:tr>
        <w:tblPrEx>
          <w:tblCellMar>
            <w:top w:w="0" w:type="dxa"/>
            <w:left w:w="108" w:type="dxa"/>
            <w:bottom w:w="0" w:type="dxa"/>
            <w:right w:w="108" w:type="dxa"/>
          </w:tblCellMar>
        </w:tblPrEx>
        <w:tc>
          <w:tcPr>
            <w:tcW w:w="4657"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甲  方（法人公章）</w:t>
            </w:r>
          </w:p>
        </w:tc>
        <w:tc>
          <w:tcPr>
            <w:tcW w:w="4655"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乙  方（法人公章）</w:t>
            </w:r>
          </w:p>
        </w:tc>
      </w:tr>
      <w:tr>
        <w:tblPrEx>
          <w:tblCellMar>
            <w:top w:w="0" w:type="dxa"/>
            <w:left w:w="108" w:type="dxa"/>
            <w:bottom w:w="0" w:type="dxa"/>
            <w:right w:w="108" w:type="dxa"/>
          </w:tblCellMar>
        </w:tblPrEx>
        <w:tc>
          <w:tcPr>
            <w:tcW w:w="4657" w:type="dxa"/>
            <w:vAlign w:val="center"/>
          </w:tcPr>
          <w:p>
            <w:pPr>
              <w:tabs>
                <w:tab w:val="left" w:pos="480"/>
              </w:tabs>
              <w:spacing w:line="36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单位名称：西安市疾病预防控制中心</w:t>
            </w:r>
          </w:p>
        </w:tc>
        <w:tc>
          <w:tcPr>
            <w:tcW w:w="4655" w:type="dxa"/>
            <w:vAlign w:val="center"/>
          </w:tcPr>
          <w:p>
            <w:pPr>
              <w:tabs>
                <w:tab w:val="left" w:pos="480"/>
              </w:tabs>
              <w:spacing w:line="36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 xml:space="preserve">单位名称:      </w:t>
            </w:r>
          </w:p>
        </w:tc>
      </w:tr>
      <w:tr>
        <w:tblPrEx>
          <w:tblCellMar>
            <w:top w:w="0" w:type="dxa"/>
            <w:left w:w="108" w:type="dxa"/>
            <w:bottom w:w="0" w:type="dxa"/>
            <w:right w:w="108" w:type="dxa"/>
          </w:tblCellMar>
        </w:tblPrEx>
        <w:tc>
          <w:tcPr>
            <w:tcW w:w="4657" w:type="dxa"/>
            <w:vAlign w:val="center"/>
          </w:tcPr>
          <w:p>
            <w:pPr>
              <w:tabs>
                <w:tab w:val="left" w:pos="480"/>
              </w:tabs>
              <w:spacing w:line="36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地  址：西安市雁塔区西影路599号</w:t>
            </w:r>
          </w:p>
        </w:tc>
        <w:tc>
          <w:tcPr>
            <w:tcW w:w="4655"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 xml:space="preserve">地址：    </w:t>
            </w:r>
          </w:p>
        </w:tc>
      </w:tr>
      <w:tr>
        <w:tblPrEx>
          <w:tblCellMar>
            <w:top w:w="0" w:type="dxa"/>
            <w:left w:w="108" w:type="dxa"/>
            <w:bottom w:w="0" w:type="dxa"/>
            <w:right w:w="108" w:type="dxa"/>
          </w:tblCellMar>
        </w:tblPrEx>
        <w:trPr>
          <w:trHeight w:val="579" w:hRule="atLeast"/>
        </w:trPr>
        <w:tc>
          <w:tcPr>
            <w:tcW w:w="4657" w:type="dxa"/>
            <w:vAlign w:val="center"/>
          </w:tcPr>
          <w:p>
            <w:pPr>
              <w:tabs>
                <w:tab w:val="left" w:pos="480"/>
              </w:tabs>
              <w:spacing w:line="36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法定代表人：（签字）</w:t>
            </w:r>
          </w:p>
        </w:tc>
        <w:tc>
          <w:tcPr>
            <w:tcW w:w="4655" w:type="dxa"/>
            <w:vAlign w:val="center"/>
          </w:tcPr>
          <w:p>
            <w:pPr>
              <w:tabs>
                <w:tab w:val="left" w:pos="480"/>
              </w:tabs>
              <w:spacing w:line="360" w:lineRule="auto"/>
              <w:rPr>
                <w:rFonts w:hint="eastAsia" w:ascii="宋体" w:hAnsi="宋体" w:eastAsia="宋体" w:cs="仿宋"/>
                <w:sz w:val="24"/>
                <w:highlight w:val="none"/>
                <w:lang w:eastAsia="zh-CN"/>
              </w:rPr>
            </w:pPr>
            <w:r>
              <w:rPr>
                <w:rFonts w:hint="eastAsia" w:ascii="宋体" w:hAnsi="宋体" w:eastAsia="宋体" w:cs="仿宋"/>
                <w:sz w:val="24"/>
                <w:highlight w:val="none"/>
                <w:lang w:eastAsia="zh-CN"/>
              </w:rPr>
              <w:t>法定代表人或代理人：（签字）</w:t>
            </w:r>
          </w:p>
        </w:tc>
      </w:tr>
      <w:tr>
        <w:tblPrEx>
          <w:tblCellMar>
            <w:top w:w="0" w:type="dxa"/>
            <w:left w:w="108" w:type="dxa"/>
            <w:bottom w:w="0" w:type="dxa"/>
            <w:right w:w="108" w:type="dxa"/>
          </w:tblCellMar>
        </w:tblPrEx>
        <w:tc>
          <w:tcPr>
            <w:tcW w:w="4657" w:type="dxa"/>
            <w:vAlign w:val="center"/>
          </w:tcPr>
          <w:p>
            <w:pPr>
              <w:tabs>
                <w:tab w:val="left" w:pos="480"/>
              </w:tabs>
              <w:spacing w:line="360" w:lineRule="auto"/>
              <w:rPr>
                <w:rFonts w:hint="eastAsia" w:ascii="宋体" w:hAnsi="宋体" w:eastAsia="宋体" w:cs="仿宋"/>
                <w:sz w:val="24"/>
                <w:highlight w:val="none"/>
                <w:lang w:eastAsia="zh-CN"/>
              </w:rPr>
            </w:pPr>
          </w:p>
        </w:tc>
        <w:tc>
          <w:tcPr>
            <w:tcW w:w="4655" w:type="dxa"/>
            <w:vAlign w:val="center"/>
          </w:tcPr>
          <w:p>
            <w:pPr>
              <w:rPr>
                <w:rFonts w:eastAsiaTheme="minorEastAsia"/>
                <w:highlight w:val="none"/>
                <w:lang w:eastAsia="zh-CN"/>
              </w:rPr>
            </w:pPr>
          </w:p>
          <w:p>
            <w:pPr>
              <w:pStyle w:val="6"/>
              <w:spacing w:line="360" w:lineRule="auto"/>
              <w:jc w:val="both"/>
              <w:rPr>
                <w:rFonts w:ascii="宋体" w:hAnsi="宋体"/>
                <w:sz w:val="24"/>
                <w:szCs w:val="24"/>
                <w:highlight w:val="none"/>
                <w:lang w:eastAsia="zh-CN"/>
              </w:rPr>
            </w:pPr>
          </w:p>
          <w:p>
            <w:pPr>
              <w:spacing w:line="360" w:lineRule="auto"/>
              <w:rPr>
                <w:rFonts w:hint="eastAsia" w:ascii="宋体" w:hAnsi="宋体" w:eastAsia="宋体" w:cs="仿宋"/>
                <w:sz w:val="24"/>
                <w:highlight w:val="none"/>
              </w:rPr>
            </w:pPr>
            <w:r>
              <w:rPr>
                <w:rFonts w:hint="eastAsia" w:ascii="宋体" w:hAnsi="宋体" w:eastAsia="宋体" w:cs="仿宋"/>
                <w:sz w:val="24"/>
                <w:highlight w:val="none"/>
              </w:rPr>
              <w:t xml:space="preserve">开户银行:    </w:t>
            </w:r>
          </w:p>
        </w:tc>
      </w:tr>
      <w:tr>
        <w:tblPrEx>
          <w:tblCellMar>
            <w:top w:w="0" w:type="dxa"/>
            <w:left w:w="108" w:type="dxa"/>
            <w:bottom w:w="0" w:type="dxa"/>
            <w:right w:w="108" w:type="dxa"/>
          </w:tblCellMar>
        </w:tblPrEx>
        <w:trPr>
          <w:trHeight w:val="507" w:hRule="atLeast"/>
        </w:trPr>
        <w:tc>
          <w:tcPr>
            <w:tcW w:w="4657" w:type="dxa"/>
            <w:vAlign w:val="center"/>
          </w:tcPr>
          <w:p>
            <w:pPr>
              <w:pStyle w:val="2"/>
              <w:rPr>
                <w:highlight w:val="none"/>
              </w:rPr>
            </w:pPr>
          </w:p>
          <w:p>
            <w:pPr>
              <w:rPr>
                <w:highlight w:val="none"/>
              </w:rPr>
            </w:pPr>
          </w:p>
        </w:tc>
        <w:tc>
          <w:tcPr>
            <w:tcW w:w="4655"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 xml:space="preserve">帐    号：     </w:t>
            </w:r>
          </w:p>
        </w:tc>
      </w:tr>
      <w:tr>
        <w:tblPrEx>
          <w:tblCellMar>
            <w:top w:w="0" w:type="dxa"/>
            <w:left w:w="108" w:type="dxa"/>
            <w:bottom w:w="0" w:type="dxa"/>
            <w:right w:w="108" w:type="dxa"/>
          </w:tblCellMar>
        </w:tblPrEx>
        <w:trPr>
          <w:trHeight w:val="663" w:hRule="atLeast"/>
        </w:trPr>
        <w:tc>
          <w:tcPr>
            <w:tcW w:w="4657"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签订日期：     年   月  日</w:t>
            </w:r>
          </w:p>
        </w:tc>
        <w:tc>
          <w:tcPr>
            <w:tcW w:w="4655" w:type="dxa"/>
            <w:vAlign w:val="center"/>
          </w:tcPr>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签订日期：   年   月   日</w:t>
            </w:r>
          </w:p>
        </w:tc>
      </w:tr>
    </w:tbl>
    <w:p>
      <w:pPr>
        <w:pStyle w:val="6"/>
        <w:spacing w:line="360" w:lineRule="auto"/>
        <w:jc w:val="both"/>
        <w:rPr>
          <w:rFonts w:ascii="宋体" w:hAnsi="宋体" w:cs="仿宋"/>
          <w:sz w:val="24"/>
          <w:szCs w:val="24"/>
          <w:highlight w:val="none"/>
        </w:rPr>
      </w:pPr>
    </w:p>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鉴证方（法人公章）</w:t>
      </w:r>
    </w:p>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 xml:space="preserve">单位名称：     </w:t>
      </w:r>
    </w:p>
    <w:p>
      <w:pPr>
        <w:tabs>
          <w:tab w:val="left" w:pos="480"/>
        </w:tabs>
        <w:spacing w:line="360" w:lineRule="auto"/>
        <w:rPr>
          <w:rFonts w:hint="eastAsia" w:ascii="宋体" w:hAnsi="宋体" w:eastAsia="宋体" w:cs="仿宋"/>
          <w:sz w:val="24"/>
          <w:highlight w:val="none"/>
        </w:rPr>
      </w:pPr>
      <w:r>
        <w:rPr>
          <w:rFonts w:hint="eastAsia" w:ascii="宋体" w:hAnsi="宋体" w:eastAsia="宋体" w:cs="仿宋"/>
          <w:sz w:val="24"/>
          <w:highlight w:val="none"/>
        </w:rPr>
        <w:t>代 理 人：             （签字）</w:t>
      </w:r>
    </w:p>
    <w:p>
      <w:pPr>
        <w:pStyle w:val="5"/>
        <w:spacing w:line="360" w:lineRule="auto"/>
        <w:rPr>
          <w:ins w:id="0" w:author="标典律师" w:date="2018-12-30T11:56:00Z"/>
          <w:rFonts w:hint="eastAsia" w:hAnsi="宋体" w:eastAsia="宋体" w:cs="仿宋"/>
          <w:sz w:val="24"/>
          <w:szCs w:val="24"/>
          <w:highlight w:val="none"/>
        </w:rPr>
      </w:pPr>
      <w:r>
        <w:rPr>
          <w:rFonts w:hint="eastAsia" w:hAnsi="宋体" w:eastAsia="宋体" w:cs="仿宋"/>
          <w:sz w:val="24"/>
          <w:szCs w:val="24"/>
          <w:highlight w:val="none"/>
        </w:rPr>
        <w:t>签订日期：     年   月   日</w:t>
      </w:r>
    </w:p>
    <w:bookmarkEnd w:id="0"/>
    <w:p>
      <w:pPr>
        <w:spacing w:line="360" w:lineRule="auto"/>
        <w:ind w:firstLine="420" w:firstLineChars="200"/>
        <w:rPr>
          <w:rFonts w:eastAsiaTheme="minorEastAsia"/>
          <w:highlight w:val="none"/>
          <w:lang w:eastAsia="zh-CN"/>
        </w:rPr>
      </w:pPr>
    </w:p>
    <w:p>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7"/>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360" w:lineRule="auto"/>
              <w:jc w:val="center"/>
              <w:rPr>
                <w:rFonts w:ascii="宋体" w:hAnsi="宋体"/>
                <w:bCs/>
                <w:sz w:val="24"/>
              </w:rPr>
            </w:pPr>
            <w:r>
              <w:rPr>
                <w:rFonts w:hint="eastAsia" w:ascii="宋体" w:hAnsi="宋体"/>
                <w:bCs/>
                <w:sz w:val="24"/>
              </w:rPr>
              <w:t>单价</w:t>
            </w:r>
          </w:p>
          <w:p>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360" w:lineRule="auto"/>
              <w:jc w:val="center"/>
              <w:rPr>
                <w:rFonts w:ascii="宋体" w:hAnsi="宋体"/>
                <w:bCs/>
                <w:sz w:val="24"/>
              </w:rPr>
            </w:pPr>
            <w:r>
              <w:rPr>
                <w:rFonts w:hint="eastAsia" w:ascii="宋体" w:hAnsi="宋体"/>
                <w:bCs/>
                <w:sz w:val="24"/>
              </w:rPr>
              <w:t>合计</w:t>
            </w:r>
          </w:p>
          <w:p>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360" w:lineRule="auto"/>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pPr>
              <w:spacing w:line="360" w:lineRule="auto"/>
              <w:jc w:val="center"/>
              <w:rPr>
                <w:rFonts w:ascii="宋体" w:hAnsi="宋体"/>
                <w:bCs/>
                <w:sz w:val="24"/>
                <w:lang w:eastAsia="zh-CN"/>
              </w:rPr>
            </w:pPr>
            <w:r>
              <w:rPr>
                <w:rFonts w:hint="eastAsia" w:ascii="宋体" w:hAnsi="宋体"/>
                <w:sz w:val="24"/>
                <w:lang w:eastAsia="zh-CN"/>
              </w:rPr>
              <w:t xml:space="preserve">         </w:t>
            </w:r>
          </w:p>
        </w:tc>
      </w:tr>
    </w:tbl>
    <w:p>
      <w:pPr>
        <w:spacing w:line="360" w:lineRule="auto"/>
        <w:rPr>
          <w:rFonts w:ascii="宋体" w:hAnsi="宋体"/>
          <w:b/>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附件2 性能参数表</w:t>
      </w:r>
    </w:p>
    <w:p>
      <w:pPr>
        <w:spacing w:line="360" w:lineRule="auto"/>
        <w:rPr>
          <w:rFonts w:ascii="宋体" w:hAnsi="宋体"/>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附件3 配置清单</w:t>
      </w:r>
    </w:p>
    <w:p>
      <w:pPr>
        <w:keepLines/>
        <w:kinsoku/>
        <w:wordWrap w:val="0"/>
        <w:topLinePunct/>
        <w:autoSpaceDE/>
        <w:autoSpaceDN/>
        <w:spacing w:line="360" w:lineRule="auto"/>
        <w:ind w:right="48"/>
        <w:rPr>
          <w:rFonts w:hint="eastAsia" w:ascii="宋体" w:hAnsi="宋体" w:eastAsia="宋体" w:cs="宋体"/>
          <w:sz w:val="24"/>
          <w:szCs w:val="24"/>
          <w:lang w:eastAsia="zh-CN"/>
        </w:rPr>
      </w:pPr>
    </w:p>
    <w:p>
      <w:pPr>
        <w:pStyle w:val="2"/>
        <w:rPr>
          <w:rFonts w:eastAsiaTheme="minorEastAsia"/>
          <w:lang w:eastAsia="zh-CN"/>
        </w:rPr>
      </w:pPr>
    </w:p>
    <w:p>
      <w:pPr>
        <w:rPr>
          <w:rFonts w:eastAsiaTheme="minorEastAsia"/>
          <w:lang w:eastAsia="zh-CN"/>
        </w:rPr>
      </w:pPr>
    </w:p>
    <w:p/>
    <w:sectPr>
      <w:footerReference r:id="rId3" w:type="default"/>
      <w:pgSz w:w="11900" w:h="16840"/>
      <w:pgMar w:top="1440" w:right="1080" w:bottom="1440" w:left="1080" w:header="0" w:footer="110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Theme="minorEastAsia" w:hAnsiTheme="minorEastAsia" w:eastAsiaTheme="minorEastAsia"/>
        <w:lang w:eastAsia="zh-CN"/>
      </w:rPr>
    </w:pPr>
    <w:r>
      <w:rPr>
        <w:rFonts w:hint="eastAsia" w:cs="微软雅黑" w:asciiTheme="minorEastAsia" w:hAnsiTheme="minorEastAsia" w:eastAsiaTheme="minorEastAsia"/>
        <w:lang w:eastAsia="zh-CN"/>
      </w:rPr>
      <w:t>陕西开源招标有限公司</w:t>
    </w:r>
    <w:r>
      <w:rPr>
        <w:rFonts w:asciiTheme="minorEastAsia" w:hAnsiTheme="minorEastAsia" w:eastAsiaTheme="minorEastAsia"/>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45</w:t>
                    </w:r>
                    <w:r>
                      <w:fldChar w:fldCharType="end"/>
                    </w:r>
                    <w:r>
                      <w:t xml:space="preserve"> 页</w:t>
                    </w:r>
                  </w:p>
                </w:txbxContent>
              </v:textbox>
            </v:shape>
          </w:pict>
        </mc:Fallback>
      </mc:AlternateContent>
    </w:r>
    <w:r>
      <w:rPr>
        <w:sz w:val="2"/>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45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45</w:t>
                    </w:r>
                    <w:r>
                      <w:fldChar w:fldCharType="end"/>
                    </w:r>
                    <w:r>
                      <w:t xml:space="preserve"> 页</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879d37d7-e661-4ba2-848e-6366d4b788d6"/>
  </w:docVars>
  <w:rsids>
    <w:rsidRoot w:val="4A8867DC"/>
    <w:rsid w:val="4A88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9"/>
    <w:pPr>
      <w:spacing w:line="360" w:lineRule="auto"/>
      <w:ind w:firstLine="480"/>
      <w:outlineLvl w:val="0"/>
    </w:pPr>
    <w:rPr>
      <w:rFonts w:ascii="微软雅黑" w:hAnsi="微软雅黑" w:eastAsia="微软雅黑"/>
      <w:b/>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4">
    <w:name w:val="annotation text"/>
    <w:basedOn w:val="1"/>
    <w:qFormat/>
    <w:uiPriority w:val="0"/>
  </w:style>
  <w:style w:type="paragraph" w:styleId="5">
    <w:name w:val="Plain Text"/>
    <w:basedOn w:val="1"/>
    <w:qFormat/>
    <w:uiPriority w:val="99"/>
    <w:rPr>
      <w:rFonts w:ascii="宋体" w:hAnsi="Courier New" w:cs="Courier New"/>
    </w:rPr>
  </w:style>
  <w:style w:type="paragraph" w:styleId="6">
    <w:name w:val="footer"/>
    <w:basedOn w:val="1"/>
    <w:qFormat/>
    <w:uiPriority w:val="99"/>
    <w:pPr>
      <w:tabs>
        <w:tab w:val="center" w:pos="4153"/>
        <w:tab w:val="right" w:pos="8306"/>
      </w:tabs>
    </w:pPr>
    <w:rPr>
      <w:sz w:val="18"/>
    </w:rPr>
  </w:style>
  <w:style w:type="character" w:styleId="9">
    <w:name w:val="annotation reference"/>
    <w:basedOn w:val="8"/>
    <w:qFormat/>
    <w:uiPriority w:val="0"/>
    <w:rPr>
      <w:sz w:val="21"/>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2024-10-29T08:02:00Z</dcterms:created>
  <dc:creator>疯子1977</dc:creator>
  <cp:lastModifiedBy>疯子1977</cp:lastModifiedBy>
  <dcterms:modified xsi:type="dcterms:W3CDTF">2024-10-29T08:02:57Z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8629BD0C16FE4566B614A4C66750323A_11</vt:lpwstr>
  </property>
</Properties>
</file>