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两轮踏板警用摩托车采购项目</w:t>
      </w:r>
    </w:p>
    <w:p>
      <w:pPr>
        <w:pStyle w:val="null3"/>
        <w:jc w:val="center"/>
        <w:outlineLvl w:val="2"/>
      </w:pPr>
      <w:r>
        <w:rPr>
          <w:sz w:val="28"/>
          <w:b/>
        </w:rPr>
        <w:t>采购项目编号：</w:t>
      </w:r>
      <w:r>
        <w:rPr>
          <w:sz w:val="28"/>
          <w:b/>
        </w:rPr>
        <w:t>SDZC2024-294</w:t>
      </w:r>
      <w:r>
        <w:br/>
      </w:r>
      <w:r>
        <w:br/>
      </w:r>
      <w:r>
        <w:br/>
      </w:r>
    </w:p>
    <w:p>
      <w:pPr>
        <w:pStyle w:val="null3"/>
        <w:jc w:val="center"/>
        <w:outlineLvl w:val="2"/>
      </w:pPr>
      <w:r>
        <w:rPr>
          <w:sz w:val="28"/>
          <w:b/>
        </w:rPr>
        <w:t>西安市公安局交通警察支队</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西安市公安局交通警察支队</w:t>
      </w:r>
      <w:r>
        <w:rPr/>
        <w:t>委托，拟对</w:t>
      </w:r>
      <w:r>
        <w:rPr/>
        <w:t>两轮踏板警用摩托车采购项目</w:t>
      </w:r>
      <w:r>
        <w:rPr/>
        <w:t>进行国内公开招标，兹邀请符合本次招标要求的供应商参加投标。</w:t>
      </w:r>
    </w:p>
    <w:p>
      <w:pPr>
        <w:pStyle w:val="null3"/>
        <w:outlineLvl w:val="2"/>
      </w:pPr>
      <w:r>
        <w:rPr>
          <w:sz w:val="28"/>
          <w:b/>
        </w:rPr>
        <w:t>一、采购项目编号：</w:t>
      </w:r>
      <w:r>
        <w:rPr>
          <w:sz w:val="28"/>
          <w:b/>
        </w:rPr>
        <w:t>SDZC2024-294</w:t>
      </w:r>
    </w:p>
    <w:p>
      <w:pPr>
        <w:pStyle w:val="null3"/>
        <w:outlineLvl w:val="2"/>
      </w:pPr>
      <w:r>
        <w:rPr>
          <w:sz w:val="28"/>
          <w:b/>
        </w:rPr>
        <w:t>二、采购项目名称：</w:t>
      </w:r>
      <w:r>
        <w:rPr>
          <w:sz w:val="28"/>
          <w:b/>
        </w:rPr>
        <w:t>两轮踏板警用摩托车采购项目</w:t>
      </w:r>
    </w:p>
    <w:p>
      <w:pPr>
        <w:pStyle w:val="null3"/>
        <w:outlineLvl w:val="2"/>
      </w:pPr>
      <w:r>
        <w:rPr>
          <w:sz w:val="28"/>
          <w:b/>
        </w:rPr>
        <w:t>三、招标项目简介</w:t>
      </w:r>
    </w:p>
    <w:p>
      <w:pPr>
        <w:pStyle w:val="null3"/>
        <w:ind w:firstLine="480"/>
      </w:pPr>
      <w:r>
        <w:rPr/>
        <w:t>两轮踏板警用摩托车采购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信用信息：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崔蕾</w:t>
      </w:r>
    </w:p>
    <w:p>
      <w:pPr>
        <w:pStyle w:val="null3"/>
      </w:pPr>
      <w:r>
        <w:rPr/>
        <w:t xml:space="preserve"> 联系电话： </w:t>
      </w:r>
      <w:r>
        <w:rPr/>
        <w:t>029-86755037</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029-86518381、029-89299829、029-89293231 转8011</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西安市公安局交通警察支队</w:t>
      </w:r>
      <w:r>
        <w:rPr/>
        <w:t>和</w:t>
      </w:r>
      <w:r>
        <w:rPr/>
        <w:t>陕西上德招标有限公司</w:t>
      </w:r>
      <w:r>
        <w:rPr/>
        <w:t>享有。对招标文件中供应商参加本次政府采购活动应当具备的条件，招标项目技术、服务、商务及其他要求，评标细则及标准由</w:t>
      </w:r>
      <w:r>
        <w:rPr/>
        <w:t>西安市公安局交通警察支队</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西安市公安局交通警察支队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所有产品达到使用条件时由甲方负责组织验收，或者邀请有关专家、质检机构、采购代理机构共同进行验收,验收费用由乙方支付；验收内容包括确认产品的产地、数量、规格型号、技术指标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联系人：宋芳芳(11号工位)</w:t>
      </w:r>
    </w:p>
    <w:p>
      <w:pPr>
        <w:pStyle w:val="null3"/>
      </w:pPr>
      <w:r>
        <w:rPr/>
        <w:t>联系电话：029-86673953、029-86518381、029-89299829、029-89293231 转8011</w:t>
      </w:r>
    </w:p>
    <w:p>
      <w:pPr>
        <w:pStyle w:val="null3"/>
      </w:pPr>
      <w:r>
        <w:rPr/>
        <w:t>地址：陕西上德招标有限公司（西安市经开区凤城八路正尚国际金融广场A座7层703（张家堡转盘东南角））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两轮踏板警用摩托车采购</w:t>
      </w:r>
    </w:p>
    <w:p>
      <w:pPr>
        <w:pStyle w:val="null3"/>
        <w:outlineLvl w:val="2"/>
      </w:pPr>
      <w:r>
        <w:rPr>
          <w:sz w:val="28"/>
          <w:b/>
        </w:rPr>
        <w:t>3.2采购内容</w:t>
      </w:r>
    </w:p>
    <w:p>
      <w:pPr>
        <w:pStyle w:val="null3"/>
      </w:pPr>
      <w:r>
        <w:rPr/>
        <w:t>采购包1：</w:t>
      </w:r>
    </w:p>
    <w:p>
      <w:pPr>
        <w:pStyle w:val="null3"/>
      </w:pPr>
      <w:r>
        <w:rPr/>
        <w:t>采购包预算金额（元）: 1,240,000.00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购置警用踏板摩托车</w:t>
            </w:r>
          </w:p>
        </w:tc>
        <w:tc>
          <w:tcPr>
            <w:tcW w:type="dxa" w:w="831"/>
          </w:tcPr>
          <w:p>
            <w:pPr>
              <w:pStyle w:val="null3"/>
              <w:jc w:val="right"/>
            </w:pPr>
            <w:r>
              <w:rPr/>
              <w:t>1.00</w:t>
            </w:r>
          </w:p>
        </w:tc>
        <w:tc>
          <w:tcPr>
            <w:tcW w:type="dxa" w:w="831"/>
          </w:tcPr>
          <w:p>
            <w:pPr>
              <w:pStyle w:val="null3"/>
              <w:jc w:val="right"/>
            </w:pPr>
            <w:r>
              <w:rPr/>
              <w:t>1,240,000.00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标的名称：购置警用踏板摩托车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一、项目概况</w:t>
            </w:r>
          </w:p>
          <w:p>
            <w:pPr>
              <w:pStyle w:val="null3"/>
              <w:ind w:firstLine="480"/>
              <w:jc w:val="left"/>
            </w:pPr>
            <w:r>
              <w:rPr>
                <w:rFonts w:ascii="宋体" w:hAnsi="宋体" w:cs="宋体" w:eastAsia="宋体"/>
                <w:sz w:val="24"/>
                <w:color w:val="000000"/>
              </w:rPr>
              <w:t>警务工作需要，采购一批用于日常巡逻的警用两轮踏板摩托车（排量</w:t>
            </w:r>
            <w:r>
              <w:rPr>
                <w:rFonts w:ascii="宋体" w:hAnsi="宋体" w:cs="宋体" w:eastAsia="宋体"/>
                <w:sz w:val="21"/>
              </w:rPr>
              <w:t>≥</w:t>
            </w:r>
          </w:p>
          <w:p>
            <w:pPr>
              <w:pStyle w:val="null3"/>
              <w:jc w:val="left"/>
            </w:pPr>
            <w:r>
              <w:rPr>
                <w:rFonts w:ascii="宋体" w:hAnsi="宋体" w:cs="宋体" w:eastAsia="宋体"/>
                <w:sz w:val="24"/>
                <w:color w:val="000000"/>
              </w:rPr>
              <w:t>120ml）。单价限价：</w:t>
            </w:r>
            <w:r>
              <w:rPr>
                <w:rFonts w:ascii="宋体" w:hAnsi="宋体" w:cs="宋体" w:eastAsia="宋体"/>
                <w:sz w:val="24"/>
                <w:color w:val="000000"/>
              </w:rPr>
              <w:t>14000.00元/辆</w:t>
            </w:r>
            <w:r>
              <w:rPr>
                <w:rFonts w:ascii="宋体" w:hAnsi="宋体" w:cs="宋体" w:eastAsia="宋体"/>
                <w:sz w:val="24"/>
                <w:color w:val="000000"/>
              </w:rPr>
              <w:t>(含车款、车辆购置税、入户上牌费)。</w:t>
            </w:r>
          </w:p>
          <w:p>
            <w:pPr>
              <w:pStyle w:val="null3"/>
              <w:jc w:val="left"/>
            </w:pPr>
            <w:r>
              <w:rPr>
                <w:rFonts w:ascii="宋体" w:hAnsi="宋体" w:cs="宋体" w:eastAsia="宋体"/>
                <w:sz w:val="24"/>
                <w:color w:val="000000"/>
              </w:rPr>
              <w:t>二、技术要求</w:t>
            </w:r>
          </w:p>
          <w:tbl>
            <w:tblPr>
              <w:tblInd w:type="dxa" w:w="135"/>
              <w:tblBorders>
                <w:top w:val="none" w:color="000000" w:sz="4"/>
                <w:left w:val="none" w:color="000000" w:sz="4"/>
                <w:bottom w:val="none" w:color="000000" w:sz="4"/>
                <w:right w:val="none" w:color="000000" w:sz="4"/>
                <w:insideH w:val="none"/>
                <w:insideV w:val="none"/>
              </w:tblBorders>
            </w:tblPr>
            <w:tblGrid>
              <w:gridCol w:w="295"/>
              <w:gridCol w:w="607"/>
              <w:gridCol w:w="1243"/>
              <w:gridCol w:w="408"/>
            </w:tblGrid>
            <w:tr>
              <w:tc>
                <w:tcPr>
                  <w:tcW w:type="dxa" w:w="29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p>
                  <w:pPr>
                    <w:pStyle w:val="null3"/>
                  </w:pPr>
                  <w:r>
                    <w:rPr>
                      <w:rFonts w:ascii="&quot;times new roman&quot;" w:hAnsi="&quot;times new roman&quot;" w:cs="&quot;times new roman&quot;" w:eastAsia="&quot;times new roman&quot;"/>
                      <w:sz w:val="19"/>
                    </w:rPr>
                    <w:t xml:space="preserve"> </w:t>
                  </w:r>
                </w:p>
              </w:tc>
              <w:tc>
                <w:tcPr>
                  <w:tcW w:type="dxa" w:w="60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名称</w:t>
                  </w:r>
                </w:p>
              </w:tc>
              <w:tc>
                <w:tcPr>
                  <w:tcW w:type="dxa" w:w="124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w:t>
                  </w:r>
                </w:p>
              </w:tc>
              <w:tc>
                <w:tcPr>
                  <w:tcW w:type="dxa" w:w="40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款式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两轮踏板式</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（长</w:t>
                  </w:r>
                  <w:r>
                    <w:rPr>
                      <w:rFonts w:ascii="宋体" w:hAnsi="宋体" w:cs="宋体" w:eastAsia="宋体"/>
                      <w:sz w:val="24"/>
                      <w:color w:val="000000"/>
                    </w:rPr>
                    <w:t>×宽×高）</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≥(1700mm×680mm×1000mm)</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轴距</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≥1200mm</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最大功率</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≥6.5kw</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最大扭矩</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≥8N.m</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整备质量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≥100kg</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最高车速</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≥80km/h</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排量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≥120ml</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排放标准</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国四</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发动机类型</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单缸、四冲程、水冷或风冷</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启动方式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电启动</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点火方式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ECU控制或者电感放电式</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变速器形式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无级变速</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燃油供给方式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电喷</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制动方式</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前轮：盘式</w:t>
                  </w:r>
                  <w:r>
                    <w:rPr>
                      <w:rFonts w:ascii="宋体" w:hAnsi="宋体" w:cs="宋体" w:eastAsia="宋体"/>
                      <w:sz w:val="24"/>
                      <w:color w:val="000000"/>
                    </w:rPr>
                    <w:t xml:space="preserve">  </w:t>
                  </w:r>
                  <w:r>
                    <w:rPr>
                      <w:rFonts w:ascii="宋体" w:hAnsi="宋体" w:cs="宋体" w:eastAsia="宋体"/>
                      <w:sz w:val="24"/>
                      <w:color w:val="000000"/>
                    </w:rPr>
                    <w:t>后轮：盘式或鼓式</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燃料油箱容积</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≥5L</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902"/>
                  <w:gridSpan w:val="2"/>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配置</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1.车身公安部“04” 制式喷涂</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902"/>
                  <w:gridSpan w:val="2"/>
                  <w:vMerge/>
                  <w:tcBorders>
                    <w:top w:val="single" w:color="000000" w:sz="4"/>
                    <w:left w:val="single" w:color="000000" w:sz="8"/>
                    <w:bottom w:val="single" w:color="000000" w:sz="4"/>
                    <w:right w:val="single" w:color="000000" w:sz="4"/>
                  </w:tcBorders>
                </w:tcP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2.警用保险杠</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902"/>
                  <w:gridSpan w:val="2"/>
                  <w:vMerge/>
                  <w:tcBorders>
                    <w:top w:val="single" w:color="000000" w:sz="4"/>
                    <w:left w:val="single" w:color="000000" w:sz="8"/>
                    <w:bottom w:val="single" w:color="000000" w:sz="4"/>
                    <w:right w:val="single" w:color="000000" w:sz="4"/>
                  </w:tcBorders>
                </w:tcP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3.后尾箱1个</w:t>
                  </w:r>
                </w:p>
              </w:tc>
              <w:tc>
                <w:tcPr>
                  <w:tcW w:type="dxa" w:w="40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902"/>
                  <w:gridSpan w:val="2"/>
                  <w:vMerge/>
                  <w:tcBorders>
                    <w:top w:val="single" w:color="000000" w:sz="4"/>
                    <w:left w:val="single" w:color="000000" w:sz="8"/>
                    <w:bottom w:val="single" w:color="000000" w:sz="4"/>
                    <w:right w:val="single" w:color="000000" w:sz="4"/>
                  </w:tcBorders>
                </w:tcPr>
                <w:p/>
              </w:tc>
              <w:tc>
                <w:tcPr>
                  <w:tcW w:type="dxa" w:w="124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4.全套标准警具（前分体式喇叭、警灯、后普通立柱爆闪、警用喊话器及开关）</w:t>
                  </w:r>
                </w:p>
              </w:tc>
              <w:tc>
                <w:tcPr>
                  <w:tcW w:type="dxa" w:w="40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1"/>
              </w:rPr>
              <w:t>三、服务要求</w:t>
            </w:r>
          </w:p>
          <w:p>
            <w:pPr>
              <w:pStyle w:val="null3"/>
              <w:ind w:firstLine="420"/>
              <w:jc w:val="both"/>
            </w:pPr>
            <w:r>
              <w:rPr>
                <w:rFonts w:ascii="宋体" w:hAnsi="宋体" w:cs="宋体" w:eastAsia="宋体"/>
                <w:sz w:val="21"/>
              </w:rPr>
              <w:t>（一）乙方负责所有产品的运输，确保采购产品安全、完整到达甲方指定地点。运杂费用已包含在合同总价内，包括从产品供应地点所含的运输费、装卸费、仓储费、保险费等。</w:t>
            </w:r>
          </w:p>
          <w:p>
            <w:pPr>
              <w:pStyle w:val="null3"/>
              <w:ind w:firstLine="420"/>
              <w:jc w:val="both"/>
            </w:pPr>
            <w:r>
              <w:rPr>
                <w:rFonts w:ascii="宋体" w:hAnsi="宋体" w:cs="宋体" w:eastAsia="宋体"/>
                <w:sz w:val="21"/>
              </w:rPr>
              <w:t>（二）运输方式由乙方自行选择，但必须保证按期交货。所有采购货物在运输、装卸的过程中，造成甲方损失的，由乙方为甲方修复或更新。</w:t>
            </w:r>
          </w:p>
          <w:p>
            <w:pPr>
              <w:pStyle w:val="null3"/>
              <w:jc w:val="both"/>
            </w:pPr>
            <w:r>
              <w:rPr>
                <w:rFonts w:ascii="宋体" w:hAnsi="宋体" w:cs="宋体" w:eastAsia="宋体"/>
                <w:sz w:val="21"/>
              </w:rPr>
              <w:t>（三）产品在验收合格交付至甲方前的一切风险由乙方承担。</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自合同签订之日起40个日历日内交付完成。</w:t>
      </w:r>
    </w:p>
    <w:p>
      <w:pPr>
        <w:pStyle w:val="null3"/>
        <w:outlineLvl w:val="3"/>
      </w:pPr>
      <w:r>
        <w:rPr>
          <w:sz w:val="24"/>
          <w:b/>
        </w:rPr>
        <w:t>3.4.2交货地点</w:t>
      </w:r>
    </w:p>
    <w:p>
      <w:pPr>
        <w:pStyle w:val="null3"/>
      </w:pPr>
      <w:r>
        <w:rPr/>
        <w:t>采购包1：</w:t>
      </w:r>
    </w:p>
    <w:p>
      <w:pPr>
        <w:pStyle w:val="null3"/>
      </w:pPr>
      <w:r>
        <w:rPr/>
        <w:t>西安市公安局交通警察支队指定地点。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甲乙双方合同签订后，甲方向乙方支付50%的合同价款</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乙方将本项目所有车辆按照甲方要求改装，并送达甲方指定地点，经甲方验收完成并交付使用后30个日历日内一次性支付剩余合同价款</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所有产品达到使用条件时由甲方负责组织验收，或者邀请有关专家、质检机构、采购代理机构共同进行验收,验收费用由乙方支付；验收内容包括确认产品的产地、数量、规格型号、技术指标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应保证所供货物是全新的、未使用过的，并完全符合合同规定的质量、规格、技术指标等要求。乙方应保证其货物在正常使用和保养条件下，在其使用寿命内应具有满意的性能。在货物最终验收后的质保期内，乙方应对由于设计、工艺或材料的缺陷而产生的故障负责。 2、质保期为车辆验收合格之日起3年，车辆验收合格之日起5年内每年2次免费保养(不限公里数)。在质保期内,如果发现货物的质量、规格、技术指标等存在与合同中任何一项不符，甲方应在60日内以书面形式向乙方提出索赔，同时应向政府采购管理部门报告。 3、乙方在收到甲方的通知后，应在6小时内响应，免费维修或更换有缺陷的货物或部件，并相应延长保修期限。 4、如果乙方在收到通知后，没有在上述合同条款中规定的时限内及时弥补缺陷，甲方可采取必要的补救措施，但其风险和费用将由乙方承担，甲方根据合同规定对乙方行使的其它权力不受影响。甲方亦可根据乙方提供的履约承诺函进行索赔。</w:t>
      </w:r>
    </w:p>
    <w:p>
      <w:pPr>
        <w:pStyle w:val="null3"/>
        <w:outlineLvl w:val="3"/>
      </w:pPr>
      <w:r>
        <w:rPr>
          <w:sz w:val="24"/>
          <w:b/>
        </w:rPr>
        <w:t>3.4.8违约责任与解决争议的方法</w:t>
      </w:r>
    </w:p>
    <w:p>
      <w:pPr>
        <w:pStyle w:val="null3"/>
      </w:pPr>
      <w:r>
        <w:rPr/>
        <w:t>采购包1：</w:t>
      </w:r>
    </w:p>
    <w:p>
      <w:pPr>
        <w:pStyle w:val="null3"/>
      </w:pPr>
      <w:r>
        <w:rPr/>
        <w:t>1、合同一方不履行合同义务、履行合同义务不符合约定或者违反合同项下所作保证的，应向对方承担继续履行、采取修理、更换、退货等补救措施或者赔偿损失等违约责任。 2、乙方未能按时交付合同货物（包括仅迟延交付技术资料但足以导致合同货物安装、调试、考核、验收工作推迟的）的，应向甲方支付迟延交付违约金。每天迟延交付违约金为迟交合同货物价格的0.5%。在计算迟延交付违约金时，迟交不足一天的按一天计算。 迟延交付违约金的支付不能免除乙方继续交付相关合同货物的义务，但如迟延交付必然导致合同货物安装、调试、考核、验收工作推迟的，相关工作应相应顺延。 3、乙方提供货物质量达不到标准或质保期内未提供合同要求服务的，甲方有权委托第三方进行维修，乙方应当承担全部费用，并承担本合同总金额20%的违约责任。 4、除双方另有约定外，任意一方违反本合同约定致使另一方遭受损失的，违约方应赔偿守约方因此造成的全部损失。守约方通过诉讼的方式解决纠纷的，违约方应承担包括但不限于诉讼费、律师费、保全费、保全保险费等合理费用。 5、以上违约条款可合并适用，合并适用后仍不能弥补甲方损失的，甲方有权继续向乙方追偿。 6、其它未尽事宜，按《中华人民共和国民法典》中的相关条款执行。</w:t>
      </w:r>
    </w:p>
    <w:p>
      <w:pPr>
        <w:pStyle w:val="null3"/>
        <w:jc w:val="left"/>
        <w:outlineLvl w:val="2"/>
      </w:pPr>
      <w:r>
        <w:rPr>
          <w:sz w:val="28"/>
          <w:b/>
        </w:rPr>
        <w:t>3.5其他要求</w:t>
      </w:r>
    </w:p>
    <w:p>
      <w:pPr>
        <w:pStyle w:val="null3"/>
      </w:pPr>
      <w:r>
        <w:rPr/>
        <w:t>在领取成交通知书时，递交一正两副纸质版投标文件。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除明确允许供应商可以自行编写的外，投标文件是否按照招标文件给定的格式编制</w:t>
            </w:r>
          </w:p>
        </w:tc>
        <w:tc>
          <w:tcPr>
            <w:tcW w:type="dxa" w:w="3322"/>
          </w:tcPr>
          <w:p>
            <w:pPr>
              <w:pStyle w:val="null3"/>
            </w:pPr>
            <w:r>
              <w:rPr/>
              <w:t>除明确允许供应商可以自行编写的外，投标文件按照招标文件给定的格式编制</w:t>
            </w:r>
          </w:p>
        </w:tc>
        <w:tc>
          <w:tcPr>
            <w:tcW w:type="dxa" w:w="1661"/>
          </w:tcPr>
          <w:p>
            <w:pPr>
              <w:pStyle w:val="null3"/>
            </w:pPr>
            <w:r>
              <w:rPr/>
              <w:t>法定代表人授权委托书 技术响应偏离表 投标函 投标文件封面 商务条款响应偏离表</w:t>
            </w:r>
          </w:p>
        </w:tc>
      </w:tr>
      <w:tr>
        <w:tc>
          <w:tcPr>
            <w:tcW w:type="dxa" w:w="831"/>
          </w:tcPr>
          <w:p>
            <w:pPr>
              <w:pStyle w:val="null3"/>
            </w:pPr>
            <w:r>
              <w:rPr/>
              <w:t>3</w:t>
            </w:r>
          </w:p>
        </w:tc>
        <w:tc>
          <w:tcPr>
            <w:tcW w:type="dxa" w:w="2492"/>
          </w:tcPr>
          <w:p>
            <w:pPr>
              <w:pStyle w:val="null3"/>
            </w:pPr>
            <w:r>
              <w:rPr/>
              <w:t>投标文件是否按照招标文件的要求盖章签字</w:t>
            </w:r>
          </w:p>
        </w:tc>
        <w:tc>
          <w:tcPr>
            <w:tcW w:type="dxa" w:w="3322"/>
          </w:tcPr>
          <w:p>
            <w:pPr>
              <w:pStyle w:val="null3"/>
            </w:pPr>
            <w:r>
              <w:rPr/>
              <w:t>投标文件按照招标文件的要求盖章签字</w:t>
            </w:r>
          </w:p>
        </w:tc>
        <w:tc>
          <w:tcPr>
            <w:tcW w:type="dxa" w:w="1661"/>
          </w:tcPr>
          <w:p>
            <w:pPr>
              <w:pStyle w:val="null3"/>
            </w:pPr>
            <w:r>
              <w:rPr/>
              <w:t>法定代表人授权委托书 技术响应偏离表 投标函 投标文件封面 商务条款响应偏离表</w:t>
            </w:r>
          </w:p>
        </w:tc>
      </w:tr>
      <w:tr>
        <w:tc>
          <w:tcPr>
            <w:tcW w:type="dxa" w:w="831"/>
          </w:tcPr>
          <w:p>
            <w:pPr>
              <w:pStyle w:val="null3"/>
            </w:pPr>
            <w:r>
              <w:rPr/>
              <w:t>4</w:t>
            </w:r>
          </w:p>
        </w:tc>
        <w:tc>
          <w:tcPr>
            <w:tcW w:type="dxa" w:w="2492"/>
          </w:tcPr>
          <w:p>
            <w:pPr>
              <w:pStyle w:val="null3"/>
            </w:pPr>
            <w:r>
              <w:rPr/>
              <w:t>投标报价不得超过采购预算</w:t>
            </w:r>
          </w:p>
        </w:tc>
        <w:tc>
          <w:tcPr>
            <w:tcW w:type="dxa" w:w="3322"/>
          </w:tcPr>
          <w:p>
            <w:pPr>
              <w:pStyle w:val="null3"/>
            </w:pPr>
            <w:r>
              <w:rPr/>
              <w:t>投标报价未超过采购预算</w:t>
            </w:r>
          </w:p>
        </w:tc>
        <w:tc>
          <w:tcPr>
            <w:tcW w:type="dxa" w:w="1661"/>
          </w:tcPr>
          <w:p>
            <w:pPr>
              <w:pStyle w:val="null3"/>
            </w:pPr>
            <w:r>
              <w:rPr/>
              <w:t>投标函 标的清单</w:t>
            </w:r>
          </w:p>
        </w:tc>
      </w:tr>
      <w:tr>
        <w:tc>
          <w:tcPr>
            <w:tcW w:type="dxa" w:w="831"/>
          </w:tcPr>
          <w:p>
            <w:pPr>
              <w:pStyle w:val="null3"/>
            </w:pPr>
            <w:r>
              <w:rPr/>
              <w:t>5</w:t>
            </w:r>
          </w:p>
        </w:tc>
        <w:tc>
          <w:tcPr>
            <w:tcW w:type="dxa" w:w="2492"/>
          </w:tcPr>
          <w:p>
            <w:pPr>
              <w:pStyle w:val="null3"/>
            </w:pPr>
            <w:r>
              <w:rPr/>
              <w:t>投标有效期是否符合招标文件的要求</w:t>
            </w:r>
          </w:p>
        </w:tc>
        <w:tc>
          <w:tcPr>
            <w:tcW w:type="dxa" w:w="3322"/>
          </w:tcPr>
          <w:p>
            <w:pPr>
              <w:pStyle w:val="null3"/>
            </w:pPr>
            <w:r>
              <w:rPr/>
              <w:t>投标有效期符合招标文件的要求</w:t>
            </w:r>
          </w:p>
        </w:tc>
        <w:tc>
          <w:tcPr>
            <w:tcW w:type="dxa" w:w="1661"/>
          </w:tcPr>
          <w:p>
            <w:pPr>
              <w:pStyle w:val="null3"/>
            </w:pPr>
            <w:r>
              <w:rPr/>
              <w:t>法定代表人授权委托书 投标文件封面</w:t>
            </w:r>
          </w:p>
        </w:tc>
      </w:tr>
      <w:tr>
        <w:tc>
          <w:tcPr>
            <w:tcW w:type="dxa" w:w="831"/>
          </w:tcPr>
          <w:p>
            <w:pPr>
              <w:pStyle w:val="null3"/>
            </w:pPr>
            <w:r>
              <w:rPr/>
              <w:t>6</w:t>
            </w:r>
          </w:p>
        </w:tc>
        <w:tc>
          <w:tcPr>
            <w:tcW w:type="dxa" w:w="2492"/>
          </w:tcPr>
          <w:p>
            <w:pPr>
              <w:pStyle w:val="null3"/>
            </w:pPr>
            <w:r>
              <w:rPr/>
              <w:t>对招标文件商务要求是否作出明确且实质性响应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7</w:t>
            </w:r>
          </w:p>
        </w:tc>
        <w:tc>
          <w:tcPr>
            <w:tcW w:type="dxa" w:w="2492"/>
          </w:tcPr>
          <w:p>
            <w:pPr>
              <w:pStyle w:val="null3"/>
            </w:pPr>
            <w:r>
              <w:rPr/>
              <w:t>对招标文件技术要求是否作出明确响应，对不得偏离的要求是否作出了实质性响应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技术响应偏离表</w:t>
            </w:r>
          </w:p>
        </w:tc>
      </w:tr>
      <w:tr>
        <w:tc>
          <w:tcPr>
            <w:tcW w:type="dxa" w:w="831"/>
          </w:tcPr>
          <w:p>
            <w:pPr>
              <w:pStyle w:val="null3"/>
            </w:pPr>
            <w:r>
              <w:rPr/>
              <w:t>8</w:t>
            </w:r>
          </w:p>
        </w:tc>
        <w:tc>
          <w:tcPr>
            <w:tcW w:type="dxa" w:w="2492"/>
          </w:tcPr>
          <w:p>
            <w:pPr>
              <w:pStyle w:val="null3"/>
            </w:pPr>
            <w:r>
              <w:rPr/>
              <w:t>是否有法律、法规和招标文件规定的其他无效响应情形</w:t>
            </w:r>
          </w:p>
        </w:tc>
        <w:tc>
          <w:tcPr>
            <w:tcW w:type="dxa" w:w="3322"/>
          </w:tcPr>
          <w:p>
            <w:pPr>
              <w:pStyle w:val="null3"/>
            </w:pPr>
            <w:r>
              <w:rPr/>
              <w:t>无法律、法规和招标文件规定的其他无效响应情形</w:t>
            </w:r>
          </w:p>
        </w:tc>
        <w:tc>
          <w:tcPr>
            <w:tcW w:type="dxa" w:w="1661"/>
          </w:tcPr>
          <w:p>
            <w:pPr>
              <w:pStyle w:val="null3"/>
            </w:pPr>
            <w:r>
              <w:rPr/>
              <w:t>投标函 投标人参与政府采购活动的承诺函 投标文件封面 拒绝政府采购领域商业贿赂承诺书 投标人认为需要提供的其他资料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投标人投标产品中每有一项为节能产品政府采购清单中优先采购的节能产品的计0.5分，每有一项为环境标志产品政府采购清单中的产品的计0.5分，产品同时为节能产品政府采购清单中优先采购的节能产品和环境标志产品政府采购清单中的产品的得1分。（提供认证机构出具的、处于有效期之内的节能产品、环境标志产品认证证书，详见3.7.4）</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节能、环保产品</w:t>
            </w:r>
          </w:p>
        </w:tc>
      </w:tr>
      <w:tr>
        <w:tc>
          <w:tcPr>
            <w:tcW w:type="dxa" w:w="831"/>
            <w:vMerge/>
          </w:tcPr>
          <w:p/>
        </w:tc>
        <w:tc>
          <w:tcPr>
            <w:tcW w:type="dxa" w:w="1661"/>
          </w:tcPr>
          <w:p>
            <w:pPr>
              <w:pStyle w:val="null3"/>
            </w:pPr>
            <w:r>
              <w:rPr/>
              <w:t>质量保障</w:t>
            </w:r>
          </w:p>
        </w:tc>
        <w:tc>
          <w:tcPr>
            <w:tcW w:type="dxa" w:w="2492"/>
          </w:tcPr>
          <w:p>
            <w:pPr>
              <w:pStyle w:val="null3"/>
            </w:pPr>
            <w:r>
              <w:rPr/>
              <w:t>质保期每延长半年，计1分，最高计2分，满足招标文件的不计分。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质量保障</w:t>
            </w:r>
          </w:p>
        </w:tc>
      </w:tr>
      <w:tr>
        <w:tc>
          <w:tcPr>
            <w:tcW w:type="dxa" w:w="831"/>
            <w:vMerge/>
          </w:tcPr>
          <w:p/>
        </w:tc>
        <w:tc>
          <w:tcPr>
            <w:tcW w:type="dxa" w:w="1661"/>
          </w:tcPr>
          <w:p>
            <w:pPr>
              <w:pStyle w:val="null3"/>
            </w:pPr>
            <w:r>
              <w:rPr/>
              <w:t>技术指标及配置</w:t>
            </w:r>
          </w:p>
        </w:tc>
        <w:tc>
          <w:tcPr>
            <w:tcW w:type="dxa" w:w="2492"/>
          </w:tcPr>
          <w:p>
            <w:pPr>
              <w:pStyle w:val="null3"/>
            </w:pPr>
            <w:r>
              <w:rPr/>
              <w:t>基本分（10分）：所投车辆完全满足招标文件中车辆性能及技术参数要求的，计10分；▲项每负偏离一项扣3分；其余技术参数每负偏离一项扣2分，基本分扣完为止。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能提供所投产品的合法来源渠道证明文件（包括但不限于产品制造商授权、销售协议、代理协议、原厂授权等）的计3分，不提供的不计分。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车辆安全保障</w:t>
            </w:r>
          </w:p>
        </w:tc>
        <w:tc>
          <w:tcPr>
            <w:tcW w:type="dxa" w:w="2492"/>
          </w:tcPr>
          <w:p>
            <w:pPr>
              <w:pStyle w:val="null3"/>
            </w:pPr>
            <w:r>
              <w:rPr/>
              <w:t>根据投标车辆防火、防水等安全保障措施；核心部件质量保障措施等方面赋分； ①防火、防水等安全保障内容完整、保障措施全面、具体，核心部件质量保障措施全面的计8分； ②保障措施描述不全面或核心部件保障措施不具体的或有一项欠缺的计5分； ③防火、防水等安全保障内容不完善或无保障措施或无核心部件质量说明的或无佐证材料的计3分； ④防火、防水等安全保障仅有简单阐述无实质性内容的计1分； ⑤未提供相关内容不计分。 注：佐证材料包括但不限于安全检测相关报告等。</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车辆安全保障</w:t>
            </w:r>
          </w:p>
        </w:tc>
      </w:tr>
      <w:tr>
        <w:tc>
          <w:tcPr>
            <w:tcW w:type="dxa" w:w="831"/>
            <w:vMerge/>
          </w:tcPr>
          <w:p/>
        </w:tc>
        <w:tc>
          <w:tcPr>
            <w:tcW w:type="dxa" w:w="1661"/>
          </w:tcPr>
          <w:p>
            <w:pPr>
              <w:pStyle w:val="null3"/>
            </w:pPr>
            <w:r>
              <w:rPr/>
              <w:t>维护及使用成本1</w:t>
            </w:r>
          </w:p>
        </w:tc>
        <w:tc>
          <w:tcPr>
            <w:tcW w:type="dxa" w:w="2492"/>
          </w:tcPr>
          <w:p>
            <w:pPr>
              <w:pStyle w:val="null3"/>
            </w:pPr>
            <w:r>
              <w:rPr/>
              <w:t>1、质保期内及质保期外维护成本说明； ①维护成本说明内容详细、全面、具体计2分； ②维护成本说明内容不具体计1分； ③未提供相关内容不计分。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维护及使用成本</w:t>
            </w:r>
          </w:p>
        </w:tc>
      </w:tr>
      <w:tr>
        <w:tc>
          <w:tcPr>
            <w:tcW w:type="dxa" w:w="831"/>
            <w:vMerge/>
          </w:tcPr>
          <w:p/>
        </w:tc>
        <w:tc>
          <w:tcPr>
            <w:tcW w:type="dxa" w:w="1661"/>
          </w:tcPr>
          <w:p>
            <w:pPr>
              <w:pStyle w:val="null3"/>
            </w:pPr>
            <w:r>
              <w:rPr/>
              <w:t>维护及使用成本2</w:t>
            </w:r>
          </w:p>
        </w:tc>
        <w:tc>
          <w:tcPr>
            <w:tcW w:type="dxa" w:w="2492"/>
          </w:tcPr>
          <w:p>
            <w:pPr>
              <w:pStyle w:val="null3"/>
            </w:pPr>
            <w:r>
              <w:rPr/>
              <w:t>2、全寿命周期内使用成本（燃油消耗成本）分析说明； ①内容详细、全面、具体计2分； ②内容不具体计1分； ③未提供相关内容不计分。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维护及使用成本</w:t>
            </w:r>
          </w:p>
        </w:tc>
      </w:tr>
      <w:tr>
        <w:tc>
          <w:tcPr>
            <w:tcW w:type="dxa" w:w="831"/>
            <w:vMerge/>
          </w:tcPr>
          <w:p/>
        </w:tc>
        <w:tc>
          <w:tcPr>
            <w:tcW w:type="dxa" w:w="1661"/>
          </w:tcPr>
          <w:p>
            <w:pPr>
              <w:pStyle w:val="null3"/>
            </w:pPr>
            <w:r>
              <w:rPr/>
              <w:t>操作人员培训</w:t>
            </w:r>
          </w:p>
        </w:tc>
        <w:tc>
          <w:tcPr>
            <w:tcW w:type="dxa" w:w="2492"/>
          </w:tcPr>
          <w:p>
            <w:pPr>
              <w:pStyle w:val="null3"/>
            </w:pPr>
            <w:r>
              <w:rPr/>
              <w:t>提供具体可行的培训计划，包括培训内容、方式、时间、地点、培训案例等，保证使用单位能熟练操作和正常使用； ①培训方案内容详实、计划详细完善、有具体培训案例、切实可行，充分考虑用户实际需求，计8分； ②培训方案内容完善、但培训计划不具体或无具体培训案例、用户实际需求匹配度不高，计5分； ③培训方案内容缺失或无培训计划、无具体案例，计3分； ④培训方案仅有简单阐述无实质性内容，计1分； ⑤未提供相关内容不计分。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操作人员培训</w:t>
            </w:r>
          </w:p>
        </w:tc>
      </w:tr>
      <w:tr>
        <w:tc>
          <w:tcPr>
            <w:tcW w:type="dxa" w:w="831"/>
            <w:vMerge/>
          </w:tcPr>
          <w:p/>
        </w:tc>
        <w:tc>
          <w:tcPr>
            <w:tcW w:type="dxa" w:w="1661"/>
          </w:tcPr>
          <w:p>
            <w:pPr>
              <w:pStyle w:val="null3"/>
            </w:pPr>
            <w:r>
              <w:rPr/>
              <w:t>交货保证措施</w:t>
            </w:r>
          </w:p>
        </w:tc>
        <w:tc>
          <w:tcPr>
            <w:tcW w:type="dxa" w:w="2492"/>
          </w:tcPr>
          <w:p>
            <w:pPr>
              <w:pStyle w:val="null3"/>
            </w:pPr>
            <w:r>
              <w:rPr/>
              <w:t>针对本项目供货进度计划，进度保证措施，应急处理措施等进行评审； ①内容齐全、完整、全面、详细的，计8分； ②内容完整，但条理不清晰或措施内容不具体，计6分； ③整体内容表述简单粗略，无关键进度节点，计4分； ④内容有1项欠缺或仅有框架，无实质性内容的，计2分； ⑤内容有2项缺项的或只用简单话语概括的，计1分； ⑥未提供以上内容不计分。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交货保证措施</w:t>
            </w:r>
          </w:p>
        </w:tc>
      </w:tr>
      <w:tr>
        <w:tc>
          <w:tcPr>
            <w:tcW w:type="dxa" w:w="831"/>
            <w:vMerge/>
          </w:tcPr>
          <w:p/>
        </w:tc>
        <w:tc>
          <w:tcPr>
            <w:tcW w:type="dxa" w:w="1661"/>
          </w:tcPr>
          <w:p>
            <w:pPr>
              <w:pStyle w:val="null3"/>
            </w:pPr>
            <w:r>
              <w:rPr/>
              <w:t>综合实力</w:t>
            </w:r>
          </w:p>
        </w:tc>
        <w:tc>
          <w:tcPr>
            <w:tcW w:type="dxa" w:w="2492"/>
          </w:tcPr>
          <w:p>
            <w:pPr>
              <w:pStyle w:val="null3"/>
            </w:pPr>
            <w:r>
              <w:rPr/>
              <w:t>根据供应商/产品生产厂家企业简介、技术人员实力、生产线及生产设备状况进行评审。 ①有详细简介、技术人员充足、生产线及生产设备状况充分满足项目需求的计5分； ②企业简介内容简单、技术人员经验不足或生产设备配置情况欠佳，计3分； ③企业简介、人员或设备配置描述有任意缺失，计1分； ④未提供以上内容不计分。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业绩</w:t>
            </w:r>
          </w:p>
        </w:tc>
        <w:tc>
          <w:tcPr>
            <w:tcW w:type="dxa" w:w="2492"/>
          </w:tcPr>
          <w:p>
            <w:pPr>
              <w:pStyle w:val="null3"/>
            </w:pPr>
            <w:r>
              <w:rPr/>
              <w:t>提供投标人2021年1月1日起至今同类项目业绩（提供合同复印件），每提供一份业绩计2分，满分10分。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1、提供详细的售后服务承诺（含售后服务机构设置情况说明）。 ①售后服务承诺内容详实、完善具体，售后服务机构情况说明具体，计4分； ②售后服务承诺内容不完整或售后服务机构情况说明不具体，计2分； ③售后服务承诺仅有简单阐述无实质性内容，计1分； ④未提供以上内容不计分。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售后服务2</w:t>
            </w:r>
          </w:p>
        </w:tc>
        <w:tc>
          <w:tcPr>
            <w:tcW w:type="dxa" w:w="2492"/>
          </w:tcPr>
          <w:p>
            <w:pPr>
              <w:pStyle w:val="null3"/>
            </w:pPr>
            <w:r>
              <w:rPr/>
              <w:t>2、设备发生故障后的响应时间及补救措施。 ①响应及时、补救措施内容完善具体，计4分； ②响应不及时或补救措施不具体，计2分； ③仅有简单阐述无实质性内容，计1分； ④未提供以上内容不计分。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售后服务3</w:t>
            </w:r>
          </w:p>
        </w:tc>
        <w:tc>
          <w:tcPr>
            <w:tcW w:type="dxa" w:w="2492"/>
          </w:tcPr>
          <w:p>
            <w:pPr>
              <w:pStyle w:val="null3"/>
            </w:pPr>
            <w:r>
              <w:rPr/>
              <w:t>3、售后人员技术能力、经验、人数等。 ①售后人员技术及经验丰富、人员配置数量充足，计3分； ②售后人员技术或经验不足，计2分； ③售后人员配置不足或无人员经验描述，计1分； ④未提供以上内容不计分。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（因落实政府采购政策进行价格调整的，以调整后的价格计算评标基准价和投标报价，详见3.7.1至3.7.3）</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选配件报价表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详见附件：操作人员培训</w:t>
      </w:r>
    </w:p>
    <w:p>
      <w:pPr>
        <w:pStyle w:val="null3"/>
        <w:ind w:firstLine="960"/>
      </w:pPr>
      <w:r>
        <w:rPr/>
        <w:t>详见附件：产品渠道</w:t>
      </w:r>
    </w:p>
    <w:p>
      <w:pPr>
        <w:pStyle w:val="null3"/>
        <w:ind w:firstLine="960"/>
      </w:pPr>
      <w:r>
        <w:rPr/>
        <w:t>详见附件：车辆安全保障</w:t>
      </w:r>
    </w:p>
    <w:p>
      <w:pPr>
        <w:pStyle w:val="null3"/>
        <w:ind w:firstLine="960"/>
      </w:pPr>
      <w:r>
        <w:rPr/>
        <w:t>详见附件：法定代表人授权委托书</w:t>
      </w:r>
    </w:p>
    <w:p>
      <w:pPr>
        <w:pStyle w:val="null3"/>
        <w:ind w:firstLine="960"/>
      </w:pPr>
      <w:r>
        <w:rPr/>
        <w:t>详见附件：技术响应偏离表</w:t>
      </w:r>
    </w:p>
    <w:p>
      <w:pPr>
        <w:pStyle w:val="null3"/>
        <w:ind w:firstLine="960"/>
      </w:pPr>
      <w:r>
        <w:rPr/>
        <w:t>详见附件：交货保证措施</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详见附件：售后服务</w:t>
      </w:r>
    </w:p>
    <w:p>
      <w:pPr>
        <w:pStyle w:val="null3"/>
        <w:ind w:firstLine="960"/>
      </w:pPr>
      <w:r>
        <w:rPr/>
        <w:t>详见附件：投标人参与政府采购活动的承诺函</w:t>
      </w:r>
    </w:p>
    <w:p>
      <w:pPr>
        <w:pStyle w:val="null3"/>
        <w:ind w:firstLine="960"/>
      </w:pPr>
      <w:r>
        <w:rPr/>
        <w:t>详见附件：投标人认为需要提供的其他资料</w:t>
      </w:r>
    </w:p>
    <w:p>
      <w:pPr>
        <w:pStyle w:val="null3"/>
        <w:ind w:firstLine="960"/>
      </w:pPr>
      <w:r>
        <w:rPr/>
        <w:t>详见附件：维护及使用成本</w:t>
      </w:r>
    </w:p>
    <w:p>
      <w:pPr>
        <w:pStyle w:val="null3"/>
        <w:ind w:firstLine="960"/>
      </w:pPr>
      <w:r>
        <w:rPr/>
        <w:t>详见附件：业绩</w:t>
      </w:r>
    </w:p>
    <w:p>
      <w:pPr>
        <w:pStyle w:val="null3"/>
        <w:ind w:firstLine="960"/>
      </w:pPr>
      <w:r>
        <w:rPr/>
        <w:t>详见附件：质量保障</w:t>
      </w:r>
    </w:p>
    <w:p>
      <w:pPr>
        <w:pStyle w:val="null3"/>
        <w:ind w:firstLine="960"/>
      </w:pPr>
      <w:r>
        <w:rPr/>
        <w:t>详见附件：资格证明文件</w:t>
      </w:r>
    </w:p>
    <w:p>
      <w:pPr>
        <w:pStyle w:val="null3"/>
        <w:ind w:firstLine="960"/>
      </w:pPr>
      <w:r>
        <w:rPr/>
        <w:t>详见附件：综合实力</w:t>
      </w:r>
    </w:p>
    <w:p>
      <w:pPr>
        <w:pStyle w:val="null3"/>
        <w:ind w:firstLine="960"/>
      </w:pPr>
      <w:r>
        <w:rPr/>
        <w:t>详见附件：选配件报价表</w:t>
      </w:r>
    </w:p>
    <w:p>
      <w:pPr>
        <w:pStyle w:val="null3"/>
        <w:ind w:firstLine="960"/>
      </w:pPr>
      <w:r>
        <w:rPr/>
        <w:t>详见附件：节能、环保产品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详见附件：合同2024.11.29.docx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