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38407C">
      <w:pPr>
        <w:pStyle w:val="3"/>
        <w:spacing w:before="0" w:after="0" w:line="360" w:lineRule="auto"/>
        <w:jc w:val="left"/>
        <w:rPr>
          <w:rFonts w:hint="eastAsia" w:ascii="宋体" w:hAnsi="宋体" w:eastAsia="宋体" w:cs="宋体"/>
          <w:color w:val="auto"/>
          <w:sz w:val="20"/>
          <w:szCs w:val="20"/>
          <w:highlight w:val="none"/>
        </w:rPr>
      </w:pPr>
      <w:bookmarkStart w:id="0" w:name="_Toc2363"/>
      <w:bookmarkStart w:id="1" w:name="_Toc179547417"/>
      <w:r>
        <w:rPr>
          <w:rFonts w:hint="eastAsia" w:ascii="宋体" w:hAnsi="宋体" w:eastAsia="宋体" w:cs="宋体"/>
          <w:color w:val="auto"/>
          <w:sz w:val="20"/>
          <w:szCs w:val="20"/>
          <w:highlight w:val="none"/>
        </w:rPr>
        <w:t>一</w:t>
      </w:r>
      <w:bookmarkEnd w:id="0"/>
      <w:bookmarkStart w:id="2" w:name="_Toc22035"/>
      <w:r>
        <w:rPr>
          <w:rFonts w:hint="eastAsia" w:ascii="宋体" w:hAnsi="宋体" w:eastAsia="宋体" w:cs="宋体"/>
          <w:color w:val="auto"/>
          <w:sz w:val="20"/>
          <w:szCs w:val="20"/>
          <w:highlight w:val="none"/>
        </w:rPr>
        <w:t>、项目概述</w:t>
      </w:r>
      <w:bookmarkEnd w:id="1"/>
      <w:bookmarkEnd w:id="2"/>
    </w:p>
    <w:p w14:paraId="185FA730">
      <w:pPr>
        <w:pStyle w:val="8"/>
        <w:spacing w:line="360" w:lineRule="auto"/>
        <w:ind w:firstLine="560"/>
        <w:rPr>
          <w:rFonts w:hint="eastAsia" w:ascii="宋体" w:hAnsi="宋体" w:eastAsia="宋体" w:cs="宋体"/>
          <w:bCs/>
          <w:color w:val="auto"/>
          <w:sz w:val="20"/>
          <w:szCs w:val="20"/>
          <w:highlight w:val="none"/>
        </w:rPr>
      </w:pPr>
      <w:bookmarkStart w:id="3" w:name="_Toc14274"/>
      <w:r>
        <w:rPr>
          <w:rFonts w:hint="eastAsia" w:ascii="宋体" w:hAnsi="宋体" w:eastAsia="宋体" w:cs="宋体"/>
          <w:bCs/>
          <w:color w:val="auto"/>
          <w:sz w:val="20"/>
          <w:szCs w:val="20"/>
          <w:highlight w:val="none"/>
        </w:rPr>
        <w:t>信息系统安全等级保护是国家信息安全保障的基本制度、策略和方法。开展信息安全等级保护测评工作是保障信息化健康发展、平稳运行的一项重要工作。为保障信息系统安全等级保护测评工作顺利进行，国务院、公安厅先后下发了《网络安全法》、《中华人民共和国计算机信息系统安全保护条例》（国务院令第147号）、《信息系统安全等级保护管理办法》（公通字[2007]43号）等相关文件。</w:t>
      </w:r>
    </w:p>
    <w:p w14:paraId="3CC6E39C">
      <w:pPr>
        <w:pStyle w:val="8"/>
        <w:spacing w:line="360" w:lineRule="auto"/>
        <w:ind w:firstLine="560"/>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2016年11月十二届全国人大第二十一次三次审议表决通过了网络安全法，这部我国网络领域的基础性法律将于2017年6月1日正式实施。网络安全法第二十一条明确国家实行网络安全等级保护制度。网络运营者应当按照网络安全等级保护制度的要求，保障网络免受干扰、破坏或者未经授权的访问，防止网络数据泄露或者被窃取、篡改。2019年5月13号，等保2.0的三个关键标准GB/T22239-2019《信息安全技术 网络安全等级保护基本要求》，GB/T25070-2019《信息安全技术 网络安全等级保护安全设计要求》和GB/T28448-2019《信息安全技术 网络安全等级保护测评要求》发布并将于2019年12月1号实施标志着我们正式进入等保2.0防护建设阶段，新的要准要求我们从新的技术体系，管理体系来审视过去的安全建设工作并将新技术、新体系应用到未来的网络安全建设中去。</w:t>
      </w:r>
    </w:p>
    <w:p w14:paraId="3E416246">
      <w:pPr>
        <w:pStyle w:val="8"/>
        <w:spacing w:line="360" w:lineRule="auto"/>
        <w:ind w:firstLine="56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为了保障西安市全民健康信息平台系统安全稳定运行，落实各项安全管理制度和安全技术措施，建立完善信息系统安全防护体系。根据公安部等四部委发布的《信息安全等级保护管理办法》（公通字[2007]43 号）的规定，陕西省信息安全等级保护工作联席会议办公室发布的《关于印发&lt;陕西省信息安全等级保护安全建设整改工作的通知&gt;的通知》（陕等保办[2011]2 号）等文件要求，全面开展网络安全等级保护测评工作，落实各项安全管理制度和安全技术措施，建立完善网络安全防护体系，加强监督检查，最终提高西安市卫生健康委员会信息系统的整体安全防护能力，并能够结合自身安全需求，实现系统的相对安全。</w:t>
      </w:r>
    </w:p>
    <w:p w14:paraId="39A20263">
      <w:pPr>
        <w:pStyle w:val="3"/>
        <w:tabs>
          <w:tab w:val="left" w:pos="360"/>
        </w:tabs>
        <w:spacing w:before="0" w:after="0" w:line="360" w:lineRule="auto"/>
        <w:jc w:val="left"/>
        <w:rPr>
          <w:rFonts w:hint="eastAsia" w:ascii="宋体" w:hAnsi="宋体" w:eastAsia="宋体" w:cs="宋体"/>
          <w:color w:val="auto"/>
          <w:sz w:val="20"/>
          <w:szCs w:val="20"/>
          <w:highlight w:val="none"/>
        </w:rPr>
      </w:pPr>
      <w:bookmarkStart w:id="4" w:name="_Toc179547418"/>
      <w:r>
        <w:rPr>
          <w:rFonts w:hint="eastAsia" w:ascii="宋体" w:hAnsi="宋体" w:eastAsia="宋体" w:cs="宋体"/>
          <w:color w:val="auto"/>
          <w:sz w:val="20"/>
          <w:szCs w:val="20"/>
          <w:highlight w:val="none"/>
        </w:rPr>
        <w:t>二、测试依据</w:t>
      </w:r>
      <w:bookmarkEnd w:id="3"/>
      <w:r>
        <w:rPr>
          <w:rFonts w:hint="eastAsia" w:ascii="宋体" w:hAnsi="宋体" w:eastAsia="宋体" w:cs="宋体"/>
          <w:color w:val="auto"/>
          <w:sz w:val="20"/>
          <w:szCs w:val="20"/>
          <w:highlight w:val="none"/>
        </w:rPr>
        <w:t>及服务总体要求</w:t>
      </w:r>
      <w:bookmarkEnd w:id="4"/>
    </w:p>
    <w:p w14:paraId="398A00BB">
      <w:pPr>
        <w:pStyle w:val="5"/>
        <w:shd w:val="clear" w:color="auto" w:fill="FFFFFF"/>
        <w:adjustRightInd w:val="0"/>
        <w:snapToGrid w:val="0"/>
        <w:spacing w:before="0" w:beforeAutospacing="0" w:after="0" w:afterAutospacing="0" w:line="360" w:lineRule="auto"/>
        <w:ind w:firstLine="402" w:firstLineChars="200"/>
        <w:jc w:val="both"/>
        <w:outlineLvl w:val="1"/>
        <w:rPr>
          <w:rFonts w:hint="eastAsia" w:ascii="宋体" w:hAnsi="宋体" w:eastAsia="宋体" w:cs="宋体"/>
          <w:b/>
          <w:color w:val="auto"/>
          <w:sz w:val="20"/>
          <w:szCs w:val="20"/>
          <w:highlight w:val="none"/>
        </w:rPr>
      </w:pPr>
      <w:bookmarkStart w:id="5" w:name="_Toc179547419"/>
      <w:bookmarkStart w:id="6" w:name="_Toc155364197"/>
      <w:bookmarkStart w:id="7" w:name="_Ref38225875"/>
      <w:bookmarkStart w:id="8" w:name="_Toc502982945"/>
      <w:bookmarkStart w:id="9" w:name="_Toc5481"/>
      <w:bookmarkStart w:id="10" w:name="_Toc25405"/>
      <w:r>
        <w:rPr>
          <w:rFonts w:hint="eastAsia" w:ascii="宋体" w:hAnsi="宋体" w:eastAsia="宋体" w:cs="宋体"/>
          <w:b/>
          <w:color w:val="auto"/>
          <w:sz w:val="20"/>
          <w:szCs w:val="20"/>
          <w:highlight w:val="none"/>
        </w:rPr>
        <w:t>1.测评依据</w:t>
      </w:r>
      <w:bookmarkEnd w:id="5"/>
      <w:bookmarkEnd w:id="6"/>
    </w:p>
    <w:p w14:paraId="0156A5CF">
      <w:pPr>
        <w:widowControl/>
        <w:numPr>
          <w:ilvl w:val="0"/>
          <w:numId w:val="1"/>
        </w:numPr>
        <w:spacing w:line="360" w:lineRule="auto"/>
        <w:rPr>
          <w:rFonts w:hint="eastAsia" w:ascii="宋体" w:hAnsi="宋体" w:eastAsia="宋体" w:cs="宋体"/>
          <w:color w:val="auto"/>
          <w:sz w:val="20"/>
          <w:szCs w:val="20"/>
          <w:highlight w:val="none"/>
        </w:rPr>
      </w:pPr>
      <w:r>
        <w:rPr>
          <w:rFonts w:hint="eastAsia" w:ascii="宋体" w:hAnsi="宋体" w:eastAsia="宋体" w:cs="宋体"/>
          <w:b/>
          <w:bCs/>
          <w:color w:val="auto"/>
          <w:sz w:val="20"/>
          <w:szCs w:val="20"/>
          <w:highlight w:val="none"/>
          <w:lang w:bidi="ar"/>
        </w:rPr>
        <w:t xml:space="preserve">政策法规文件： </w:t>
      </w:r>
    </w:p>
    <w:p w14:paraId="56EA74EF">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《中华人民共和国计算机信息系统安全保护条例》（国务院 147 号令） </w:t>
      </w:r>
    </w:p>
    <w:p w14:paraId="3ED7FA3B">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《中华人民共和国网络安全法》 </w:t>
      </w:r>
    </w:p>
    <w:p w14:paraId="11409D3C">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《关于信息安全等级保护工作的实施意见》（公通字【2004】66 号） </w:t>
      </w:r>
    </w:p>
    <w:p w14:paraId="4A10A786">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《信息安全等级保护管理办法》（公通字【2007】43 号） </w:t>
      </w:r>
    </w:p>
    <w:p w14:paraId="043A82F8">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《关于开展信息安全等级保护安全建设整改工作的指导意见》（公信安【2009】1429 号） </w:t>
      </w:r>
    </w:p>
    <w:p w14:paraId="6C0A762A">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《关于推动信息安全等级保护测评体系建设和开展等级测评工作的通知》（公信安【2010】303 号） </w:t>
      </w:r>
    </w:p>
    <w:p w14:paraId="289F2284">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《关于印发&lt;陕西省信息安全等级保护安全建设整改工作指导意见&gt;的通知》 （陕等保办【2011】2 号） </w:t>
      </w:r>
    </w:p>
    <w:p w14:paraId="4A514036">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《陕西省公安厅重要信息系统和重点网站安全执法检查反馈意见》（陕公网字检字【2015】713 号） </w:t>
      </w:r>
    </w:p>
    <w:p w14:paraId="7E7799D4">
      <w:pPr>
        <w:widowControl/>
        <w:numPr>
          <w:ilvl w:val="0"/>
          <w:numId w:val="1"/>
        </w:numPr>
        <w:spacing w:line="360" w:lineRule="auto"/>
        <w:rPr>
          <w:rFonts w:hint="eastAsia" w:ascii="宋体" w:hAnsi="宋体" w:eastAsia="宋体" w:cs="宋体"/>
          <w:b/>
          <w:bCs/>
          <w:color w:val="auto"/>
          <w:sz w:val="20"/>
          <w:szCs w:val="20"/>
          <w:highlight w:val="none"/>
          <w:lang w:bidi="ar"/>
        </w:rPr>
      </w:pPr>
      <w:r>
        <w:rPr>
          <w:rFonts w:hint="eastAsia" w:ascii="宋体" w:hAnsi="宋体" w:eastAsia="宋体" w:cs="宋体"/>
          <w:b/>
          <w:bCs/>
          <w:color w:val="auto"/>
          <w:sz w:val="20"/>
          <w:szCs w:val="20"/>
          <w:highlight w:val="none"/>
          <w:lang w:bidi="ar"/>
        </w:rPr>
        <w:t xml:space="preserve">标准规范文件： </w:t>
      </w:r>
    </w:p>
    <w:p w14:paraId="72B08C49">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《计算机信息系统安全保护等级划分准则》（GB 17859-1999） </w:t>
      </w:r>
    </w:p>
    <w:p w14:paraId="6D9E08E0">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《信息安全技术 网络安全等级保护定级指南》（GB/T 22240-2020） </w:t>
      </w:r>
    </w:p>
    <w:p w14:paraId="4946A0EA">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《信息安全技术 网络安全等级保护基本要求》（GB/T 22239-2019） </w:t>
      </w:r>
    </w:p>
    <w:p w14:paraId="13C6BC5F">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《信息安全技术 网络安全等级保护测评要求》（GB/T 28448-2019） </w:t>
      </w:r>
    </w:p>
    <w:p w14:paraId="7248B962">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《信息安全技术 网络安全等级保护测评过程指南》（GB/T 28449-2018） </w:t>
      </w:r>
    </w:p>
    <w:p w14:paraId="14E49AA0">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《信息安全技术 网络安全等级保护测试评估技术指南》（GB/T 36627-2018） </w:t>
      </w:r>
    </w:p>
    <w:p w14:paraId="2F2D004B">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《信息安全技术 网络安全等级保护安全管理中心技术要求》（GB/T 36958- </w:t>
      </w:r>
    </w:p>
    <w:p w14:paraId="75AF9379">
      <w:pPr>
        <w:tabs>
          <w:tab w:val="left" w:pos="360"/>
        </w:tabs>
        <w:adjustRightInd w:val="0"/>
        <w:snapToGrid w:val="0"/>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 xml:space="preserve">2018） </w:t>
      </w:r>
    </w:p>
    <w:p w14:paraId="2967C822">
      <w:pPr>
        <w:pStyle w:val="8"/>
        <w:spacing w:line="360" w:lineRule="auto"/>
        <w:ind w:firstLine="56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bidi="ar"/>
        </w:rPr>
        <w:t>《信息安全技术 信息安全风险评估规范》（GB/T 20984-2007）</w:t>
      </w:r>
    </w:p>
    <w:p w14:paraId="4812E915">
      <w:pPr>
        <w:pStyle w:val="5"/>
        <w:shd w:val="clear" w:color="auto" w:fill="FFFFFF"/>
        <w:adjustRightInd w:val="0"/>
        <w:snapToGrid w:val="0"/>
        <w:spacing w:before="0" w:beforeAutospacing="0" w:after="0" w:afterAutospacing="0" w:line="360" w:lineRule="auto"/>
        <w:ind w:firstLine="402" w:firstLineChars="200"/>
        <w:jc w:val="both"/>
        <w:outlineLvl w:val="1"/>
        <w:rPr>
          <w:rFonts w:hint="eastAsia" w:ascii="宋体" w:hAnsi="宋体" w:eastAsia="宋体" w:cs="宋体"/>
          <w:b/>
          <w:color w:val="auto"/>
          <w:sz w:val="20"/>
          <w:szCs w:val="20"/>
          <w:highlight w:val="none"/>
        </w:rPr>
      </w:pPr>
      <w:bookmarkStart w:id="11" w:name="_Toc18951"/>
      <w:bookmarkStart w:id="12" w:name="_Toc30827"/>
      <w:bookmarkStart w:id="13" w:name="_Toc179547420"/>
      <w:bookmarkStart w:id="14" w:name="_Toc155364198"/>
      <w:r>
        <w:rPr>
          <w:rFonts w:hint="eastAsia" w:ascii="宋体" w:hAnsi="宋体" w:eastAsia="宋体" w:cs="宋体"/>
          <w:b/>
          <w:color w:val="auto"/>
          <w:sz w:val="20"/>
          <w:szCs w:val="20"/>
          <w:highlight w:val="none"/>
        </w:rPr>
        <w:t>2.</w:t>
      </w:r>
      <w:bookmarkEnd w:id="11"/>
      <w:bookmarkEnd w:id="12"/>
      <w:r>
        <w:rPr>
          <w:rFonts w:hint="eastAsia" w:ascii="宋体" w:hAnsi="宋体" w:eastAsia="宋体" w:cs="宋体"/>
          <w:b/>
          <w:color w:val="auto"/>
          <w:sz w:val="20"/>
          <w:szCs w:val="20"/>
          <w:highlight w:val="none"/>
        </w:rPr>
        <w:t>服务总体要求</w:t>
      </w:r>
      <w:bookmarkEnd w:id="13"/>
      <w:bookmarkEnd w:id="14"/>
    </w:p>
    <w:p w14:paraId="3DA7F18E">
      <w:pPr>
        <w:pStyle w:val="5"/>
        <w:shd w:val="clear" w:color="auto" w:fill="FFFFFF"/>
        <w:adjustRightInd w:val="0"/>
        <w:snapToGrid w:val="0"/>
        <w:spacing w:before="0" w:beforeAutospacing="0" w:after="0" w:afterAutospacing="0" w:line="480" w:lineRule="exact"/>
        <w:ind w:firstLine="400" w:firstLineChars="200"/>
        <w:jc w:val="both"/>
        <w:outlineLvl w:val="1"/>
        <w:rPr>
          <w:rFonts w:hint="eastAsia" w:ascii="宋体" w:hAnsi="宋体" w:eastAsia="宋体" w:cs="宋体"/>
          <w:color w:val="auto"/>
          <w:kern w:val="2"/>
          <w:sz w:val="20"/>
          <w:szCs w:val="20"/>
          <w:highlight w:val="none"/>
          <w:lang w:val="en-US" w:eastAsia="zh-CN" w:bidi="ar-SA"/>
        </w:rPr>
      </w:pPr>
      <w:bookmarkStart w:id="15" w:name="_Toc179547421"/>
      <w:bookmarkStart w:id="16" w:name="_Toc155364199"/>
      <w:r>
        <w:rPr>
          <w:rFonts w:hint="eastAsia" w:ascii="宋体" w:hAnsi="宋体" w:eastAsia="宋体" w:cs="宋体"/>
          <w:color w:val="auto"/>
          <w:kern w:val="2"/>
          <w:sz w:val="20"/>
          <w:szCs w:val="20"/>
          <w:highlight w:val="none"/>
          <w:lang w:val="en-US" w:eastAsia="zh-CN" w:bidi="ar-SA"/>
        </w:rPr>
        <w:t>（1）等级保护测评服务要求：依据《基本要求》（GB/T 22239-2019）、《测评要求》（GB/T 28448-2019）和《测评过程指南》（GB/T 28449-2018）等国家关于网络安全等级保护2.0的相关标准和规范要求，为西安市全民健康信息平台系统开展等级保护测评工作，包括安全物理环境、安全通信网络、安全区域边界、安全计算环境、安全管理中心测评，以及安全管理制度、安全管理机构、安全管理人员、安全建设管理、安全运维管理等10个方面的测评工作，并出具系统测评报告。。</w:t>
      </w:r>
    </w:p>
    <w:p w14:paraId="7F46390B">
      <w:pPr>
        <w:pStyle w:val="5"/>
        <w:shd w:val="clear" w:color="auto" w:fill="FFFFFF"/>
        <w:adjustRightInd w:val="0"/>
        <w:snapToGrid w:val="0"/>
        <w:spacing w:before="0" w:beforeAutospacing="0" w:after="0" w:afterAutospacing="0" w:line="480" w:lineRule="exact"/>
        <w:ind w:firstLine="400" w:firstLineChars="200"/>
        <w:jc w:val="both"/>
        <w:outlineLvl w:val="1"/>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2）渗透测试服务要求：通过模拟恶意黑客的攻击方法，对计算机网络的安全性进行检测评估的过程。对系统和网络进行非破坏性质的攻击性测试，尝试侵入系统，获取系统控制权并将入侵的过程和细节产生报告，由此证实系统所存在的安全威胁和风险，及时提示开发人员修复安全漏洞，提醒安全管理员完善安全策略，提升系统安全防护能力。</w:t>
      </w:r>
    </w:p>
    <w:p w14:paraId="33DBC5F1">
      <w:pPr>
        <w:pStyle w:val="5"/>
        <w:shd w:val="clear" w:color="auto" w:fill="FFFFFF"/>
        <w:adjustRightInd w:val="0"/>
        <w:snapToGrid w:val="0"/>
        <w:spacing w:before="0" w:beforeAutospacing="0" w:after="0" w:afterAutospacing="0" w:line="480" w:lineRule="exact"/>
        <w:ind w:firstLine="400" w:firstLineChars="200"/>
        <w:jc w:val="both"/>
        <w:outlineLvl w:val="1"/>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3）商用密码应用安全性评估咨询服务要求：供应商在测评项目结束后，针对西安市卫生统计信息中心使用的商用密码技术、产品、服务、应用的合规性、正确性、有效性进行咨询评估，按照《信息系统密码应用基本要求》等标准对西安市全民健康信息平台系统的密码算法、密码技术、密码产品、密码服务、密码技术应用、网络和通信安全、设备和计算安全、应用和数据安全、秘钥管理、安全管理制度等进行商密专项咨询服务。</w:t>
      </w:r>
    </w:p>
    <w:p w14:paraId="1A4DBBED">
      <w:pPr>
        <w:pStyle w:val="5"/>
        <w:shd w:val="clear" w:color="auto" w:fill="FFFFFF"/>
        <w:adjustRightInd w:val="0"/>
        <w:snapToGrid w:val="0"/>
        <w:spacing w:before="0" w:beforeAutospacing="0" w:after="0" w:afterAutospacing="0" w:line="480" w:lineRule="exact"/>
        <w:ind w:firstLine="400" w:firstLineChars="200"/>
        <w:jc w:val="both"/>
        <w:outlineLvl w:val="1"/>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4）应急响应及应急处理要求：供应商在安全测评项目结束后，要提供至少一年的信息安全应急处理保障。一旦被测系统出现紧急重大安全事件，收到西安市卫生统计信息中心的服务请求，测评单位工程师在2小时内到达用户现场，提供应急服务。</w:t>
      </w:r>
    </w:p>
    <w:p w14:paraId="64B276ED">
      <w:pPr>
        <w:pStyle w:val="5"/>
        <w:shd w:val="clear" w:color="auto" w:fill="FFFFFF"/>
        <w:adjustRightInd w:val="0"/>
        <w:snapToGrid w:val="0"/>
        <w:spacing w:before="0" w:beforeAutospacing="0" w:after="0" w:afterAutospacing="0" w:line="480" w:lineRule="exact"/>
        <w:ind w:firstLine="400" w:firstLineChars="200"/>
        <w:jc w:val="both"/>
        <w:outlineLvl w:val="1"/>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（5）安全培训服务：供应商需提供网络安全培训服务2次，培训内容包含但不限于网络安全法律法规、等保政策标准、网络安全意识提升、网络安全风险案例以及商用密码安全性评估等。</w:t>
      </w:r>
    </w:p>
    <w:p w14:paraId="7B67BF0D">
      <w:pPr>
        <w:pStyle w:val="5"/>
        <w:shd w:val="clear" w:color="auto" w:fill="FFFFFF"/>
        <w:adjustRightInd w:val="0"/>
        <w:snapToGrid w:val="0"/>
        <w:spacing w:before="0" w:beforeAutospacing="0" w:after="0" w:afterAutospacing="0" w:line="480" w:lineRule="exact"/>
        <w:ind w:firstLine="400" w:firstLineChars="200"/>
        <w:jc w:val="both"/>
        <w:outlineLvl w:val="1"/>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（6）供应商须服从西安市卫生统计信息中心的统一协调，且必须在项目实施期间由供应商派驻有丰富实施经验的测评师为项目实施团队，全程参与项目实施，现场检测工时必须符合国家相关标准。</w:t>
      </w:r>
    </w:p>
    <w:p w14:paraId="35B2CC43">
      <w:pPr>
        <w:pStyle w:val="5"/>
        <w:shd w:val="clear" w:color="auto" w:fill="FFFFFF"/>
        <w:adjustRightInd w:val="0"/>
        <w:snapToGrid w:val="0"/>
        <w:spacing w:before="0" w:beforeAutospacing="0" w:after="0" w:afterAutospacing="0" w:line="480" w:lineRule="exact"/>
        <w:ind w:firstLine="400" w:firstLineChars="200"/>
        <w:jc w:val="both"/>
        <w:outlineLvl w:val="1"/>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（7）供应商须提供完善的测评实施方案和计划、测评方案，经我单位审核通过后实施，完成我单位对安全管理制度的补充完善和整理工作，配合对我单位信息系统进行整改测评服务。</w:t>
      </w:r>
    </w:p>
    <w:p w14:paraId="7A1C8444">
      <w:pPr>
        <w:pStyle w:val="5"/>
        <w:shd w:val="clear" w:color="auto" w:fill="FFFFFF"/>
        <w:adjustRightInd w:val="0"/>
        <w:snapToGrid w:val="0"/>
        <w:spacing w:before="0" w:beforeAutospacing="0" w:after="0" w:afterAutospacing="0" w:line="480" w:lineRule="exact"/>
        <w:ind w:firstLine="400" w:firstLineChars="200"/>
        <w:jc w:val="both"/>
        <w:outlineLvl w:val="1"/>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8）供应商须与我单位签订项目合同、保密协议和现场评测授权书、风险预判告知书，核实驻场测评师资质与投标时对本项目配备的测评师是否一致。确因工作调配需更换测评师，需提前10个工作日向我信息部门负责人员书面报备，并提供更换测评师资质证明。</w:t>
      </w:r>
    </w:p>
    <w:p w14:paraId="4E283A35">
      <w:pPr>
        <w:pStyle w:val="5"/>
        <w:shd w:val="clear" w:color="auto" w:fill="FFFFFF"/>
        <w:adjustRightInd w:val="0"/>
        <w:snapToGrid w:val="0"/>
        <w:spacing w:before="0" w:beforeAutospacing="0" w:after="0" w:afterAutospacing="0" w:line="480" w:lineRule="exact"/>
        <w:ind w:firstLine="400" w:firstLineChars="200"/>
        <w:jc w:val="both"/>
        <w:outlineLvl w:val="1"/>
        <w:rPr>
          <w:rFonts w:hint="eastAsia" w:ascii="宋体" w:hAnsi="宋体" w:eastAsia="宋体" w:cs="宋体"/>
          <w:color w:val="auto"/>
          <w:kern w:val="2"/>
          <w:sz w:val="20"/>
          <w:szCs w:val="20"/>
          <w:highlight w:val="none"/>
          <w:lang w:val="en-US" w:eastAsia="zh-CN" w:bidi="ar-SA"/>
        </w:rPr>
      </w:pPr>
      <w:r>
        <w:rPr>
          <w:rFonts w:hint="eastAsia" w:ascii="宋体" w:hAnsi="宋体" w:eastAsia="宋体" w:cs="宋体"/>
          <w:color w:val="auto"/>
          <w:kern w:val="2"/>
          <w:sz w:val="20"/>
          <w:szCs w:val="20"/>
          <w:highlight w:val="none"/>
          <w:lang w:val="en-US" w:eastAsia="zh-CN" w:bidi="ar-SA"/>
        </w:rPr>
        <w:t>（9）测评结束后，服务方需提供整改咨询服务，并提供为期一年的售后服务，就本项目成果中的具体内容提供解释，提供信息系统等级保护相关工作的技术支持和咨询服务，以帮助西安市卫生统计信息中心提高安全防护能力。</w:t>
      </w:r>
    </w:p>
    <w:p w14:paraId="6000BD10">
      <w:pPr>
        <w:pStyle w:val="5"/>
        <w:shd w:val="clear" w:color="auto" w:fill="FFFFFF"/>
        <w:adjustRightInd w:val="0"/>
        <w:snapToGrid w:val="0"/>
        <w:spacing w:before="0" w:beforeAutospacing="0" w:after="0" w:afterAutospacing="0" w:line="480" w:lineRule="exact"/>
        <w:ind w:firstLine="402" w:firstLineChars="200"/>
        <w:jc w:val="both"/>
        <w:outlineLvl w:val="1"/>
        <w:rPr>
          <w:rFonts w:hint="eastAsia" w:ascii="宋体" w:hAnsi="宋体" w:eastAsia="宋体" w:cs="宋体"/>
          <w:b/>
          <w:color w:val="auto"/>
          <w:sz w:val="20"/>
          <w:szCs w:val="20"/>
          <w:highlight w:val="none"/>
        </w:rPr>
      </w:pPr>
      <w:r>
        <w:rPr>
          <w:rFonts w:hint="eastAsia" w:ascii="宋体" w:hAnsi="宋体" w:eastAsia="宋体" w:cs="宋体"/>
          <w:b/>
          <w:color w:val="auto"/>
          <w:sz w:val="20"/>
          <w:szCs w:val="20"/>
          <w:highlight w:val="none"/>
        </w:rPr>
        <w:t>3.测评指标</w:t>
      </w:r>
      <w:bookmarkEnd w:id="15"/>
      <w:bookmarkEnd w:id="16"/>
    </w:p>
    <w:tbl>
      <w:tblPr>
        <w:tblStyle w:val="6"/>
        <w:tblW w:w="5000" w:type="pct"/>
        <w:jc w:val="center"/>
        <w:tblLayout w:type="autofit"/>
        <w:tblCellMar>
          <w:top w:w="0" w:type="dxa"/>
          <w:left w:w="108" w:type="dxa"/>
          <w:bottom w:w="0" w:type="dxa"/>
          <w:right w:w="108" w:type="dxa"/>
        </w:tblCellMar>
      </w:tblPr>
      <w:tblGrid>
        <w:gridCol w:w="1280"/>
        <w:gridCol w:w="1703"/>
        <w:gridCol w:w="5539"/>
      </w:tblGrid>
      <w:tr w14:paraId="1BB878F6">
        <w:tblPrEx>
          <w:tblCellMar>
            <w:top w:w="0" w:type="dxa"/>
            <w:left w:w="108" w:type="dxa"/>
            <w:bottom w:w="0" w:type="dxa"/>
            <w:right w:w="108" w:type="dxa"/>
          </w:tblCellMar>
        </w:tblPrEx>
        <w:trPr>
          <w:cantSplit/>
          <w:trHeight w:val="699" w:hRule="atLeast"/>
          <w:jc w:val="center"/>
        </w:trPr>
        <w:tc>
          <w:tcPr>
            <w:tcW w:w="751" w:type="pct"/>
            <w:tcBorders>
              <w:top w:val="single" w:color="000000" w:sz="4" w:space="0"/>
              <w:left w:val="single" w:color="000000" w:sz="4" w:space="0"/>
              <w:bottom w:val="single" w:color="000000" w:sz="4" w:space="0"/>
              <w:right w:val="single" w:color="000000" w:sz="4" w:space="0"/>
            </w:tcBorders>
            <w:shd w:val="clear" w:color="auto" w:fill="92CDDC"/>
            <w:noWrap w:val="0"/>
            <w:vAlign w:val="center"/>
          </w:tcPr>
          <w:p w14:paraId="4EE75BE4">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
                <w:bCs/>
                <w:color w:val="auto"/>
                <w:sz w:val="20"/>
                <w:szCs w:val="20"/>
                <w:highlight w:val="none"/>
              </w:rPr>
              <w:t>安全层面</w:t>
            </w:r>
          </w:p>
        </w:tc>
        <w:tc>
          <w:tcPr>
            <w:tcW w:w="999" w:type="pct"/>
            <w:tcBorders>
              <w:top w:val="single" w:color="000000" w:sz="4" w:space="0"/>
              <w:left w:val="single" w:color="000000" w:sz="4" w:space="0"/>
              <w:bottom w:val="single" w:color="000000" w:sz="4" w:space="0"/>
              <w:right w:val="single" w:color="000000" w:sz="4" w:space="0"/>
            </w:tcBorders>
            <w:shd w:val="clear" w:color="auto" w:fill="92CDDC"/>
            <w:noWrap w:val="0"/>
            <w:vAlign w:val="center"/>
          </w:tcPr>
          <w:p w14:paraId="1AB48201">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
                <w:bCs/>
                <w:color w:val="auto"/>
                <w:sz w:val="20"/>
                <w:szCs w:val="20"/>
                <w:highlight w:val="none"/>
              </w:rPr>
              <w:t>安全控制点</w:t>
            </w:r>
          </w:p>
        </w:tc>
        <w:tc>
          <w:tcPr>
            <w:tcW w:w="3250" w:type="pct"/>
            <w:tcBorders>
              <w:top w:val="single" w:color="000000" w:sz="4" w:space="0"/>
              <w:left w:val="single" w:color="000000" w:sz="4" w:space="0"/>
              <w:bottom w:val="single" w:color="000000" w:sz="4" w:space="0"/>
              <w:right w:val="single" w:color="000000" w:sz="4" w:space="0"/>
            </w:tcBorders>
            <w:shd w:val="clear" w:color="auto" w:fill="92CDDC"/>
            <w:noWrap w:val="0"/>
            <w:vAlign w:val="center"/>
          </w:tcPr>
          <w:p w14:paraId="3D3C7F32">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
                <w:bCs/>
                <w:color w:val="auto"/>
                <w:sz w:val="20"/>
                <w:szCs w:val="20"/>
                <w:highlight w:val="none"/>
              </w:rPr>
              <w:t>测评指标（2.0）</w:t>
            </w:r>
          </w:p>
        </w:tc>
      </w:tr>
      <w:tr w14:paraId="1A21ECA6">
        <w:tblPrEx>
          <w:tblCellMar>
            <w:top w:w="0" w:type="dxa"/>
            <w:left w:w="108" w:type="dxa"/>
            <w:bottom w:w="0" w:type="dxa"/>
            <w:right w:w="108" w:type="dxa"/>
          </w:tblCellMar>
        </w:tblPrEx>
        <w:trPr>
          <w:cantSplit/>
          <w:trHeight w:val="699" w:hRule="atLeast"/>
          <w:jc w:val="center"/>
        </w:trPr>
        <w:tc>
          <w:tcPr>
            <w:tcW w:w="751" w:type="pct"/>
            <w:vMerge w:val="restart"/>
            <w:tcBorders>
              <w:top w:val="single" w:color="000000" w:sz="4" w:space="0"/>
              <w:left w:val="single" w:color="000000" w:sz="4" w:space="0"/>
              <w:bottom w:val="single" w:color="000000" w:sz="4" w:space="0"/>
              <w:right w:val="single" w:color="000000" w:sz="4" w:space="0"/>
            </w:tcBorders>
            <w:noWrap w:val="0"/>
            <w:vAlign w:val="center"/>
          </w:tcPr>
          <w:p w14:paraId="38AFE020">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安全物理环境</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103B3A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物理位置选择</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847018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机房场地应选择在具有防震、防风和防雨等能力的建筑内；</w:t>
            </w:r>
          </w:p>
          <w:p w14:paraId="0B183515">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机房场地应避免设在建筑物的顶层或地下室，否则应加强防水和防潮措施。</w:t>
            </w:r>
          </w:p>
        </w:tc>
      </w:tr>
      <w:tr w14:paraId="1FD42332">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5D9172">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6BF2E870">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物理访问控制</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1BADB9E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机房出入口应安排专人值守，控制、鉴别和记录进入的人员；</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b) 需进入机房的来访人员应经过申请和审批流程，并限制和监控其活动范围；</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c) 应对机房划分区域进行管理，区域和区域之间设置物理隔离装置，在重要区域前设置交付或安装等过渡区域；</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d) 重要区域应配置电子门禁系统，控制、鉴别和记录进入的人员。</w:t>
            </w:r>
          </w:p>
        </w:tc>
      </w:tr>
      <w:tr w14:paraId="41864F99">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F33936A">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D70A260">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防盗器和防破坏</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718A32F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应将主要设备放置在机房内；</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b) 应将设备或主要部件进行固定，并设置明显的不易除去的标记；</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c) 应将通信线缆铺设在隐蔽处，可铺设在地下或管道中；</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d) 应对介质分类标识，存储在介质库或档案室中；</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e) 应利用光、电等技术设置机房防盗报警系统；</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f) 应对机房设置监控报警系统。</w:t>
            </w:r>
          </w:p>
        </w:tc>
      </w:tr>
      <w:tr w14:paraId="061D80B1">
        <w:tblPrEx>
          <w:tblCellMar>
            <w:top w:w="0" w:type="dxa"/>
            <w:left w:w="108" w:type="dxa"/>
            <w:bottom w:w="0" w:type="dxa"/>
            <w:right w:w="108" w:type="dxa"/>
          </w:tblCellMar>
        </w:tblPrEx>
        <w:trPr>
          <w:cantSplit/>
          <w:trHeight w:val="602"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1FE279">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666FE42">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防雷击</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4C9E44D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应将各类机柜、设施和设备等通过接地系统安全接地； </w:t>
            </w:r>
          </w:p>
          <w:p w14:paraId="612FC8E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应采取措施防止感应雷，例如设置防雷保安器或过压保护装置等。</w:t>
            </w:r>
          </w:p>
        </w:tc>
      </w:tr>
      <w:tr w14:paraId="4BE4DB9B">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D83EB6B">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2DBC9DF">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防火</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3207AFD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机房应设置火灾自动消防系统，能够自动检测火情、自动报警，并自动灭火； </w:t>
            </w:r>
          </w:p>
          <w:p w14:paraId="372EA70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机房及相关的工作房间和辅助房应采用具有耐火等级的建筑材料；</w:t>
            </w:r>
          </w:p>
          <w:p w14:paraId="473DC5E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应对机房划分区域进行管理，区域和区域之间设置隔离防火措施。</w:t>
            </w:r>
          </w:p>
        </w:tc>
      </w:tr>
      <w:tr w14:paraId="5A5803A9">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84753C">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C361A0E">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防水防潮</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67C6214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水管安装，不得穿过机房屋顶和活动地板下；</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b) 应采取措施防止雨水通过机房窗户、屋顶和墙壁渗透；</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c) 应采取措施防止机房内水蒸气结露和地下积水的转移与渗透；</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d) 应安装对水敏感的检测仪表或元件，对机房进行防水检测和报警。</w:t>
            </w:r>
          </w:p>
        </w:tc>
      </w:tr>
      <w:tr w14:paraId="540F0135">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7BAFF0A">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63141250">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防静电</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6A9CE25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应采用防静电地板或地面并采用必要的接地防静电措施； </w:t>
            </w:r>
          </w:p>
          <w:p w14:paraId="08643E6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应采取措施防止静电的产生，例如采用静电消除器、佩戴防静电手环等。</w:t>
            </w:r>
          </w:p>
        </w:tc>
      </w:tr>
      <w:tr w14:paraId="1F58E377">
        <w:tblPrEx>
          <w:tblCellMar>
            <w:top w:w="0" w:type="dxa"/>
            <w:left w:w="108" w:type="dxa"/>
            <w:bottom w:w="0" w:type="dxa"/>
            <w:right w:w="108" w:type="dxa"/>
          </w:tblCellMar>
        </w:tblPrEx>
        <w:trPr>
          <w:cantSplit/>
          <w:trHeight w:val="524"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1EEFEA">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4329F99F">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温湿度控制</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18A3EF4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应设置温湿度自动调节设施，使机房温湿度的变化在设备运行所允许的范围之内。</w:t>
            </w:r>
          </w:p>
        </w:tc>
      </w:tr>
      <w:tr w14:paraId="22403137">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127B61">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16DA33D">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电力供应</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10E1220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应在机房供电线路上配置稳压器和过电压防护设备；</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b) 应提供短期的备用电力供应，至少满足主要设备在断电情况下的正常运行要求；</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c) 应设置冗余或并行的电力电缆线路为计算机系统供电；</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d) 应建立备用供电系统。</w:t>
            </w:r>
          </w:p>
        </w:tc>
      </w:tr>
      <w:tr w14:paraId="525C23B5">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A1C53B">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D103648">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电磁防护</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6B83A25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应采用接地方式防止外界电磁干扰和设备寄生耦合干扰；</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b) 电源线和通信线缆应隔离铺设，避免互相干扰；</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c) 应对关键设备和磁介质实施电磁屏蔽。</w:t>
            </w:r>
          </w:p>
        </w:tc>
      </w:tr>
      <w:tr w14:paraId="5177A649">
        <w:tblPrEx>
          <w:tblCellMar>
            <w:top w:w="0" w:type="dxa"/>
            <w:left w:w="108" w:type="dxa"/>
            <w:bottom w:w="0" w:type="dxa"/>
            <w:right w:w="108" w:type="dxa"/>
          </w:tblCellMar>
        </w:tblPrEx>
        <w:trPr>
          <w:cantSplit/>
          <w:trHeight w:val="699" w:hRule="atLeast"/>
          <w:jc w:val="center"/>
        </w:trPr>
        <w:tc>
          <w:tcPr>
            <w:tcW w:w="751" w:type="pct"/>
            <w:vMerge w:val="restart"/>
            <w:tcBorders>
              <w:top w:val="single" w:color="000000" w:sz="4" w:space="0"/>
              <w:left w:val="single" w:color="000000" w:sz="4" w:space="0"/>
              <w:bottom w:val="single" w:color="000000" w:sz="4" w:space="0"/>
              <w:right w:val="single" w:color="000000" w:sz="4" w:space="0"/>
            </w:tcBorders>
            <w:noWrap w:val="0"/>
            <w:vAlign w:val="center"/>
          </w:tcPr>
          <w:p w14:paraId="6F9C1F6B">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安全通信网络</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5037C43">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网络架构</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78EC489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应保证网络设备的业务处理能力满足业务高峰期需要； </w:t>
            </w:r>
          </w:p>
          <w:p w14:paraId="5B6CCE1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应保证网络各个部分的带宽满足业务高峰期需要； </w:t>
            </w:r>
          </w:p>
          <w:p w14:paraId="37BB625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应划分不同的网络区域，并按照方便管理和控制的原则为各网络区域分配地址； </w:t>
            </w:r>
          </w:p>
          <w:p w14:paraId="0B25C3B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d) 应避免将重要网络区域部署在边界处，重要网络区域与其他网络区域之间应采取可靠的技术隔离手段； </w:t>
            </w:r>
          </w:p>
          <w:p w14:paraId="7325FBD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e) 应提供通信线路、关键网络设备和关键计算设备的硬件冗余，保证系统的可用性。</w:t>
            </w:r>
          </w:p>
        </w:tc>
      </w:tr>
      <w:tr w14:paraId="07F56AB3">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11D7AF">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DBC43C7">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通信传输</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1147FEE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应采用校验技术或密码技术保证通信过程中数据的完整性； </w:t>
            </w:r>
          </w:p>
          <w:p w14:paraId="122A006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应采用密码技术保证通信过程中数据的保密性。</w:t>
            </w:r>
          </w:p>
        </w:tc>
      </w:tr>
      <w:tr w14:paraId="4EC67678">
        <w:tblPrEx>
          <w:tblCellMar>
            <w:top w:w="0" w:type="dxa"/>
            <w:left w:w="108" w:type="dxa"/>
            <w:bottom w:w="0" w:type="dxa"/>
            <w:right w:w="108" w:type="dxa"/>
          </w:tblCellMar>
        </w:tblPrEx>
        <w:trPr>
          <w:cantSplit/>
          <w:trHeight w:val="1125"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E9E4623">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839FB96">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可信验证</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5342410">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可基于可信根对通信设备的系统引导程序、系统程序、重要配置参数和通信应用程序等进行可信验证，并在应用程序的关键执行环节进行动态可信验证，在检测到其可信性受到破坏后进行报警，并将验证结果形成审计记录送至安全管理中心。</w:t>
            </w:r>
          </w:p>
        </w:tc>
      </w:tr>
      <w:tr w14:paraId="02623B07">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3E658F">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B7B59ED">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边界防护</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1F60DF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应保证跨越边界的访问和数据流通过边界设备提供的受控接口进行通信； </w:t>
            </w:r>
          </w:p>
          <w:p w14:paraId="743E319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应能够对非授权设备私自联到内部网络的行为进行检查或限制； </w:t>
            </w:r>
          </w:p>
          <w:p w14:paraId="5B1C4E6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应能够对内部用户非授权联到外部网络的行为进行检查或限制； </w:t>
            </w:r>
          </w:p>
          <w:p w14:paraId="1EAC6A8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应限制无线网络的使用，保证无线网络通过受控的边界设备接入内部网络。</w:t>
            </w:r>
          </w:p>
        </w:tc>
      </w:tr>
      <w:tr w14:paraId="7928F52E">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8540DBF">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29150592">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访问控制</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EC7B12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应在网络边界或区域之间根据访问控制策略设置访问控制规则，默认情况下除允许通信外受控接口拒绝所有通信； </w:t>
            </w:r>
          </w:p>
          <w:p w14:paraId="5D61BC4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应删除多余或无效的访问控制规则，优化访问控制列表，并保证访问控制规则数量最小化； </w:t>
            </w:r>
          </w:p>
          <w:p w14:paraId="654016E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应对源地址、目的地址、源端口、目的端口和协议等进行检查，以允许/拒绝数据包进出； </w:t>
            </w:r>
          </w:p>
          <w:p w14:paraId="746737B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应能根据会话状态信息为进出数据流提供明确的允许/拒绝访问的能力；</w:t>
            </w:r>
          </w:p>
          <w:p w14:paraId="2C5F28D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e) 应对进出网络的数据流实现基于应用协议和应用内容的访问控制。</w:t>
            </w:r>
          </w:p>
        </w:tc>
      </w:tr>
      <w:tr w14:paraId="3172A7B3">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110372">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24A77568">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入侵防范</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1039F70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应在关键网络节点处检测、防止或限制从外部发起的网络攻击行为； </w:t>
            </w:r>
          </w:p>
          <w:p w14:paraId="15D3414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应在关键网络节点处检测、防止或限制从内部发起的网络攻击行为；</w:t>
            </w:r>
          </w:p>
          <w:p w14:paraId="12C5B94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应采取技术措施对网络行为进行分析，实现对网络攻击特别是新型网络攻击行为的分析； </w:t>
            </w:r>
          </w:p>
          <w:p w14:paraId="3D725DC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当检测到攻击行为时，记录攻击源 IP、攻击类型、攻击目标、攻击时间，在发生严重入侵事件时应提供报警。</w:t>
            </w:r>
          </w:p>
        </w:tc>
      </w:tr>
      <w:tr w14:paraId="78EC87CA">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494A0F">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3654295">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恶意代码防范</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2113FEE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应在关键网络节点处对恶意代码进行检测和清除，并维护恶意代码防护机制的升级和更新； </w:t>
            </w:r>
          </w:p>
          <w:p w14:paraId="4D0B501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应在关键网络节点处对垃圾邮件进行检测和防护，并维护垃圾邮件防护机制的升级和更新。</w:t>
            </w:r>
          </w:p>
        </w:tc>
      </w:tr>
      <w:tr w14:paraId="4AB719AB">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D1DCD1">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416FD183">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安全审计</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4DE8338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审计范围应覆盖到服务器和重要客户端上的每个操作系统用户和数据库用户；</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b) 审计内容应包括重要用户行为、系统资源的异常使用和重要系统命令的使用等系统内重要的安全相关事件；</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c) 审计记录应包括事件的日期、时间、类型、主体标识、客体标识和结果等；</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d) 应能够根据记录数据进行分析，并生成审计报表；</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e) 应保护审计进程，避免受到未预期的中断；</w:t>
            </w:r>
            <w:r>
              <w:rPr>
                <w:rFonts w:hint="eastAsia" w:ascii="宋体" w:hAnsi="宋体" w:eastAsia="宋体" w:cs="宋体"/>
                <w:bCs/>
                <w:color w:val="auto"/>
                <w:sz w:val="20"/>
                <w:szCs w:val="20"/>
                <w:highlight w:val="none"/>
              </w:rPr>
              <w:br w:type="textWrapping"/>
            </w:r>
            <w:r>
              <w:rPr>
                <w:rFonts w:hint="eastAsia" w:ascii="宋体" w:hAnsi="宋体" w:eastAsia="宋体" w:cs="宋体"/>
                <w:bCs/>
                <w:color w:val="auto"/>
                <w:sz w:val="20"/>
                <w:szCs w:val="20"/>
                <w:highlight w:val="none"/>
              </w:rPr>
              <w:t>f) 应保护审计记录，避免受到未预期的删除、修改或覆盖等。</w:t>
            </w:r>
          </w:p>
        </w:tc>
      </w:tr>
      <w:tr w14:paraId="2D1247B4">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541977">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19002C9">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可信验证</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69C7CA0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可基于可信根对边界设备的系统引导程序、系统程序、重要配置参数和边界防护应用程序等进行可信验证，并在应用程序的关键执行环节进行动态可信验证，在检测到其可信性受到破坏后进行报警， 并将验证结果形成审计记录送至安全管理中心。</w:t>
            </w:r>
          </w:p>
        </w:tc>
      </w:tr>
      <w:tr w14:paraId="36855317">
        <w:tblPrEx>
          <w:tblCellMar>
            <w:top w:w="0" w:type="dxa"/>
            <w:left w:w="108" w:type="dxa"/>
            <w:bottom w:w="0" w:type="dxa"/>
            <w:right w:w="108" w:type="dxa"/>
          </w:tblCellMar>
        </w:tblPrEx>
        <w:trPr>
          <w:cantSplit/>
          <w:trHeight w:val="699" w:hRule="atLeast"/>
          <w:jc w:val="center"/>
        </w:trPr>
        <w:tc>
          <w:tcPr>
            <w:tcW w:w="751" w:type="pct"/>
            <w:vMerge w:val="restart"/>
            <w:tcBorders>
              <w:top w:val="single" w:color="000000" w:sz="4" w:space="0"/>
              <w:left w:val="single" w:color="000000" w:sz="4" w:space="0"/>
              <w:bottom w:val="single" w:color="000000" w:sz="4" w:space="0"/>
              <w:right w:val="single" w:color="000000" w:sz="4" w:space="0"/>
            </w:tcBorders>
            <w:noWrap w:val="0"/>
            <w:vAlign w:val="center"/>
          </w:tcPr>
          <w:p w14:paraId="45E3DB17">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安全计算环境</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64BF7210">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身份鉴别</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42D25180">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应对登录的用户进行身份标识和鉴别，身份标识具有唯一性，身份鉴别信息具有复杂度要求并定期更换； </w:t>
            </w:r>
          </w:p>
          <w:p w14:paraId="4493273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应具有登录失败处理功能，应配置并启用结束会话、限制非法登录次数和当登录连接超时自动退出等相关措施； </w:t>
            </w:r>
          </w:p>
          <w:p w14:paraId="4D3BA8B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当进行远程管理时，应采取必要措施防止鉴别信息在网络传输过程中被窃听； </w:t>
            </w:r>
          </w:p>
          <w:p w14:paraId="19CDFB6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应采用口令、密码技术、生物技术等两种或两种以上组合的鉴别技术对用户进行身份鉴别， 且其中一种鉴别技术至少应使用密码技术来实现。</w:t>
            </w:r>
          </w:p>
        </w:tc>
      </w:tr>
      <w:tr w14:paraId="1558ABA0">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E05B46">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59742F2">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访问控制</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3E9994D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应对登录的用户分配账户和权限； </w:t>
            </w:r>
          </w:p>
          <w:p w14:paraId="5C8D975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应重命名或删除默认账户，修改默认账户的默认口令； </w:t>
            </w:r>
          </w:p>
          <w:p w14:paraId="0DB32B7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应及时删除或停用多余的、过期的账户，避免共享账户的存在； </w:t>
            </w:r>
          </w:p>
          <w:p w14:paraId="2D91FF6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d) 应授予管理用户所需的最小权限，实现管理用户的权限分离； </w:t>
            </w:r>
          </w:p>
          <w:p w14:paraId="5A2F67A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e) 应由授权主体配置访问控制策略，访问控制策略规定主体对客体的访问规则； </w:t>
            </w:r>
          </w:p>
          <w:p w14:paraId="4EB88D8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f) 访问控制的粒度应达到主体为用户级或进程级，客体为文件、数据库表级； </w:t>
            </w:r>
          </w:p>
          <w:p w14:paraId="65A0E2F0">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g) 应对重要主体和客体设置安全标记，并控制主体对有安全标记信息资源的访问。</w:t>
            </w:r>
          </w:p>
        </w:tc>
      </w:tr>
      <w:tr w14:paraId="28D1448C">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C937FE">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2A106CD">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安全审计</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57F262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应启用安全审计功能，审计覆盖到每个用户，对重要的用户行为和重要安全事件进行审计； </w:t>
            </w:r>
          </w:p>
          <w:p w14:paraId="1CF48C7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审计记录应包括事件的日期和时间、用户、事件类型、事件是否成功及其他与审计相关的信息； </w:t>
            </w:r>
          </w:p>
          <w:p w14:paraId="4C2BC35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应对审计记录进行保护，定期备份，避免受到未预期的删除、修改或覆盖等； </w:t>
            </w:r>
          </w:p>
          <w:p w14:paraId="38888C9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应对审计进程进行保护，防止未经授权的中断。</w:t>
            </w:r>
          </w:p>
        </w:tc>
      </w:tr>
      <w:tr w14:paraId="3F08BE30">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C373B6">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F018716">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入侵防范</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7C300B1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应遵循最小安装的原则，仅安装需要的组件和应用程序； </w:t>
            </w:r>
          </w:p>
          <w:p w14:paraId="4FC352B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应关闭不需要的系统服务、默认共享和高危端口； </w:t>
            </w:r>
          </w:p>
          <w:p w14:paraId="5917605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应通过设定终端接入方式或网络地址范围对通过网络进行管理的管理终端进行限制； </w:t>
            </w:r>
          </w:p>
          <w:p w14:paraId="38DA2F5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d) 应提供数据有效性检验功能，保证通过人机接口输入或通过通信接口输入的内容符合系统设定要求； </w:t>
            </w:r>
          </w:p>
          <w:p w14:paraId="291D5E6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e) 应能发现可能存在的已知漏洞，并在经过充分测试评估后，及时修补漏洞； </w:t>
            </w:r>
          </w:p>
          <w:p w14:paraId="676F576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f) 应能够检测到对重要节点进行入侵的行为，并在发生严重入侵事件时提供报警。</w:t>
            </w:r>
          </w:p>
        </w:tc>
      </w:tr>
      <w:tr w14:paraId="0B2691C0">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25E5B30">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1194D332">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恶意代码防范</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36603D6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应采用免受恶意代码攻击的技术措施或主动免疫可信验证机制及时识别入侵和病毒行为，并将其有效阻断。</w:t>
            </w:r>
          </w:p>
        </w:tc>
      </w:tr>
      <w:tr w14:paraId="0F9C4C0E">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07A6A4">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80C4E80">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可信验证</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4C57A68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可基于可信根对计算设备的系统引导程序、系统程序、重要配置参数和应用程序等进行可信验证， 并在应用程序的关键执行环节进行动态可信验证，在检测到其可信性受到破坏后进行报警，并将验证 结果形成审计记录送至安全管理中心。</w:t>
            </w:r>
          </w:p>
        </w:tc>
      </w:tr>
      <w:tr w14:paraId="3D677A32">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A15F19">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D162FD1">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数据完整性</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AD1686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应采用校验技术或密码技术保证重要数据在传输过程中的完整性，包括但不限于鉴别数据、重要业务数据、重要审计数据、重要配置数据、重要视频数据和重要个人信息等；</w:t>
            </w:r>
          </w:p>
          <w:p w14:paraId="149091B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应采用校验技术或密码技术保证重要数据在存储过程中的完整性，包括但不限于鉴别数据、重要业务数据、重要审计数据、重要配置数据、重要视频数据和重要个人信息等。</w:t>
            </w:r>
          </w:p>
        </w:tc>
      </w:tr>
      <w:tr w14:paraId="0F6A35E5">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0FD4B7">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E18E6E5">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数据保密性</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31D088D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应采用密码技术保证重要数据在传输过程中的保密性，包括但不限于鉴别数据、重要业务数据和重要个人信息等； </w:t>
            </w:r>
          </w:p>
          <w:p w14:paraId="449D776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应采用密码技术保证重要数据在存储过程中的保密性，包括但不限于鉴别数据、重要业务数据和重要个人信息等。</w:t>
            </w:r>
          </w:p>
        </w:tc>
      </w:tr>
      <w:tr w14:paraId="35E74EAF">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AB9D9A">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7115D6D">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数据备份恢复</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3A1AE91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应提供重要数据的本地数据备份与恢复功能； </w:t>
            </w:r>
          </w:p>
          <w:p w14:paraId="7234520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应提供异地实时备份功能，利用通信网络将重要数据实时备份至备份场地； </w:t>
            </w:r>
          </w:p>
          <w:p w14:paraId="3D66520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应提供重要数据处理系统的热冗余，保证系统的高可用性。</w:t>
            </w:r>
          </w:p>
        </w:tc>
      </w:tr>
      <w:tr w14:paraId="33D8D041">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5B44751">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FC81768">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剩余信息保护</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0DD56CB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应保证鉴别信息所在的存储空间被释放或重新分配前得到完全清除； </w:t>
            </w:r>
          </w:p>
          <w:p w14:paraId="74CC5AC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应保证存有敏感数据的存储空间被释放或重新分配前得到完全清除。</w:t>
            </w:r>
          </w:p>
        </w:tc>
      </w:tr>
      <w:tr w14:paraId="5D0BBED4">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EE5597">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14498B19">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个人信息保护</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0F6C45C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应仅采集和保存业务必需的用户个人信息； </w:t>
            </w:r>
          </w:p>
          <w:p w14:paraId="69A2EE3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应禁止未授权访问和非法使用用户个人信息。</w:t>
            </w:r>
          </w:p>
        </w:tc>
      </w:tr>
      <w:tr w14:paraId="6A82AF8B">
        <w:tblPrEx>
          <w:tblCellMar>
            <w:top w:w="0" w:type="dxa"/>
            <w:left w:w="108" w:type="dxa"/>
            <w:bottom w:w="0" w:type="dxa"/>
            <w:right w:w="108" w:type="dxa"/>
          </w:tblCellMar>
        </w:tblPrEx>
        <w:trPr>
          <w:cantSplit/>
          <w:trHeight w:val="699" w:hRule="atLeast"/>
          <w:jc w:val="center"/>
        </w:trPr>
        <w:tc>
          <w:tcPr>
            <w:tcW w:w="751" w:type="pct"/>
            <w:vMerge w:val="restart"/>
            <w:tcBorders>
              <w:top w:val="single" w:color="000000" w:sz="4" w:space="0"/>
              <w:left w:val="single" w:color="000000" w:sz="4" w:space="0"/>
              <w:bottom w:val="single" w:color="000000" w:sz="4" w:space="0"/>
              <w:right w:val="single" w:color="000000" w:sz="4" w:space="0"/>
            </w:tcBorders>
            <w:noWrap w:val="0"/>
            <w:vAlign w:val="center"/>
          </w:tcPr>
          <w:p w14:paraId="0A1AA3BD">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安全管理中心</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50C04EA">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系统管理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26A604A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应对系统管理员进行身份鉴别，只允许其通过特定的命令或操作界面进行系统管理操作，并对这些操作进行审计；</w:t>
            </w:r>
          </w:p>
          <w:p w14:paraId="23F3634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应通过系统管理员对系统的资源和运行进行配置、控制和管理，包括用户身份、系统资源配置、系统加载和启动、系统运行的异常处理、数据和设备的备份与恢复等。</w:t>
            </w:r>
          </w:p>
        </w:tc>
      </w:tr>
      <w:tr w14:paraId="28A0F278">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818075">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1D5CD6E">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审计管理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62EBB6F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应对审计管理员进行身份鉴别，只允许其通过特定的命令或操作界面进行安全审计操作，并对这些操作进行审计；</w:t>
            </w:r>
          </w:p>
          <w:p w14:paraId="1E64A2B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应通过审计管理员对审计记录应进行分析，并根据分析结果进行处理，包括根据安全审计策略对审计记录进行存储、管理和查询等。</w:t>
            </w:r>
          </w:p>
        </w:tc>
      </w:tr>
      <w:tr w14:paraId="5358811C">
        <w:tblPrEx>
          <w:tblCellMar>
            <w:top w:w="0" w:type="dxa"/>
            <w:left w:w="108" w:type="dxa"/>
            <w:bottom w:w="0" w:type="dxa"/>
            <w:right w:w="108" w:type="dxa"/>
          </w:tblCellMar>
        </w:tblPrEx>
        <w:trPr>
          <w:cantSplit/>
          <w:trHeight w:val="1416"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C96A27">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4F6F849F">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2883A6A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应对安全管理员进行身份鉴别，只允许其通过特定的命令或操作界面进行安全管理操作，并对这些操作进行审计； </w:t>
            </w:r>
          </w:p>
          <w:p w14:paraId="64FBF7A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应通过安全管理员对系统中的安全策略进行配置，包括安全参数的设置，主体、客体进行统一安全标记，对主体进行授权，配置可信验证策略等。</w:t>
            </w:r>
          </w:p>
        </w:tc>
      </w:tr>
      <w:tr w14:paraId="23C28EF8">
        <w:tblPrEx>
          <w:tblCellMar>
            <w:top w:w="0" w:type="dxa"/>
            <w:left w:w="108" w:type="dxa"/>
            <w:bottom w:w="0" w:type="dxa"/>
            <w:right w:w="108" w:type="dxa"/>
          </w:tblCellMar>
        </w:tblPrEx>
        <w:trPr>
          <w:cantSplit/>
          <w:trHeight w:val="2653"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4BAC5F0">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897722F">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集中管控</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6902DAD0">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应划分出特定的管理区域，对分布在网络中的安全设备或安全组件进行管控； </w:t>
            </w:r>
          </w:p>
          <w:p w14:paraId="1A113BC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应能够建立一条安全的信息传输路径，对网络中的安全设备或安全组件进行管理；</w:t>
            </w:r>
          </w:p>
          <w:p w14:paraId="7236498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应对网络链路、安全设备、网络设备和服务器等的运行状况进行集中监测； </w:t>
            </w:r>
          </w:p>
          <w:p w14:paraId="3B4A537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应对分散在各个设备上的审计数据进行收集汇总和集中分析，并保证审计记录的留存时间符合法律法规要求；</w:t>
            </w:r>
          </w:p>
          <w:p w14:paraId="68F0451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e) 应对安全策略、恶意代码、补丁升级等安全相关事项进行集中管理； </w:t>
            </w:r>
          </w:p>
          <w:p w14:paraId="0466425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f) 应能对网络中发生的各类安全事件进行识别、报警和分析。</w:t>
            </w:r>
          </w:p>
        </w:tc>
      </w:tr>
      <w:tr w14:paraId="0AB6D088">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3C3DEA">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7900BB8">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安全策略</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1F5828F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应制定网络安全工作的总体方针和安全策略，阐明机构安全工作的总体目标、范围、原则和安全框架等。</w:t>
            </w:r>
          </w:p>
        </w:tc>
      </w:tr>
      <w:tr w14:paraId="1A983E5A">
        <w:tblPrEx>
          <w:tblCellMar>
            <w:top w:w="0" w:type="dxa"/>
            <w:left w:w="108" w:type="dxa"/>
            <w:bottom w:w="0" w:type="dxa"/>
            <w:right w:w="108" w:type="dxa"/>
          </w:tblCellMar>
        </w:tblPrEx>
        <w:trPr>
          <w:cantSplit/>
          <w:trHeight w:val="1183"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3F0360">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2AADAA11">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管理制度</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0DC48DF0">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应对安全管理活动中的各类管理内容建立安全管理制度； </w:t>
            </w:r>
          </w:p>
          <w:p w14:paraId="62CD917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应对管理人员或操作人员执行的日常管理操作建立操作规程； </w:t>
            </w:r>
          </w:p>
          <w:p w14:paraId="348DBBC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应形成由安全策略、管理制度、操作规程、记录表单等构成的全面的安全管理制度体系。</w:t>
            </w:r>
          </w:p>
        </w:tc>
      </w:tr>
      <w:tr w14:paraId="363A8425">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6C3582">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6813FDCB">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制定和发布</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2B8478D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应指定或授权专门的部门或人员负责安全管理制度的制定； </w:t>
            </w:r>
          </w:p>
          <w:p w14:paraId="282C13A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安全管理制度应通过正式、有效的方式发布，并进行版本控制。</w:t>
            </w:r>
          </w:p>
        </w:tc>
      </w:tr>
      <w:tr w14:paraId="0AC6D061">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D5C09E9">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747B335">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评审和修订</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4D47C3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应定期对安全管理制度的合理性和适用性进行论证和审定，对存在不足或需要改进的安全管理制度进行修订。</w:t>
            </w:r>
          </w:p>
        </w:tc>
      </w:tr>
      <w:tr w14:paraId="7DB76ECC">
        <w:tblPrEx>
          <w:tblCellMar>
            <w:top w:w="0" w:type="dxa"/>
            <w:left w:w="108" w:type="dxa"/>
            <w:bottom w:w="0" w:type="dxa"/>
            <w:right w:w="108" w:type="dxa"/>
          </w:tblCellMar>
        </w:tblPrEx>
        <w:trPr>
          <w:cantSplit/>
          <w:trHeight w:val="1686" w:hRule="atLeast"/>
          <w:jc w:val="center"/>
        </w:trPr>
        <w:tc>
          <w:tcPr>
            <w:tcW w:w="751" w:type="pct"/>
            <w:vMerge w:val="restart"/>
            <w:tcBorders>
              <w:top w:val="single" w:color="000000" w:sz="4" w:space="0"/>
              <w:left w:val="single" w:color="000000" w:sz="4" w:space="0"/>
              <w:bottom w:val="single" w:color="000000" w:sz="4" w:space="0"/>
              <w:right w:val="single" w:color="000000" w:sz="4" w:space="0"/>
            </w:tcBorders>
            <w:noWrap w:val="0"/>
            <w:vAlign w:val="center"/>
          </w:tcPr>
          <w:p w14:paraId="066CBEA4">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安全管理机构</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237C089">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岗位设置</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3E09F43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应成立指导和管理网络安全工作的委员会或领导小组，其最高领导由单位主管领导担任或授权；</w:t>
            </w:r>
          </w:p>
          <w:p w14:paraId="55047565">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应设立网络安全管理工作的职能部门，设立安全主管、安全管理各个方面的负责人岗位，并定义各负责人的职责； </w:t>
            </w:r>
          </w:p>
          <w:p w14:paraId="5DE621C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应设立系统管理员、审计管理员和安全管理员等岗位，并定义部门及各个工作岗位的职责。</w:t>
            </w:r>
          </w:p>
        </w:tc>
      </w:tr>
      <w:tr w14:paraId="4BF287D5">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EE9AFF">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15269971">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人员配备</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60E4EF8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应配备一定数量的系统管理员、审计管理员和安全管理员等； </w:t>
            </w:r>
          </w:p>
          <w:p w14:paraId="1007826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应配备专职安全管理员，不可兼任。</w:t>
            </w:r>
          </w:p>
        </w:tc>
      </w:tr>
      <w:tr w14:paraId="106D3F20">
        <w:tblPrEx>
          <w:tblCellMar>
            <w:top w:w="0" w:type="dxa"/>
            <w:left w:w="108" w:type="dxa"/>
            <w:bottom w:w="0" w:type="dxa"/>
            <w:right w:w="108" w:type="dxa"/>
          </w:tblCellMar>
        </w:tblPrEx>
        <w:trPr>
          <w:cantSplit/>
          <w:trHeight w:val="1693"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271156">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89F9202">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授权和审批</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6B15392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应根据各个部门和岗位的职责明确授权审批事项、审批部门和批准人等；b) 应针对系统变更、重要操作、物理访问和系统接入等事项建立审批程序，按照审批程序执行审批过程，对重要活动建立逐级审批制度； </w:t>
            </w:r>
          </w:p>
          <w:p w14:paraId="1F6E69C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应定期审查审批事项，及时更新需授权和审批的项目、审批部门和审批人等信息。</w:t>
            </w:r>
          </w:p>
        </w:tc>
      </w:tr>
      <w:tr w14:paraId="134EC790">
        <w:tblPrEx>
          <w:tblCellMar>
            <w:top w:w="0" w:type="dxa"/>
            <w:left w:w="108" w:type="dxa"/>
            <w:bottom w:w="0" w:type="dxa"/>
            <w:right w:w="108" w:type="dxa"/>
          </w:tblCellMar>
        </w:tblPrEx>
        <w:trPr>
          <w:cantSplit/>
          <w:trHeight w:val="1845"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9FF23D">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2C39187D">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沟通和合作</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49C0CD9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应加强各类管理人员、组织内部机构和网络安全管理部门之间的合作与沟通，定期召开协调会议，共同协作处理网络安全问题； </w:t>
            </w:r>
          </w:p>
          <w:p w14:paraId="5318775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应加强与网络安全职能部门、各类供应商、业界专家及安全组织的合作与沟通； </w:t>
            </w:r>
          </w:p>
          <w:p w14:paraId="6FE3A8B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应建立外联单位联系列表，包括外联单位名称、合作内容、联系人和联系方式等信息。</w:t>
            </w:r>
          </w:p>
        </w:tc>
      </w:tr>
      <w:tr w14:paraId="6D795CE1">
        <w:tblPrEx>
          <w:tblCellMar>
            <w:top w:w="0" w:type="dxa"/>
            <w:left w:w="108" w:type="dxa"/>
            <w:bottom w:w="0" w:type="dxa"/>
            <w:right w:w="108" w:type="dxa"/>
          </w:tblCellMar>
        </w:tblPrEx>
        <w:trPr>
          <w:cantSplit/>
          <w:trHeight w:val="1700"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226911">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17B9A599">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审核和检查</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7641A51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应定期进行常规安全检查，检查内容包括系统日常运行、系统漏洞和数据备份等情况； </w:t>
            </w:r>
          </w:p>
          <w:p w14:paraId="3D5299B5">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应定期进行全面安全检查，检查内容包括现有安全技术措施的有效性、安全配置与安全策略的一致性、安全管理制度的执行情况等；</w:t>
            </w:r>
          </w:p>
          <w:p w14:paraId="5B445EF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应制定安全检查表格实施安全检查，汇总安全检查数据，形成安全检查报告，并对安全检查结果进行通报。</w:t>
            </w:r>
          </w:p>
        </w:tc>
      </w:tr>
      <w:tr w14:paraId="74934C51">
        <w:tblPrEx>
          <w:tblCellMar>
            <w:top w:w="0" w:type="dxa"/>
            <w:left w:w="108" w:type="dxa"/>
            <w:bottom w:w="0" w:type="dxa"/>
            <w:right w:w="108" w:type="dxa"/>
          </w:tblCellMar>
        </w:tblPrEx>
        <w:trPr>
          <w:cantSplit/>
          <w:trHeight w:val="1255" w:hRule="atLeast"/>
          <w:jc w:val="center"/>
        </w:trPr>
        <w:tc>
          <w:tcPr>
            <w:tcW w:w="751" w:type="pct"/>
            <w:vMerge w:val="restart"/>
            <w:tcBorders>
              <w:top w:val="single" w:color="000000" w:sz="4" w:space="0"/>
              <w:left w:val="single" w:color="000000" w:sz="4" w:space="0"/>
              <w:bottom w:val="single" w:color="000000" w:sz="4" w:space="0"/>
              <w:right w:val="single" w:color="000000" w:sz="4" w:space="0"/>
            </w:tcBorders>
            <w:noWrap w:val="0"/>
            <w:vAlign w:val="center"/>
          </w:tcPr>
          <w:p w14:paraId="70345A65">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安全人员管理</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D83BAA3">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人员录用</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6EF6E26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应指定或授权专门的部门或人员负责人员录用； </w:t>
            </w:r>
          </w:p>
          <w:p w14:paraId="0A44BD2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应对被录用人员的身份、安全背景、专业资格或资质等进行审查，对其所具有的技术技能进行考核； </w:t>
            </w:r>
          </w:p>
          <w:p w14:paraId="06097465">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应与被录用人员签署保密协议，与关键岗位人员签署岗位责任协议。</w:t>
            </w:r>
          </w:p>
        </w:tc>
      </w:tr>
      <w:tr w14:paraId="5A5E8E0D">
        <w:tblPrEx>
          <w:tblCellMar>
            <w:top w:w="0" w:type="dxa"/>
            <w:left w:w="108" w:type="dxa"/>
            <w:bottom w:w="0" w:type="dxa"/>
            <w:right w:w="108" w:type="dxa"/>
          </w:tblCellMar>
        </w:tblPrEx>
        <w:trPr>
          <w:cantSplit/>
          <w:trHeight w:val="990"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6F360A4">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12125AD1">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人员离岗</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491C976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应及时终止离岗人员的所有访问权限，取回各种身份证件、钥匙、徽章等以及机构提供的软硬件设备； </w:t>
            </w:r>
          </w:p>
          <w:p w14:paraId="1DEF620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应办理严格的调离手续，并承诺调离后的保密义务后方可离开。</w:t>
            </w:r>
          </w:p>
        </w:tc>
      </w:tr>
      <w:tr w14:paraId="5EBCF542">
        <w:tblPrEx>
          <w:tblCellMar>
            <w:top w:w="0" w:type="dxa"/>
            <w:left w:w="108" w:type="dxa"/>
            <w:bottom w:w="0" w:type="dxa"/>
            <w:right w:w="108" w:type="dxa"/>
          </w:tblCellMar>
        </w:tblPrEx>
        <w:trPr>
          <w:cantSplit/>
          <w:trHeight w:val="1401"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F8EE148">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D96C37D">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安全意识教育和培训</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171EBF1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应对各类人员进行安全意识教育和岗位技能培训，并告知相关的安全责任和惩戒措施； </w:t>
            </w:r>
          </w:p>
          <w:p w14:paraId="31BDA80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应针对不同岗位制定不同的培训计划，对安全基础知识、岗位操作规程等进行培训； </w:t>
            </w:r>
          </w:p>
          <w:p w14:paraId="13B62D1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应定期对不同岗位的人员进行技能考核。</w:t>
            </w:r>
          </w:p>
        </w:tc>
      </w:tr>
      <w:tr w14:paraId="49A5DFD8">
        <w:tblPrEx>
          <w:tblCellMar>
            <w:top w:w="0" w:type="dxa"/>
            <w:left w:w="108" w:type="dxa"/>
            <w:bottom w:w="0" w:type="dxa"/>
            <w:right w:w="108" w:type="dxa"/>
          </w:tblCellMar>
        </w:tblPrEx>
        <w:trPr>
          <w:cantSplit/>
          <w:trHeight w:val="1975"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1655EFB">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96C84B2">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外部人员访问管理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33C92EA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应在外部人员物理访问受控区域前先提出书面申请，批准后由专人全程陪同，并登记备案； </w:t>
            </w:r>
          </w:p>
          <w:p w14:paraId="19DF836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应在外部人员接入受控网络访问系统前先提出书面申请，批准后由专人开设账户、分配权限， 并登记备案； </w:t>
            </w:r>
          </w:p>
          <w:p w14:paraId="576947E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外部人员离场后应及时清除其所有的访问权限； </w:t>
            </w:r>
          </w:p>
          <w:p w14:paraId="57D417A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获得系统访问授权的外部人员应签署保密协议，不得进行非授权操作，不得复制和泄露任何敏感信息。</w:t>
            </w:r>
          </w:p>
        </w:tc>
      </w:tr>
      <w:tr w14:paraId="49D8ED62">
        <w:tblPrEx>
          <w:tblCellMar>
            <w:top w:w="0" w:type="dxa"/>
            <w:left w:w="108" w:type="dxa"/>
            <w:bottom w:w="0" w:type="dxa"/>
            <w:right w:w="108" w:type="dxa"/>
          </w:tblCellMar>
        </w:tblPrEx>
        <w:trPr>
          <w:cantSplit/>
          <w:trHeight w:val="1691" w:hRule="atLeast"/>
          <w:jc w:val="center"/>
        </w:trPr>
        <w:tc>
          <w:tcPr>
            <w:tcW w:w="751" w:type="pct"/>
            <w:vMerge w:val="restart"/>
            <w:tcBorders>
              <w:top w:val="single" w:color="000000" w:sz="4" w:space="0"/>
              <w:left w:val="single" w:color="000000" w:sz="4" w:space="0"/>
              <w:bottom w:val="single" w:color="000000" w:sz="4" w:space="0"/>
              <w:right w:val="single" w:color="000000" w:sz="4" w:space="0"/>
            </w:tcBorders>
            <w:noWrap w:val="0"/>
            <w:vAlign w:val="center"/>
          </w:tcPr>
          <w:p w14:paraId="1DE433EF">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安全建设管理</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4B27B125">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定级和备案</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77E00D5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应以书面的形式说明保护对象的安全保护等级及确定等级的方法和理由； </w:t>
            </w:r>
          </w:p>
          <w:p w14:paraId="1D6106F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应组织相关部门和有关安全技术专家对定级结果的合理性和正确性进行论证和审定； </w:t>
            </w:r>
          </w:p>
          <w:p w14:paraId="0127E7A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应保证定级结果经过相关部门的批准； </w:t>
            </w:r>
          </w:p>
          <w:p w14:paraId="65142C3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应将备案材料报主管部门和相应公安机关备案。</w:t>
            </w:r>
          </w:p>
        </w:tc>
      </w:tr>
      <w:tr w14:paraId="5E03172B">
        <w:tblPrEx>
          <w:tblCellMar>
            <w:top w:w="0" w:type="dxa"/>
            <w:left w:w="108" w:type="dxa"/>
            <w:bottom w:w="0" w:type="dxa"/>
            <w:right w:w="108" w:type="dxa"/>
          </w:tblCellMar>
        </w:tblPrEx>
        <w:trPr>
          <w:cantSplit/>
          <w:trHeight w:val="1970"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806615">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44DA7745">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安全方案设计</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04B9644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应根据安全保护等级选择基本安全措施，依据风险分析的结果补充和调整安全措施； </w:t>
            </w:r>
          </w:p>
          <w:p w14:paraId="11A0C6D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应根据保护对象的安全保护等级及与其他级别保护对象的关系进行安全整体规划和安全方案设计，设计内容应包含密码技术相关内容，并形成配套文件；</w:t>
            </w:r>
          </w:p>
          <w:p w14:paraId="49FDA2E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应组织相关部门和有关安全专家对安全整体规划及其配套文件的合理性和正确性进行论证和审定，经过批准后才能正式实施。</w:t>
            </w:r>
          </w:p>
        </w:tc>
      </w:tr>
      <w:tr w14:paraId="316CE54F">
        <w:tblPrEx>
          <w:tblCellMar>
            <w:top w:w="0" w:type="dxa"/>
            <w:left w:w="108" w:type="dxa"/>
            <w:bottom w:w="0" w:type="dxa"/>
            <w:right w:w="108" w:type="dxa"/>
          </w:tblCellMar>
        </w:tblPrEx>
        <w:trPr>
          <w:cantSplit/>
          <w:trHeight w:val="1416"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3B08F4">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23A77363">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产品采购和使用</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7B7E5B0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应确保网络安全产品采购和使用符合国家的有关规定；</w:t>
            </w:r>
          </w:p>
          <w:p w14:paraId="337D800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应确保密码产品与服务的采购和使用符合国家密码管理主管部门的要求； </w:t>
            </w:r>
          </w:p>
          <w:p w14:paraId="47B0462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应预先对产品进行选型测试，确定产品的候选范围，并定期审定和更新候选产品名单。</w:t>
            </w:r>
          </w:p>
        </w:tc>
      </w:tr>
      <w:tr w14:paraId="2256E93A">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31FD8FA">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688B1C01">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自行软件开发</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76D1A39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应将开发环境与实际运行环境物理分开，测试数据和测试结果受到控制；b) 应制定软件开发管理制度，明确说明开发过程的控制方法和人员行为准则； </w:t>
            </w:r>
          </w:p>
          <w:p w14:paraId="25FF0F5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应制定代码编写安全规范，要求开发人员参照规范编写代码； </w:t>
            </w:r>
          </w:p>
          <w:p w14:paraId="03FD7D2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d) 应具备软件设计的相关文档和使用指南，并对文档使用进行控制； </w:t>
            </w:r>
          </w:p>
          <w:p w14:paraId="6F8B8F6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e) 应保证在软件开发过程中对安全性进行测试，在软件安装前对可能存在的恶意代码进行检测； </w:t>
            </w:r>
          </w:p>
          <w:p w14:paraId="0C47A335">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f) 应对程序资源库的修改、更新、发布进行授权和批准，并严格进行版本控制； </w:t>
            </w:r>
          </w:p>
          <w:p w14:paraId="7EBFAEC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g) 应保证开发人员为专职人员，开发人员的开发活动受到控制、监视和审查。</w:t>
            </w:r>
          </w:p>
        </w:tc>
      </w:tr>
      <w:tr w14:paraId="6A05E595">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FAFD0C">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69306009">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外包软件开发</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2DB393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应在软件交付前检测其中可能存在的恶意代码； </w:t>
            </w:r>
          </w:p>
          <w:p w14:paraId="1C53133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应保证开发单位提供软件设计文档和使用指南； </w:t>
            </w:r>
          </w:p>
          <w:p w14:paraId="4DE63E4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应保证开发单位提供软件源代码，并审查软件中可能存在的后门和隐蔽信道。</w:t>
            </w:r>
          </w:p>
        </w:tc>
      </w:tr>
      <w:tr w14:paraId="118F5475">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AA2FC86">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7973A5C">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工程实施</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76D73FB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应指定或授权专门的部门或人员负责工程实施过程的管理； </w:t>
            </w:r>
          </w:p>
          <w:p w14:paraId="50A9EB0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应制定安全工程实施方案控制工程实施过程； </w:t>
            </w:r>
          </w:p>
          <w:p w14:paraId="7EF0942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应通过第三方工程监理控制项目的实施过程。</w:t>
            </w:r>
          </w:p>
        </w:tc>
      </w:tr>
      <w:tr w14:paraId="20E3B20E">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4C78A40">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766821E2">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测试验收</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623336B5">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应制订测试验收方案，并依据测试验收方案实施测试验收，形成测试验收报告； </w:t>
            </w:r>
          </w:p>
          <w:p w14:paraId="543ED8F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应进行上线前的安全性测试，并出具安全测试报告，安全测试报告应包含密码应用安全性测试相关内容。</w:t>
            </w:r>
          </w:p>
        </w:tc>
      </w:tr>
      <w:tr w14:paraId="6C3C534D">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ADE4E0">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2B34139C">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系统交付</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7286E7A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应制定交付清单，并根据交付清单对所交接的设备、软件和文档等进行清点； </w:t>
            </w:r>
          </w:p>
          <w:p w14:paraId="239921B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应对负责运行维护的技术人员进行相应的技能培训； </w:t>
            </w:r>
          </w:p>
          <w:p w14:paraId="4FE019D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应提供建设过程文档和运行维护文档。</w:t>
            </w:r>
          </w:p>
        </w:tc>
      </w:tr>
      <w:tr w14:paraId="01A642FF">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D4DA45E">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BC60E57">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等级测评</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6C01803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应定期进行等级测评，发现不符合相应等级保护标准要求的及时整改； </w:t>
            </w:r>
          </w:p>
          <w:p w14:paraId="2B4F788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应在发生重大变更或级别发生变化时进行等级测评； </w:t>
            </w:r>
          </w:p>
          <w:p w14:paraId="704922F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应确保测评机构的选择符合国家有关规定。</w:t>
            </w:r>
          </w:p>
        </w:tc>
      </w:tr>
      <w:tr w14:paraId="3D2F4497">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5EB5E29">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739DC28">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服务供应商选择</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F617A9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应确保服务供应商的选择符合国家的有关规定； </w:t>
            </w:r>
          </w:p>
          <w:p w14:paraId="6D1C5CF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应与选定的服务供应商签订相关协议，明确整个服务供应链各方需履行的网络安全相关义务； </w:t>
            </w:r>
          </w:p>
          <w:p w14:paraId="51DEF7B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应定期监督、评审和审核服务供应商提供的服务，并对其变更服务内容加以控制。</w:t>
            </w:r>
          </w:p>
        </w:tc>
      </w:tr>
      <w:tr w14:paraId="3AB8723C">
        <w:tblPrEx>
          <w:tblCellMar>
            <w:top w:w="0" w:type="dxa"/>
            <w:left w:w="108" w:type="dxa"/>
            <w:bottom w:w="0" w:type="dxa"/>
            <w:right w:w="108" w:type="dxa"/>
          </w:tblCellMar>
        </w:tblPrEx>
        <w:trPr>
          <w:cantSplit/>
          <w:trHeight w:val="699" w:hRule="atLeast"/>
          <w:jc w:val="center"/>
        </w:trPr>
        <w:tc>
          <w:tcPr>
            <w:tcW w:w="751" w:type="pct"/>
            <w:vMerge w:val="restart"/>
            <w:tcBorders>
              <w:top w:val="single" w:color="000000" w:sz="4" w:space="0"/>
              <w:left w:val="single" w:color="000000" w:sz="4" w:space="0"/>
              <w:bottom w:val="single" w:color="000000" w:sz="4" w:space="0"/>
              <w:right w:val="single" w:color="000000" w:sz="4" w:space="0"/>
            </w:tcBorders>
            <w:noWrap w:val="0"/>
            <w:vAlign w:val="center"/>
          </w:tcPr>
          <w:p w14:paraId="0B583AAF">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安全运维管理</w:t>
            </w: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A67E3C4">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环境管理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29B61AD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应指定专门的部门或人员负责机房安全，对机房出入进行管理，定期对机房供配电、空调、温湿度控制、消防等设施进行维护管理； </w:t>
            </w:r>
          </w:p>
          <w:p w14:paraId="1731ECB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应建立机房安全管理制度，对有关物理访问、物品带进出和环境安全等方面的管理作出规定； </w:t>
            </w:r>
          </w:p>
          <w:p w14:paraId="1DEE6D0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应不在重要区域接待来访人员，不随意放置含有敏感信息的纸档文件和移动介质等。</w:t>
            </w:r>
          </w:p>
        </w:tc>
      </w:tr>
      <w:tr w14:paraId="6D203CE3">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6F72E1C">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A865B58">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资产管理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77077C4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应编制并保存与保护对象相关的资产清单，包括资产责任部门、重要程度和所处位置等内容； </w:t>
            </w:r>
          </w:p>
          <w:p w14:paraId="650EFB2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应根据资产的重要程度对资产进行标识管理，根据资产的价值选择相应的管理措施； </w:t>
            </w:r>
          </w:p>
          <w:p w14:paraId="3D052F1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应对信息分类与标识方法作出规定，并对信息的使用、传输和存储等进行规范化管理。</w:t>
            </w:r>
          </w:p>
        </w:tc>
      </w:tr>
      <w:tr w14:paraId="45067589">
        <w:tblPrEx>
          <w:tblCellMar>
            <w:top w:w="0" w:type="dxa"/>
            <w:left w:w="108" w:type="dxa"/>
            <w:bottom w:w="0" w:type="dxa"/>
            <w:right w:w="108" w:type="dxa"/>
          </w:tblCellMar>
        </w:tblPrEx>
        <w:trPr>
          <w:cantSplit/>
          <w:trHeight w:val="699"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7D575E">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F2457B6">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介质管理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288D7DF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应将介质存放在安全的环境中，对各类介质进行控制和保护，实行存储环境专人管理，并根据存档介质的目录清单定期盘点； </w:t>
            </w:r>
          </w:p>
          <w:p w14:paraId="3D54A98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应对介质在物理传输过程中的人员选择、打包、交付等情况进行控制，并对介质的归档和查询等进行登记记录。</w:t>
            </w:r>
          </w:p>
        </w:tc>
      </w:tr>
      <w:tr w14:paraId="40CA50FE">
        <w:tblPrEx>
          <w:tblCellMar>
            <w:top w:w="0" w:type="dxa"/>
            <w:left w:w="108" w:type="dxa"/>
            <w:bottom w:w="0" w:type="dxa"/>
            <w:right w:w="108" w:type="dxa"/>
          </w:tblCellMar>
        </w:tblPrEx>
        <w:trPr>
          <w:cantSplit/>
          <w:trHeight w:val="2550"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4225E1A">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665F2CAD">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设备维护管理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4DC60CB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a) 应对各种设备（包括备份和冗余设备）、线路等指定专门的部门或人员定期进行维护管理；</w:t>
            </w:r>
          </w:p>
          <w:p w14:paraId="6177874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应建立配套设施、软硬件维护方面的管理制度，对其维护进行有效的管理，包括明确维护人员的责任、维修和服务的审批、维修过程的监督控制等；</w:t>
            </w:r>
          </w:p>
          <w:p w14:paraId="72CEAF9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信息处理设备应经过审批才能带离机房或办公地点，含有存储介质的设备带出工作环境时其中重要数据应加密； </w:t>
            </w:r>
          </w:p>
          <w:p w14:paraId="50A5A9B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含有存储介质的设备在报废或重用前，应进行完全清除或被安全覆盖，保证该设备上的敏感数据和授权软件无法被恢复重用。</w:t>
            </w:r>
          </w:p>
        </w:tc>
      </w:tr>
      <w:tr w14:paraId="36866469">
        <w:tblPrEx>
          <w:tblCellMar>
            <w:top w:w="0" w:type="dxa"/>
            <w:left w:w="108" w:type="dxa"/>
            <w:bottom w:w="0" w:type="dxa"/>
            <w:right w:w="108" w:type="dxa"/>
          </w:tblCellMar>
        </w:tblPrEx>
        <w:trPr>
          <w:cantSplit/>
          <w:trHeight w:val="1112"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AF7207">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3F002B7F">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漏洞和风险管理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AC0DE0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应采取必要的措施识别安全漏洞和隐患，对发现的安全漏洞和隐患及时进行修补或评估可能的影响后进行修补； </w:t>
            </w:r>
          </w:p>
          <w:p w14:paraId="27FC5C3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应定期开展安全测评，形成安全测评报告，采取措施应对发现的安全问题。</w:t>
            </w:r>
          </w:p>
        </w:tc>
      </w:tr>
      <w:tr w14:paraId="226A278A">
        <w:tblPrEx>
          <w:tblCellMar>
            <w:top w:w="0" w:type="dxa"/>
            <w:left w:w="108" w:type="dxa"/>
            <w:bottom w:w="0" w:type="dxa"/>
            <w:right w:w="108" w:type="dxa"/>
          </w:tblCellMar>
        </w:tblPrEx>
        <w:trPr>
          <w:cantSplit/>
          <w:trHeight w:val="6516"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193E43">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6521B602">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网络和系统安全管理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167E72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应划分不同的管理员角色进行网络和系统的运维管理，明确各个角色的责任和权限； </w:t>
            </w:r>
          </w:p>
          <w:p w14:paraId="2F6C872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应指定专门的部门或人员进行账户管理，对申请账户、建立账户、删除账户等进行控制； </w:t>
            </w:r>
          </w:p>
          <w:p w14:paraId="66AE8FB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应建立网络和系统安全管理制度，对安全策略、账户管理、配置管理、日志管理、日常操作、升级与打补丁、口令更新周期等方面作出规定； </w:t>
            </w:r>
          </w:p>
          <w:p w14:paraId="5730152D">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d) 应制定重要设备的配置和操作手册，依据手册对设备进行安全配置和优化配置等； </w:t>
            </w:r>
          </w:p>
          <w:p w14:paraId="4F7A64D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e) 应详细记录运维操作日志，包括日常巡检工作、运行维护记录、参数的设置和修改等内容； </w:t>
            </w:r>
          </w:p>
          <w:p w14:paraId="59AC55A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f) 应指定专门的部门或人员对日志、监测和报警数据等进行分析、统计，及时发现可疑行为； </w:t>
            </w:r>
          </w:p>
          <w:p w14:paraId="5AA732E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g) 应严格控制变更性运维，经过审批后才可改变连接、安装系统组件或调整配置参数，操作过程中应保留不可更改的审计日志，操作结束后应同步更新配置信息库； </w:t>
            </w:r>
          </w:p>
          <w:p w14:paraId="50CB931E">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h) 应严格控制运维工具的使用，经过审批后才可接入进行操作，操作过程中应保留不可更改的审计日志，操作结束后应删除工具中的敏感数据；</w:t>
            </w:r>
          </w:p>
          <w:p w14:paraId="5A425B7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i) 应严格控制远程运维的开通，经过审批后才可开通远程运维接口或通道，操作过程中应保留不可更改的审计日志，操作结束后立即关闭接口或通道；</w:t>
            </w:r>
          </w:p>
          <w:p w14:paraId="5042A255">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j) 应保证所有与外部的连接均得到授权和批准，应定期检查违反规定无线上网及其他违反网络安全策略的行为。</w:t>
            </w:r>
          </w:p>
        </w:tc>
      </w:tr>
      <w:tr w14:paraId="4709EFFC">
        <w:tblPrEx>
          <w:tblCellMar>
            <w:top w:w="0" w:type="dxa"/>
            <w:left w:w="108" w:type="dxa"/>
            <w:bottom w:w="0" w:type="dxa"/>
            <w:right w:w="108" w:type="dxa"/>
          </w:tblCellMar>
        </w:tblPrEx>
        <w:trPr>
          <w:cantSplit/>
          <w:trHeight w:val="1123"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9059C17">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51D7E2F5">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恶意代码防范管理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03A3B290">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应提高所有用户的防恶意代码意识，对外来计算机或存储设备接入系统前进行恶意代码检查等； </w:t>
            </w:r>
          </w:p>
          <w:p w14:paraId="5BA1CC9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应定期验证防范恶意代码攻击的技术措施的有效性。</w:t>
            </w:r>
          </w:p>
        </w:tc>
      </w:tr>
      <w:tr w14:paraId="71610B42">
        <w:tblPrEx>
          <w:tblCellMar>
            <w:top w:w="0" w:type="dxa"/>
            <w:left w:w="108" w:type="dxa"/>
            <w:bottom w:w="0" w:type="dxa"/>
            <w:right w:w="108" w:type="dxa"/>
          </w:tblCellMar>
        </w:tblPrEx>
        <w:trPr>
          <w:cantSplit/>
          <w:trHeight w:val="1407"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48133E50">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25A2718C">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配置管理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4DF8B2E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应记录和保存基本配置信息，包括网络拓扑结构、各个设备安装的软件组件、软件组件的版本和补丁信息、各个设备或软件组件的配置参数等； </w:t>
            </w:r>
          </w:p>
          <w:p w14:paraId="1850520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应将基本配置信息改变纳入变更范畴，实施对配置信息改变的控制，并及时更新基本配置信息库。</w:t>
            </w:r>
          </w:p>
        </w:tc>
      </w:tr>
      <w:tr w14:paraId="35B11D5E">
        <w:tblPrEx>
          <w:tblCellMar>
            <w:top w:w="0" w:type="dxa"/>
            <w:left w:w="108" w:type="dxa"/>
            <w:bottom w:w="0" w:type="dxa"/>
            <w:right w:w="108" w:type="dxa"/>
          </w:tblCellMar>
        </w:tblPrEx>
        <w:trPr>
          <w:cantSplit/>
          <w:trHeight w:val="834"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D0AC4D">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5B99E91">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密码管理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7D9A661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应遵循密码相关国家标准和行业标准； </w:t>
            </w:r>
          </w:p>
          <w:p w14:paraId="589E8277">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应使用国家密码管理主管部门认证核准的密码技术和产品。</w:t>
            </w:r>
          </w:p>
        </w:tc>
      </w:tr>
      <w:tr w14:paraId="3A5B74B2">
        <w:tblPrEx>
          <w:tblCellMar>
            <w:top w:w="0" w:type="dxa"/>
            <w:left w:w="108" w:type="dxa"/>
            <w:bottom w:w="0" w:type="dxa"/>
            <w:right w:w="108" w:type="dxa"/>
          </w:tblCellMar>
        </w:tblPrEx>
        <w:trPr>
          <w:cantSplit/>
          <w:trHeight w:val="1700"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E3A6DC">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1F983B81">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变更管理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56746E2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应明确变更需求，变更前根据变更需求制定变更方案，变更方案经过评审、审批后方可实施； </w:t>
            </w:r>
          </w:p>
          <w:p w14:paraId="7571A4E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应建立变更的申报和审批控制程序，依据程序控制所有的变更，记录变更实施过程； </w:t>
            </w:r>
          </w:p>
          <w:p w14:paraId="5700382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应建立中止变更并从失败变更中恢复的程序，明确过程控制方法和人员职责，必要时对恢复过程进行演练。</w:t>
            </w:r>
          </w:p>
        </w:tc>
      </w:tr>
      <w:tr w14:paraId="3580DA74">
        <w:tblPrEx>
          <w:tblCellMar>
            <w:top w:w="0" w:type="dxa"/>
            <w:left w:w="108" w:type="dxa"/>
            <w:bottom w:w="0" w:type="dxa"/>
            <w:right w:w="108" w:type="dxa"/>
          </w:tblCellMar>
        </w:tblPrEx>
        <w:trPr>
          <w:cantSplit/>
          <w:trHeight w:val="1113"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45D5821">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5EB0301">
            <w:pPr>
              <w:topLinePunct/>
              <w:spacing w:line="324" w:lineRule="auto"/>
              <w:jc w:val="center"/>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备份与恢复管理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022EE06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应识别需要定期备份的重要业务信息、系统数据及软件系统等； </w:t>
            </w:r>
          </w:p>
          <w:p w14:paraId="36DF07C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应规定备份信息的备份方式、备份频度、存储介质、保存期等； </w:t>
            </w:r>
          </w:p>
          <w:p w14:paraId="771D67C2">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应根据数据的重要性和数据对系统运行的影响，制定数据的备份策略和恢复策略、备份程序和恢复程序等。</w:t>
            </w:r>
          </w:p>
        </w:tc>
      </w:tr>
      <w:tr w14:paraId="541DD402">
        <w:tblPrEx>
          <w:tblCellMar>
            <w:top w:w="0" w:type="dxa"/>
            <w:left w:w="108" w:type="dxa"/>
            <w:bottom w:w="0" w:type="dxa"/>
            <w:right w:w="108" w:type="dxa"/>
          </w:tblCellMar>
        </w:tblPrEx>
        <w:trPr>
          <w:cantSplit/>
          <w:trHeight w:val="2264"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1D51FC">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82838C3">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安全事件处置</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4EC19A51">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应及时向安全管理部门报告所发现的安全弱点和可疑事件； </w:t>
            </w:r>
          </w:p>
          <w:p w14:paraId="6848ACF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b) 应制定安全事件报告和处置管理制度，明确不同安全事件的报告、处置和响应流程，规定安全事件的现场处理、事件报告和后期恢复的管理职责等；c) 应在安全事件报告和响应处理过程中，分析和鉴定事件产生的原因，收集证据，记录处理过程， 总结经验教训； </w:t>
            </w:r>
          </w:p>
          <w:p w14:paraId="0184CA0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对造成系统中断和造成信息泄漏的重大安全事件应采用不同的处理程序和报告程序。</w:t>
            </w:r>
          </w:p>
        </w:tc>
      </w:tr>
      <w:tr w14:paraId="7F651436">
        <w:tblPrEx>
          <w:tblCellMar>
            <w:top w:w="0" w:type="dxa"/>
            <w:left w:w="108" w:type="dxa"/>
            <w:bottom w:w="0" w:type="dxa"/>
            <w:right w:w="108" w:type="dxa"/>
          </w:tblCellMar>
        </w:tblPrEx>
        <w:trPr>
          <w:cantSplit/>
          <w:trHeight w:val="1970"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19F966EC">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8D35B28">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应急预案管理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1DBED7C9">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应规定统一的应急预案框架，包括启动预案的条件、应急组织构成、应急资源保障、事后教育和培训等内容； </w:t>
            </w:r>
          </w:p>
          <w:p w14:paraId="68297EAF">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应制定重要事件的应急预案，包括应急处理流程、系统恢复流程等内容；</w:t>
            </w:r>
          </w:p>
          <w:p w14:paraId="72E701B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c) 应定期对系统相关的人员进行应急预案培训，并进行应急预案的演练；</w:t>
            </w:r>
          </w:p>
          <w:p w14:paraId="6AFA4984">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应定期对原有的应急预案重新评估，修订完善。</w:t>
            </w:r>
          </w:p>
        </w:tc>
      </w:tr>
      <w:tr w14:paraId="5A8D45AF">
        <w:tblPrEx>
          <w:tblCellMar>
            <w:top w:w="0" w:type="dxa"/>
            <w:left w:w="108" w:type="dxa"/>
            <w:bottom w:w="0" w:type="dxa"/>
            <w:right w:w="108" w:type="dxa"/>
          </w:tblCellMar>
        </w:tblPrEx>
        <w:trPr>
          <w:cantSplit/>
          <w:trHeight w:val="2536" w:hRule="atLeast"/>
          <w:jc w:val="center"/>
        </w:trPr>
        <w:tc>
          <w:tcPr>
            <w:tcW w:w="751"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05FBFF">
            <w:pPr>
              <w:topLinePunct/>
              <w:spacing w:line="324" w:lineRule="auto"/>
              <w:jc w:val="center"/>
              <w:rPr>
                <w:rFonts w:hint="eastAsia" w:ascii="宋体" w:hAnsi="宋体" w:eastAsia="宋体" w:cs="宋体"/>
                <w:bCs/>
                <w:color w:val="auto"/>
                <w:sz w:val="20"/>
                <w:szCs w:val="20"/>
                <w:highlight w:val="none"/>
              </w:rPr>
            </w:pPr>
          </w:p>
        </w:tc>
        <w:tc>
          <w:tcPr>
            <w:tcW w:w="999" w:type="pct"/>
            <w:tcBorders>
              <w:top w:val="single" w:color="000000" w:sz="4" w:space="0"/>
              <w:left w:val="single" w:color="000000" w:sz="4" w:space="0"/>
              <w:bottom w:val="single" w:color="000000" w:sz="4" w:space="0"/>
              <w:right w:val="single" w:color="000000" w:sz="4" w:space="0"/>
            </w:tcBorders>
            <w:noWrap w:val="0"/>
            <w:vAlign w:val="center"/>
          </w:tcPr>
          <w:p w14:paraId="05FE0EB6">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外包运维管理</w:t>
            </w:r>
          </w:p>
        </w:tc>
        <w:tc>
          <w:tcPr>
            <w:tcW w:w="3250" w:type="pct"/>
            <w:tcBorders>
              <w:top w:val="single" w:color="000000" w:sz="4" w:space="0"/>
              <w:left w:val="single" w:color="000000" w:sz="4" w:space="0"/>
              <w:bottom w:val="single" w:color="000000" w:sz="4" w:space="0"/>
              <w:right w:val="single" w:color="000000" w:sz="4" w:space="0"/>
            </w:tcBorders>
            <w:noWrap w:val="0"/>
            <w:vAlign w:val="center"/>
          </w:tcPr>
          <w:p w14:paraId="37CC8D4C">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a) 应确保外包运维服务商的选择符合国家的有关规定； </w:t>
            </w:r>
          </w:p>
          <w:p w14:paraId="2784E43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b) 应与选定的外包运维服务商签订相关的协议，明确约定外包运维的范围、工作内容；</w:t>
            </w:r>
          </w:p>
          <w:p w14:paraId="32273F8A">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 xml:space="preserve">c) 应保证选择的外包运维服务商在技术和管理方面均应具有按照等级保护要求开展安全运维工作的能力，并将能力要求在签订的协议中明确； </w:t>
            </w:r>
          </w:p>
          <w:p w14:paraId="517E53BB">
            <w:pPr>
              <w:topLinePunct/>
              <w:spacing w:line="324" w:lineRule="auto"/>
              <w:rPr>
                <w:rFonts w:hint="eastAsia" w:ascii="宋体" w:hAnsi="宋体" w:eastAsia="宋体" w:cs="宋体"/>
                <w:bCs/>
                <w:color w:val="auto"/>
                <w:sz w:val="20"/>
                <w:szCs w:val="20"/>
                <w:highlight w:val="none"/>
              </w:rPr>
            </w:pPr>
            <w:r>
              <w:rPr>
                <w:rFonts w:hint="eastAsia" w:ascii="宋体" w:hAnsi="宋体" w:eastAsia="宋体" w:cs="宋体"/>
                <w:bCs/>
                <w:color w:val="auto"/>
                <w:sz w:val="20"/>
                <w:szCs w:val="20"/>
                <w:highlight w:val="none"/>
              </w:rPr>
              <w:t>d) 应在与外包运维服务商签订的协议中明确所有相关的安全要求，如可能涉及对敏感信息的访问、处理、存储要求，对 IT 基础设施中断服务的应急保障要求等。</w:t>
            </w:r>
          </w:p>
        </w:tc>
      </w:tr>
    </w:tbl>
    <w:p w14:paraId="693FCD88">
      <w:pPr>
        <w:pStyle w:val="4"/>
        <w:spacing w:before="26" w:line="360" w:lineRule="auto"/>
        <w:ind w:left="129" w:right="227" w:firstLine="479"/>
        <w:rPr>
          <w:rFonts w:hint="eastAsia" w:ascii="宋体" w:hAnsi="宋体" w:eastAsia="宋体" w:cs="宋体"/>
          <w:color w:val="auto"/>
          <w:sz w:val="20"/>
          <w:szCs w:val="20"/>
          <w:highlight w:val="none"/>
        </w:rPr>
      </w:pPr>
    </w:p>
    <w:p w14:paraId="0637B7C4">
      <w:pPr>
        <w:pStyle w:val="3"/>
        <w:tabs>
          <w:tab w:val="left" w:pos="360"/>
        </w:tabs>
        <w:spacing w:before="0" w:after="0" w:line="360" w:lineRule="auto"/>
        <w:jc w:val="left"/>
        <w:rPr>
          <w:rFonts w:hint="eastAsia" w:ascii="宋体" w:hAnsi="宋体" w:eastAsia="宋体" w:cs="宋体"/>
          <w:color w:val="auto"/>
          <w:sz w:val="20"/>
          <w:szCs w:val="20"/>
          <w:highlight w:val="none"/>
        </w:rPr>
      </w:pPr>
      <w:bookmarkStart w:id="17" w:name="_Toc179547422"/>
      <w:r>
        <w:rPr>
          <w:rFonts w:hint="eastAsia" w:ascii="宋体" w:hAnsi="宋体" w:eastAsia="宋体" w:cs="宋体"/>
          <w:color w:val="auto"/>
          <w:sz w:val="20"/>
          <w:szCs w:val="20"/>
          <w:highlight w:val="none"/>
        </w:rPr>
        <w:t>三、</w:t>
      </w:r>
      <w:bookmarkEnd w:id="7"/>
      <w:bookmarkEnd w:id="8"/>
      <w:bookmarkEnd w:id="9"/>
      <w:r>
        <w:rPr>
          <w:rFonts w:hint="eastAsia" w:ascii="宋体" w:hAnsi="宋体" w:eastAsia="宋体" w:cs="宋体"/>
          <w:color w:val="auto"/>
          <w:sz w:val="20"/>
          <w:szCs w:val="20"/>
          <w:highlight w:val="none"/>
        </w:rPr>
        <w:t>项目服务内容</w:t>
      </w:r>
      <w:bookmarkEnd w:id="10"/>
      <w:bookmarkEnd w:id="17"/>
    </w:p>
    <w:p w14:paraId="5B6B1167">
      <w:pPr>
        <w:pStyle w:val="8"/>
        <w:spacing w:line="360" w:lineRule="auto"/>
        <w:ind w:firstLine="560"/>
        <w:rPr>
          <w:rFonts w:hint="eastAsia" w:ascii="宋体" w:hAnsi="宋体" w:eastAsia="宋体" w:cs="宋体"/>
          <w:color w:val="auto"/>
          <w:sz w:val="20"/>
          <w:szCs w:val="20"/>
          <w:highlight w:val="none"/>
        </w:rPr>
      </w:pPr>
      <w:bookmarkStart w:id="18" w:name="_Toc13224"/>
      <w:r>
        <w:rPr>
          <w:rFonts w:hint="eastAsia" w:ascii="宋体" w:hAnsi="宋体" w:eastAsia="宋体" w:cs="宋体"/>
          <w:color w:val="auto"/>
          <w:sz w:val="20"/>
          <w:szCs w:val="20"/>
          <w:highlight w:val="none"/>
        </w:rPr>
        <w:t>本次</w:t>
      </w:r>
      <w:r>
        <w:rPr>
          <w:rFonts w:hint="eastAsia" w:ascii="宋体" w:hAnsi="宋体" w:eastAsia="宋体" w:cs="宋体"/>
          <w:color w:val="auto"/>
          <w:sz w:val="20"/>
          <w:szCs w:val="20"/>
          <w:highlight w:val="none"/>
          <w:lang w:eastAsia="zh-CN"/>
        </w:rPr>
        <w:t>西安市全民健康信息平台升级建设项目安全测评</w:t>
      </w:r>
      <w:r>
        <w:rPr>
          <w:rFonts w:hint="eastAsia" w:ascii="宋体" w:hAnsi="宋体" w:eastAsia="宋体" w:cs="宋体"/>
          <w:color w:val="auto"/>
          <w:sz w:val="20"/>
          <w:szCs w:val="20"/>
          <w:highlight w:val="none"/>
        </w:rPr>
        <w:t>包括以下</w:t>
      </w:r>
      <w:r>
        <w:rPr>
          <w:rFonts w:hint="eastAsia" w:ascii="宋体" w:hAnsi="宋体" w:eastAsia="宋体" w:cs="宋体"/>
          <w:color w:val="auto"/>
          <w:sz w:val="20"/>
          <w:szCs w:val="20"/>
          <w:highlight w:val="none"/>
          <w:lang w:val="en-US" w:eastAsia="zh-CN"/>
        </w:rPr>
        <w:t>16</w:t>
      </w:r>
      <w:r>
        <w:rPr>
          <w:rFonts w:hint="eastAsia" w:ascii="宋体" w:hAnsi="宋体" w:eastAsia="宋体" w:cs="宋体"/>
          <w:color w:val="auto"/>
          <w:sz w:val="20"/>
          <w:szCs w:val="20"/>
          <w:highlight w:val="none"/>
        </w:rPr>
        <w:t>个系统的等级保护测评服务，具体需开展等保测评系统如下表：</w:t>
      </w:r>
    </w:p>
    <w:p w14:paraId="71544F90">
      <w:pPr>
        <w:spacing w:line="360" w:lineRule="auto"/>
        <w:ind w:firstLine="400"/>
        <w:jc w:val="center"/>
        <w:rPr>
          <w:rFonts w:hint="eastAsia" w:ascii="宋体" w:hAnsi="宋体" w:eastAsia="宋体" w:cs="宋体"/>
          <w:b/>
          <w:bCs/>
          <w:color w:val="auto"/>
          <w:sz w:val="20"/>
          <w:szCs w:val="20"/>
          <w:highlight w:val="none"/>
        </w:rPr>
      </w:pPr>
      <w:r>
        <w:rPr>
          <w:rFonts w:hint="eastAsia" w:ascii="宋体" w:hAnsi="宋体" w:eastAsia="宋体" w:cs="宋体"/>
          <w:b/>
          <w:bCs/>
          <w:color w:val="auto"/>
          <w:sz w:val="20"/>
          <w:szCs w:val="20"/>
          <w:highlight w:val="none"/>
        </w:rPr>
        <w:t>表2  系统列表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3014"/>
        <w:gridCol w:w="1250"/>
        <w:gridCol w:w="1707"/>
      </w:tblGrid>
      <w:tr w14:paraId="7F59A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0" w:type="auto"/>
            <w:noWrap w:val="0"/>
            <w:vAlign w:val="center"/>
          </w:tcPr>
          <w:p w14:paraId="4152F4A8">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3014" w:type="dxa"/>
            <w:noWrap w:val="0"/>
            <w:vAlign w:val="center"/>
          </w:tcPr>
          <w:p w14:paraId="2FAB2A3F">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系统名称</w:t>
            </w:r>
          </w:p>
        </w:tc>
        <w:tc>
          <w:tcPr>
            <w:tcW w:w="1250" w:type="dxa"/>
            <w:noWrap w:val="0"/>
            <w:vAlign w:val="center"/>
          </w:tcPr>
          <w:p w14:paraId="66F430A1">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系统级别</w:t>
            </w:r>
          </w:p>
        </w:tc>
        <w:tc>
          <w:tcPr>
            <w:tcW w:w="1707" w:type="dxa"/>
            <w:noWrap w:val="0"/>
            <w:vAlign w:val="center"/>
          </w:tcPr>
          <w:p w14:paraId="50A942F1">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服务内容</w:t>
            </w:r>
          </w:p>
        </w:tc>
      </w:tr>
      <w:tr w14:paraId="4269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E9BEB88">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w:t>
            </w:r>
          </w:p>
        </w:tc>
        <w:tc>
          <w:tcPr>
            <w:tcW w:w="3014" w:type="dxa"/>
            <w:noWrap w:val="0"/>
            <w:vAlign w:val="center"/>
          </w:tcPr>
          <w:p w14:paraId="571CD1E8">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rPr>
              <w:t>西安市全民健康信息平台</w:t>
            </w:r>
          </w:p>
        </w:tc>
        <w:tc>
          <w:tcPr>
            <w:tcW w:w="1250" w:type="dxa"/>
            <w:noWrap w:val="0"/>
            <w:vAlign w:val="center"/>
          </w:tcPr>
          <w:p w14:paraId="538E45F8">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restart"/>
            <w:noWrap w:val="0"/>
            <w:vAlign w:val="center"/>
          </w:tcPr>
          <w:p w14:paraId="406193A0">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等级保护测评服务</w:t>
            </w:r>
          </w:p>
        </w:tc>
      </w:tr>
      <w:tr w14:paraId="37E5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4943587">
            <w:pPr>
              <w:autoSpaceDE w:val="0"/>
              <w:autoSpaceDN w:val="0"/>
              <w:spacing w:line="360" w:lineRule="auto"/>
              <w:jc w:val="center"/>
              <w:rPr>
                <w:rFonts w:hint="eastAsia" w:ascii="宋体" w:hAnsi="宋体" w:eastAsia="宋体" w:cs="宋体"/>
                <w:color w:val="auto"/>
                <w:sz w:val="20"/>
                <w:szCs w:val="20"/>
                <w:highlight w:val="none"/>
              </w:rPr>
            </w:pPr>
            <w:bookmarkStart w:id="19" w:name="_Toc359487271"/>
            <w:bookmarkStart w:id="20" w:name="_Toc359487171"/>
            <w:bookmarkStart w:id="21" w:name="_Toc339954201"/>
            <w:bookmarkStart w:id="22" w:name="_Toc359486625"/>
            <w:bookmarkStart w:id="23" w:name="_Toc359486790"/>
            <w:bookmarkStart w:id="24" w:name="_Toc359485978"/>
            <w:bookmarkStart w:id="25" w:name="_Toc14194"/>
            <w:r>
              <w:rPr>
                <w:rFonts w:hint="eastAsia" w:ascii="宋体" w:hAnsi="宋体" w:eastAsia="宋体" w:cs="宋体"/>
                <w:color w:val="auto"/>
                <w:sz w:val="20"/>
                <w:szCs w:val="20"/>
                <w:highlight w:val="none"/>
              </w:rPr>
              <w:t>2</w:t>
            </w:r>
          </w:p>
        </w:tc>
        <w:tc>
          <w:tcPr>
            <w:tcW w:w="3014" w:type="dxa"/>
            <w:noWrap w:val="0"/>
            <w:vAlign w:val="center"/>
          </w:tcPr>
          <w:p w14:paraId="50F66BC2">
            <w:pPr>
              <w:pStyle w:val="4"/>
              <w:spacing w:after="0"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基础平台升级系统</w:t>
            </w:r>
          </w:p>
        </w:tc>
        <w:tc>
          <w:tcPr>
            <w:tcW w:w="1250" w:type="dxa"/>
            <w:noWrap w:val="0"/>
            <w:vAlign w:val="center"/>
          </w:tcPr>
          <w:p w14:paraId="39AA6E9D">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1421B802">
            <w:pPr>
              <w:autoSpaceDE w:val="0"/>
              <w:autoSpaceDN w:val="0"/>
              <w:spacing w:line="360" w:lineRule="auto"/>
              <w:jc w:val="center"/>
              <w:rPr>
                <w:rFonts w:hint="eastAsia" w:ascii="宋体" w:hAnsi="宋体" w:eastAsia="宋体" w:cs="宋体"/>
                <w:color w:val="auto"/>
                <w:sz w:val="20"/>
                <w:szCs w:val="20"/>
                <w:highlight w:val="none"/>
              </w:rPr>
            </w:pPr>
          </w:p>
        </w:tc>
      </w:tr>
      <w:tr w14:paraId="7B795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F2E2183">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w:t>
            </w:r>
          </w:p>
        </w:tc>
        <w:tc>
          <w:tcPr>
            <w:tcW w:w="3014" w:type="dxa"/>
            <w:noWrap w:val="0"/>
            <w:vAlign w:val="center"/>
          </w:tcPr>
          <w:p w14:paraId="7E810BE5">
            <w:pPr>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业务支撑应用系统</w:t>
            </w:r>
          </w:p>
        </w:tc>
        <w:tc>
          <w:tcPr>
            <w:tcW w:w="1250" w:type="dxa"/>
            <w:noWrap w:val="0"/>
            <w:vAlign w:val="center"/>
          </w:tcPr>
          <w:p w14:paraId="4071EEDB">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25FA816F">
            <w:pPr>
              <w:autoSpaceDE w:val="0"/>
              <w:autoSpaceDN w:val="0"/>
              <w:spacing w:line="360" w:lineRule="auto"/>
              <w:jc w:val="center"/>
              <w:rPr>
                <w:rFonts w:hint="eastAsia" w:ascii="宋体" w:hAnsi="宋体" w:eastAsia="宋体" w:cs="宋体"/>
                <w:color w:val="auto"/>
                <w:sz w:val="20"/>
                <w:szCs w:val="20"/>
                <w:highlight w:val="none"/>
              </w:rPr>
            </w:pPr>
          </w:p>
        </w:tc>
      </w:tr>
      <w:tr w14:paraId="4D7B1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745F5CF6">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4</w:t>
            </w:r>
          </w:p>
        </w:tc>
        <w:tc>
          <w:tcPr>
            <w:tcW w:w="3014" w:type="dxa"/>
            <w:noWrap w:val="0"/>
            <w:vAlign w:val="center"/>
          </w:tcPr>
          <w:p w14:paraId="7C948F63">
            <w:pPr>
              <w:autoSpaceDE w:val="0"/>
              <w:autoSpaceDN w:val="0"/>
              <w:spacing w:line="360" w:lineRule="auto"/>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互联网医院系统</w:t>
            </w:r>
          </w:p>
        </w:tc>
        <w:tc>
          <w:tcPr>
            <w:tcW w:w="1250" w:type="dxa"/>
            <w:noWrap w:val="0"/>
            <w:vAlign w:val="center"/>
          </w:tcPr>
          <w:p w14:paraId="2BF51A96">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31928459">
            <w:pPr>
              <w:autoSpaceDE w:val="0"/>
              <w:autoSpaceDN w:val="0"/>
              <w:spacing w:line="360" w:lineRule="auto"/>
              <w:jc w:val="center"/>
              <w:rPr>
                <w:rFonts w:hint="eastAsia" w:ascii="宋体" w:hAnsi="宋体" w:eastAsia="宋体" w:cs="宋体"/>
                <w:color w:val="auto"/>
                <w:sz w:val="20"/>
                <w:szCs w:val="20"/>
                <w:highlight w:val="none"/>
              </w:rPr>
            </w:pPr>
          </w:p>
        </w:tc>
      </w:tr>
      <w:tr w14:paraId="5FEFC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1764D75">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5</w:t>
            </w:r>
          </w:p>
        </w:tc>
        <w:tc>
          <w:tcPr>
            <w:tcW w:w="3014" w:type="dxa"/>
            <w:noWrap w:val="0"/>
            <w:vAlign w:val="center"/>
          </w:tcPr>
          <w:p w14:paraId="7078976B">
            <w:pPr>
              <w:autoSpaceDE w:val="0"/>
              <w:autoSpaceDN w:val="0"/>
              <w:spacing w:line="360" w:lineRule="auto"/>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信用就医系统</w:t>
            </w:r>
          </w:p>
        </w:tc>
        <w:tc>
          <w:tcPr>
            <w:tcW w:w="1250" w:type="dxa"/>
            <w:noWrap w:val="0"/>
            <w:vAlign w:val="center"/>
          </w:tcPr>
          <w:p w14:paraId="64802B7E">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51626E1D">
            <w:pPr>
              <w:autoSpaceDE w:val="0"/>
              <w:autoSpaceDN w:val="0"/>
              <w:spacing w:line="360" w:lineRule="auto"/>
              <w:jc w:val="center"/>
              <w:rPr>
                <w:rFonts w:hint="eastAsia" w:ascii="宋体" w:hAnsi="宋体" w:eastAsia="宋体" w:cs="宋体"/>
                <w:color w:val="auto"/>
                <w:sz w:val="20"/>
                <w:szCs w:val="20"/>
                <w:highlight w:val="none"/>
              </w:rPr>
            </w:pPr>
          </w:p>
        </w:tc>
      </w:tr>
      <w:tr w14:paraId="7244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BF5AC0E">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6</w:t>
            </w:r>
          </w:p>
        </w:tc>
        <w:tc>
          <w:tcPr>
            <w:tcW w:w="3014" w:type="dxa"/>
            <w:noWrap w:val="0"/>
            <w:vAlign w:val="center"/>
          </w:tcPr>
          <w:p w14:paraId="00B492BD">
            <w:pPr>
              <w:autoSpaceDE w:val="0"/>
              <w:autoSpaceDN w:val="0"/>
              <w:spacing w:line="360" w:lineRule="auto"/>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预约挂号资源池系统</w:t>
            </w:r>
          </w:p>
        </w:tc>
        <w:tc>
          <w:tcPr>
            <w:tcW w:w="1250" w:type="dxa"/>
            <w:noWrap w:val="0"/>
            <w:vAlign w:val="center"/>
          </w:tcPr>
          <w:p w14:paraId="2AE5055C">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49DEBD75">
            <w:pPr>
              <w:autoSpaceDE w:val="0"/>
              <w:autoSpaceDN w:val="0"/>
              <w:spacing w:line="360" w:lineRule="auto"/>
              <w:jc w:val="center"/>
              <w:rPr>
                <w:rFonts w:hint="eastAsia" w:ascii="宋体" w:hAnsi="宋体" w:eastAsia="宋体" w:cs="宋体"/>
                <w:color w:val="auto"/>
                <w:sz w:val="20"/>
                <w:szCs w:val="20"/>
                <w:highlight w:val="none"/>
              </w:rPr>
            </w:pPr>
          </w:p>
        </w:tc>
      </w:tr>
      <w:tr w14:paraId="522D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3353A6D4">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7</w:t>
            </w:r>
          </w:p>
        </w:tc>
        <w:tc>
          <w:tcPr>
            <w:tcW w:w="3014" w:type="dxa"/>
            <w:noWrap w:val="0"/>
            <w:vAlign w:val="center"/>
          </w:tcPr>
          <w:p w14:paraId="302BBB04">
            <w:pPr>
              <w:autoSpaceDE w:val="0"/>
              <w:autoSpaceDN w:val="0"/>
              <w:spacing w:line="360" w:lineRule="auto"/>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统一支付平台系统</w:t>
            </w:r>
          </w:p>
        </w:tc>
        <w:tc>
          <w:tcPr>
            <w:tcW w:w="1250" w:type="dxa"/>
            <w:noWrap w:val="0"/>
            <w:vAlign w:val="center"/>
          </w:tcPr>
          <w:p w14:paraId="68CA0E6D">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2EF9B11D">
            <w:pPr>
              <w:autoSpaceDE w:val="0"/>
              <w:autoSpaceDN w:val="0"/>
              <w:spacing w:line="360" w:lineRule="auto"/>
              <w:jc w:val="center"/>
              <w:rPr>
                <w:rFonts w:hint="eastAsia" w:ascii="宋体" w:hAnsi="宋体" w:eastAsia="宋体" w:cs="宋体"/>
                <w:color w:val="auto"/>
                <w:sz w:val="20"/>
                <w:szCs w:val="20"/>
                <w:highlight w:val="none"/>
              </w:rPr>
            </w:pPr>
          </w:p>
        </w:tc>
      </w:tr>
      <w:tr w14:paraId="1C08F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80D2A93">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8</w:t>
            </w:r>
          </w:p>
        </w:tc>
        <w:tc>
          <w:tcPr>
            <w:tcW w:w="3014" w:type="dxa"/>
            <w:noWrap w:val="0"/>
            <w:vAlign w:val="center"/>
          </w:tcPr>
          <w:p w14:paraId="61630CF6">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电子票据系统</w:t>
            </w:r>
          </w:p>
        </w:tc>
        <w:tc>
          <w:tcPr>
            <w:tcW w:w="1250" w:type="dxa"/>
            <w:noWrap w:val="0"/>
            <w:vAlign w:val="center"/>
          </w:tcPr>
          <w:p w14:paraId="63A620B6">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6A0C51CA">
            <w:pPr>
              <w:autoSpaceDE w:val="0"/>
              <w:autoSpaceDN w:val="0"/>
              <w:spacing w:line="360" w:lineRule="auto"/>
              <w:jc w:val="center"/>
              <w:rPr>
                <w:rFonts w:hint="eastAsia" w:ascii="宋体" w:hAnsi="宋体" w:eastAsia="宋体" w:cs="宋体"/>
                <w:color w:val="auto"/>
                <w:sz w:val="20"/>
                <w:szCs w:val="20"/>
                <w:highlight w:val="none"/>
              </w:rPr>
            </w:pPr>
          </w:p>
        </w:tc>
      </w:tr>
      <w:tr w14:paraId="2BE9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EDC1954">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9</w:t>
            </w:r>
          </w:p>
        </w:tc>
        <w:tc>
          <w:tcPr>
            <w:tcW w:w="3014" w:type="dxa"/>
            <w:noWrap w:val="0"/>
            <w:vAlign w:val="center"/>
          </w:tcPr>
          <w:p w14:paraId="2E1792E3">
            <w:pPr>
              <w:autoSpaceDE w:val="0"/>
              <w:autoSpaceDN w:val="0"/>
              <w:spacing w:line="360" w:lineRule="auto"/>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智能提醒系统</w:t>
            </w:r>
          </w:p>
        </w:tc>
        <w:tc>
          <w:tcPr>
            <w:tcW w:w="1250" w:type="dxa"/>
            <w:noWrap w:val="0"/>
            <w:vAlign w:val="center"/>
          </w:tcPr>
          <w:p w14:paraId="12752DE7">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3468E69B">
            <w:pPr>
              <w:autoSpaceDE w:val="0"/>
              <w:autoSpaceDN w:val="0"/>
              <w:spacing w:line="360" w:lineRule="auto"/>
              <w:jc w:val="center"/>
              <w:rPr>
                <w:rFonts w:hint="eastAsia" w:ascii="宋体" w:hAnsi="宋体" w:eastAsia="宋体" w:cs="宋体"/>
                <w:color w:val="auto"/>
                <w:sz w:val="20"/>
                <w:szCs w:val="20"/>
                <w:highlight w:val="none"/>
              </w:rPr>
            </w:pPr>
          </w:p>
        </w:tc>
      </w:tr>
      <w:tr w14:paraId="3D18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5614D2A">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10</w:t>
            </w:r>
          </w:p>
        </w:tc>
        <w:tc>
          <w:tcPr>
            <w:tcW w:w="3014" w:type="dxa"/>
            <w:noWrap w:val="0"/>
            <w:vAlign w:val="center"/>
          </w:tcPr>
          <w:p w14:paraId="3CEFA872">
            <w:pPr>
              <w:autoSpaceDE w:val="0"/>
              <w:autoSpaceDN w:val="0"/>
              <w:spacing w:line="360" w:lineRule="auto"/>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360健康画像系统</w:t>
            </w:r>
          </w:p>
        </w:tc>
        <w:tc>
          <w:tcPr>
            <w:tcW w:w="1250" w:type="dxa"/>
            <w:noWrap w:val="0"/>
            <w:vAlign w:val="center"/>
          </w:tcPr>
          <w:p w14:paraId="4274C249">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37C1CA76">
            <w:pPr>
              <w:autoSpaceDE w:val="0"/>
              <w:autoSpaceDN w:val="0"/>
              <w:spacing w:line="360" w:lineRule="auto"/>
              <w:jc w:val="center"/>
              <w:rPr>
                <w:rFonts w:hint="eastAsia" w:ascii="宋体" w:hAnsi="宋体" w:eastAsia="宋体" w:cs="宋体"/>
                <w:color w:val="auto"/>
                <w:sz w:val="20"/>
                <w:szCs w:val="20"/>
                <w:highlight w:val="none"/>
              </w:rPr>
            </w:pPr>
          </w:p>
        </w:tc>
      </w:tr>
      <w:tr w14:paraId="2659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544D2CB">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11</w:t>
            </w:r>
          </w:p>
        </w:tc>
        <w:tc>
          <w:tcPr>
            <w:tcW w:w="3014" w:type="dxa"/>
            <w:noWrap w:val="0"/>
            <w:vAlign w:val="center"/>
          </w:tcPr>
          <w:p w14:paraId="57AD7B58">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分级诊疗平台系统</w:t>
            </w:r>
          </w:p>
        </w:tc>
        <w:tc>
          <w:tcPr>
            <w:tcW w:w="1250" w:type="dxa"/>
            <w:noWrap w:val="0"/>
            <w:vAlign w:val="center"/>
          </w:tcPr>
          <w:p w14:paraId="66E2E000">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528BA3D8">
            <w:pPr>
              <w:autoSpaceDE w:val="0"/>
              <w:autoSpaceDN w:val="0"/>
              <w:spacing w:line="360" w:lineRule="auto"/>
              <w:jc w:val="center"/>
              <w:rPr>
                <w:rFonts w:hint="eastAsia" w:ascii="宋体" w:hAnsi="宋体" w:eastAsia="宋体" w:cs="宋体"/>
                <w:color w:val="auto"/>
                <w:sz w:val="20"/>
                <w:szCs w:val="20"/>
                <w:highlight w:val="none"/>
              </w:rPr>
            </w:pPr>
          </w:p>
        </w:tc>
      </w:tr>
      <w:tr w14:paraId="429C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92CA7EA">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12</w:t>
            </w:r>
          </w:p>
        </w:tc>
        <w:tc>
          <w:tcPr>
            <w:tcW w:w="3014" w:type="dxa"/>
            <w:noWrap w:val="0"/>
            <w:vAlign w:val="center"/>
          </w:tcPr>
          <w:p w14:paraId="3AA99ECC">
            <w:pPr>
              <w:autoSpaceDE w:val="0"/>
              <w:autoSpaceDN w:val="0"/>
              <w:spacing w:line="360" w:lineRule="auto"/>
              <w:jc w:val="center"/>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val="en-US" w:eastAsia="zh-CN"/>
              </w:rPr>
              <w:t>一体化监管系统</w:t>
            </w:r>
          </w:p>
        </w:tc>
        <w:tc>
          <w:tcPr>
            <w:tcW w:w="1250" w:type="dxa"/>
            <w:noWrap w:val="0"/>
            <w:vAlign w:val="center"/>
          </w:tcPr>
          <w:p w14:paraId="03557121">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644AA81F">
            <w:pPr>
              <w:autoSpaceDE w:val="0"/>
              <w:autoSpaceDN w:val="0"/>
              <w:spacing w:line="360" w:lineRule="auto"/>
              <w:jc w:val="center"/>
              <w:rPr>
                <w:rFonts w:hint="eastAsia" w:ascii="宋体" w:hAnsi="宋体" w:eastAsia="宋体" w:cs="宋体"/>
                <w:color w:val="auto"/>
                <w:sz w:val="20"/>
                <w:szCs w:val="20"/>
                <w:highlight w:val="none"/>
              </w:rPr>
            </w:pPr>
          </w:p>
        </w:tc>
      </w:tr>
      <w:tr w14:paraId="68F5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5E1742D">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13</w:t>
            </w:r>
          </w:p>
        </w:tc>
        <w:tc>
          <w:tcPr>
            <w:tcW w:w="3014" w:type="dxa"/>
            <w:noWrap w:val="0"/>
            <w:vAlign w:val="center"/>
          </w:tcPr>
          <w:p w14:paraId="75D9F73E">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公立医院高质量发展绩效评价系统</w:t>
            </w:r>
          </w:p>
        </w:tc>
        <w:tc>
          <w:tcPr>
            <w:tcW w:w="1250" w:type="dxa"/>
            <w:noWrap w:val="0"/>
            <w:vAlign w:val="center"/>
          </w:tcPr>
          <w:p w14:paraId="623A56EC">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5C9B99FF">
            <w:pPr>
              <w:autoSpaceDE w:val="0"/>
              <w:autoSpaceDN w:val="0"/>
              <w:spacing w:line="360" w:lineRule="auto"/>
              <w:jc w:val="center"/>
              <w:rPr>
                <w:rFonts w:hint="eastAsia" w:ascii="宋体" w:hAnsi="宋体" w:eastAsia="宋体" w:cs="宋体"/>
                <w:color w:val="auto"/>
                <w:sz w:val="20"/>
                <w:szCs w:val="20"/>
                <w:highlight w:val="none"/>
              </w:rPr>
            </w:pPr>
          </w:p>
        </w:tc>
      </w:tr>
      <w:tr w14:paraId="71D16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E3B43A5">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14</w:t>
            </w:r>
          </w:p>
        </w:tc>
        <w:tc>
          <w:tcPr>
            <w:tcW w:w="3014" w:type="dxa"/>
            <w:noWrap w:val="0"/>
            <w:vAlign w:val="center"/>
          </w:tcPr>
          <w:p w14:paraId="4CEBA6E1">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卫生健康监督协管系统升级改造</w:t>
            </w:r>
          </w:p>
        </w:tc>
        <w:tc>
          <w:tcPr>
            <w:tcW w:w="1250" w:type="dxa"/>
            <w:noWrap w:val="0"/>
            <w:vAlign w:val="center"/>
          </w:tcPr>
          <w:p w14:paraId="06627F24">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3D35E93A">
            <w:pPr>
              <w:autoSpaceDE w:val="0"/>
              <w:autoSpaceDN w:val="0"/>
              <w:spacing w:line="360" w:lineRule="auto"/>
              <w:jc w:val="center"/>
              <w:rPr>
                <w:rFonts w:hint="eastAsia" w:ascii="宋体" w:hAnsi="宋体" w:eastAsia="宋体" w:cs="宋体"/>
                <w:color w:val="auto"/>
                <w:sz w:val="20"/>
                <w:szCs w:val="20"/>
                <w:highlight w:val="none"/>
              </w:rPr>
            </w:pPr>
          </w:p>
        </w:tc>
      </w:tr>
      <w:tr w14:paraId="640A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59E47C9">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15</w:t>
            </w:r>
          </w:p>
        </w:tc>
        <w:tc>
          <w:tcPr>
            <w:tcW w:w="3014" w:type="dxa"/>
            <w:noWrap w:val="0"/>
            <w:vAlign w:val="center"/>
          </w:tcPr>
          <w:p w14:paraId="5F7A05C6">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健康证管理信息系统</w:t>
            </w:r>
          </w:p>
        </w:tc>
        <w:tc>
          <w:tcPr>
            <w:tcW w:w="1250" w:type="dxa"/>
            <w:noWrap w:val="0"/>
            <w:vAlign w:val="center"/>
          </w:tcPr>
          <w:p w14:paraId="0E463C6C">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0918C5E1">
            <w:pPr>
              <w:autoSpaceDE w:val="0"/>
              <w:autoSpaceDN w:val="0"/>
              <w:spacing w:line="360" w:lineRule="auto"/>
              <w:jc w:val="center"/>
              <w:rPr>
                <w:rFonts w:hint="eastAsia" w:ascii="宋体" w:hAnsi="宋体" w:eastAsia="宋体" w:cs="宋体"/>
                <w:color w:val="auto"/>
                <w:sz w:val="20"/>
                <w:szCs w:val="20"/>
                <w:highlight w:val="none"/>
              </w:rPr>
            </w:pPr>
          </w:p>
        </w:tc>
      </w:tr>
      <w:tr w14:paraId="6058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89C62E1">
            <w:pPr>
              <w:autoSpaceDE w:val="0"/>
              <w:autoSpaceDN w:val="0"/>
              <w:spacing w:line="360" w:lineRule="auto"/>
              <w:jc w:val="center"/>
              <w:rPr>
                <w:rFonts w:hint="eastAsia" w:ascii="宋体" w:hAnsi="宋体" w:eastAsia="宋体" w:cs="宋体"/>
                <w:color w:val="auto"/>
                <w:sz w:val="20"/>
                <w:szCs w:val="20"/>
                <w:highlight w:val="none"/>
                <w:lang w:val="en-US" w:eastAsia="zh-CN"/>
              </w:rPr>
            </w:pPr>
            <w:r>
              <w:rPr>
                <w:rFonts w:hint="eastAsia" w:ascii="宋体" w:hAnsi="宋体" w:eastAsia="宋体" w:cs="宋体"/>
                <w:color w:val="auto"/>
                <w:sz w:val="20"/>
                <w:szCs w:val="20"/>
                <w:highlight w:val="none"/>
                <w:lang w:val="en-US" w:eastAsia="zh-CN"/>
              </w:rPr>
              <w:t>16</w:t>
            </w:r>
          </w:p>
        </w:tc>
        <w:tc>
          <w:tcPr>
            <w:tcW w:w="3014" w:type="dxa"/>
            <w:noWrap w:val="0"/>
            <w:vAlign w:val="center"/>
          </w:tcPr>
          <w:p w14:paraId="0CDD717B">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学生健康监测管理信息系统</w:t>
            </w:r>
          </w:p>
        </w:tc>
        <w:tc>
          <w:tcPr>
            <w:tcW w:w="1250" w:type="dxa"/>
            <w:noWrap w:val="0"/>
            <w:vAlign w:val="center"/>
          </w:tcPr>
          <w:p w14:paraId="201A3934">
            <w:pPr>
              <w:autoSpaceDE w:val="0"/>
              <w:autoSpaceDN w:val="0"/>
              <w:spacing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第三级</w:t>
            </w:r>
          </w:p>
        </w:tc>
        <w:tc>
          <w:tcPr>
            <w:tcW w:w="1707" w:type="dxa"/>
            <w:vMerge w:val="continue"/>
            <w:noWrap w:val="0"/>
            <w:vAlign w:val="center"/>
          </w:tcPr>
          <w:p w14:paraId="020156DB">
            <w:pPr>
              <w:autoSpaceDE w:val="0"/>
              <w:autoSpaceDN w:val="0"/>
              <w:spacing w:line="360" w:lineRule="auto"/>
              <w:jc w:val="center"/>
              <w:rPr>
                <w:rFonts w:hint="eastAsia" w:ascii="宋体" w:hAnsi="宋体" w:eastAsia="宋体" w:cs="宋体"/>
                <w:color w:val="auto"/>
                <w:sz w:val="20"/>
                <w:szCs w:val="20"/>
                <w:highlight w:val="none"/>
              </w:rPr>
            </w:pPr>
          </w:p>
        </w:tc>
      </w:tr>
      <w:bookmarkEnd w:id="18"/>
      <w:bookmarkEnd w:id="19"/>
      <w:bookmarkEnd w:id="20"/>
      <w:bookmarkEnd w:id="21"/>
      <w:bookmarkEnd w:id="22"/>
      <w:bookmarkEnd w:id="23"/>
      <w:bookmarkEnd w:id="24"/>
      <w:bookmarkEnd w:id="25"/>
    </w:tbl>
    <w:p w14:paraId="2FF4C110">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lang w:val="en-US" w:eastAsia="zh-CN"/>
        </w:rPr>
        <w:t>安全</w:t>
      </w:r>
      <w:r>
        <w:rPr>
          <w:rFonts w:hint="eastAsia" w:ascii="宋体" w:hAnsi="宋体" w:eastAsia="宋体" w:cs="宋体"/>
          <w:color w:val="auto"/>
          <w:sz w:val="20"/>
          <w:szCs w:val="20"/>
          <w:highlight w:val="none"/>
        </w:rPr>
        <w:t>测评项目完成后需要提交以下成果交付物：</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5904"/>
        <w:gridCol w:w="1750"/>
      </w:tblGrid>
      <w:tr w14:paraId="4FF0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top w:val="single" w:color="auto" w:sz="12" w:space="0"/>
              <w:left w:val="single" w:color="auto" w:sz="12" w:space="0"/>
              <w:bottom w:val="single" w:color="auto" w:sz="12" w:space="0"/>
            </w:tcBorders>
            <w:noWrap w:val="0"/>
            <w:vAlign w:val="center"/>
          </w:tcPr>
          <w:p w14:paraId="4D007465">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序号</w:t>
            </w:r>
          </w:p>
        </w:tc>
        <w:tc>
          <w:tcPr>
            <w:tcW w:w="3464" w:type="pct"/>
            <w:tcBorders>
              <w:top w:val="single" w:color="auto" w:sz="12" w:space="0"/>
              <w:bottom w:val="single" w:color="auto" w:sz="12" w:space="0"/>
            </w:tcBorders>
            <w:noWrap w:val="0"/>
            <w:vAlign w:val="center"/>
          </w:tcPr>
          <w:p w14:paraId="50447A5F">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成果交付物</w:t>
            </w:r>
          </w:p>
        </w:tc>
        <w:tc>
          <w:tcPr>
            <w:tcW w:w="1027" w:type="pct"/>
            <w:tcBorders>
              <w:top w:val="single" w:color="auto" w:sz="12" w:space="0"/>
              <w:bottom w:val="single" w:color="auto" w:sz="12" w:space="0"/>
              <w:right w:val="single" w:color="auto" w:sz="12" w:space="0"/>
            </w:tcBorders>
            <w:noWrap w:val="0"/>
            <w:vAlign w:val="center"/>
          </w:tcPr>
          <w:p w14:paraId="750D4F76">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备注</w:t>
            </w:r>
          </w:p>
        </w:tc>
      </w:tr>
      <w:tr w14:paraId="501BC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left w:val="single" w:color="auto" w:sz="12" w:space="0"/>
            </w:tcBorders>
            <w:noWrap w:val="0"/>
            <w:vAlign w:val="center"/>
          </w:tcPr>
          <w:p w14:paraId="5EC52720">
            <w:pPr>
              <w:pStyle w:val="9"/>
              <w:jc w:val="left"/>
              <w:rPr>
                <w:rFonts w:hint="eastAsia" w:ascii="宋体" w:hAnsi="宋体" w:eastAsia="宋体" w:cs="宋体"/>
                <w:color w:val="auto"/>
                <w:sz w:val="20"/>
                <w:szCs w:val="20"/>
                <w:highlight w:val="none"/>
              </w:rPr>
            </w:pPr>
          </w:p>
        </w:tc>
        <w:tc>
          <w:tcPr>
            <w:tcW w:w="3464" w:type="pct"/>
            <w:noWrap w:val="0"/>
            <w:vAlign w:val="center"/>
          </w:tcPr>
          <w:p w14:paraId="3729B07F">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《等级保护测评服务方案》（每系统一份）</w:t>
            </w:r>
          </w:p>
        </w:tc>
        <w:tc>
          <w:tcPr>
            <w:tcW w:w="1027" w:type="pct"/>
            <w:tcBorders>
              <w:right w:val="single" w:color="auto" w:sz="12" w:space="0"/>
            </w:tcBorders>
            <w:noWrap w:val="0"/>
            <w:vAlign w:val="center"/>
          </w:tcPr>
          <w:p w14:paraId="2278C11A">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14:paraId="0175F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left w:val="single" w:color="auto" w:sz="12" w:space="0"/>
            </w:tcBorders>
            <w:noWrap w:val="0"/>
            <w:vAlign w:val="center"/>
          </w:tcPr>
          <w:p w14:paraId="2033281B">
            <w:pPr>
              <w:pStyle w:val="9"/>
              <w:jc w:val="left"/>
              <w:rPr>
                <w:rFonts w:hint="eastAsia" w:ascii="宋体" w:hAnsi="宋体" w:eastAsia="宋体" w:cs="宋体"/>
                <w:color w:val="auto"/>
                <w:sz w:val="20"/>
                <w:szCs w:val="20"/>
                <w:highlight w:val="none"/>
              </w:rPr>
            </w:pPr>
          </w:p>
        </w:tc>
        <w:tc>
          <w:tcPr>
            <w:tcW w:w="3464" w:type="pct"/>
            <w:noWrap w:val="0"/>
            <w:vAlign w:val="center"/>
          </w:tcPr>
          <w:p w14:paraId="59784795">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《渗透测评报告》（每系统一份）</w:t>
            </w:r>
          </w:p>
        </w:tc>
        <w:tc>
          <w:tcPr>
            <w:tcW w:w="1027" w:type="pct"/>
            <w:tcBorders>
              <w:right w:val="single" w:color="auto" w:sz="12" w:space="0"/>
            </w:tcBorders>
            <w:noWrap w:val="0"/>
            <w:vAlign w:val="center"/>
          </w:tcPr>
          <w:p w14:paraId="25D37B2C">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14:paraId="436E2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left w:val="single" w:color="auto" w:sz="12" w:space="0"/>
            </w:tcBorders>
            <w:noWrap w:val="0"/>
            <w:vAlign w:val="center"/>
          </w:tcPr>
          <w:p w14:paraId="4C308B52">
            <w:pPr>
              <w:pStyle w:val="9"/>
              <w:jc w:val="left"/>
              <w:rPr>
                <w:rFonts w:hint="eastAsia" w:ascii="宋体" w:hAnsi="宋体" w:eastAsia="宋体" w:cs="宋体"/>
                <w:color w:val="auto"/>
                <w:sz w:val="20"/>
                <w:szCs w:val="20"/>
                <w:highlight w:val="none"/>
              </w:rPr>
            </w:pPr>
          </w:p>
        </w:tc>
        <w:tc>
          <w:tcPr>
            <w:tcW w:w="3464" w:type="pct"/>
            <w:noWrap w:val="0"/>
            <w:vAlign w:val="center"/>
          </w:tcPr>
          <w:p w14:paraId="52D124A1">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《网络安全信息等级保护测评项目报告》（每系统一份）</w:t>
            </w:r>
          </w:p>
        </w:tc>
        <w:tc>
          <w:tcPr>
            <w:tcW w:w="1027" w:type="pct"/>
            <w:tcBorders>
              <w:right w:val="single" w:color="auto" w:sz="12" w:space="0"/>
            </w:tcBorders>
            <w:noWrap w:val="0"/>
            <w:vAlign w:val="center"/>
          </w:tcPr>
          <w:p w14:paraId="339CD881">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r w14:paraId="688D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9" w:type="pct"/>
            <w:tcBorders>
              <w:left w:val="single" w:color="auto" w:sz="12" w:space="0"/>
              <w:bottom w:val="single" w:color="auto" w:sz="12" w:space="0"/>
            </w:tcBorders>
            <w:noWrap w:val="0"/>
            <w:vAlign w:val="center"/>
          </w:tcPr>
          <w:p w14:paraId="505451D2">
            <w:pPr>
              <w:pStyle w:val="9"/>
              <w:jc w:val="left"/>
              <w:rPr>
                <w:rFonts w:hint="eastAsia" w:ascii="宋体" w:hAnsi="宋体" w:eastAsia="宋体" w:cs="宋体"/>
                <w:color w:val="auto"/>
                <w:sz w:val="20"/>
                <w:szCs w:val="20"/>
                <w:highlight w:val="none"/>
              </w:rPr>
            </w:pPr>
          </w:p>
        </w:tc>
        <w:tc>
          <w:tcPr>
            <w:tcW w:w="3464" w:type="pct"/>
            <w:tcBorders>
              <w:bottom w:val="single" w:color="auto" w:sz="12" w:space="0"/>
            </w:tcBorders>
            <w:noWrap w:val="0"/>
            <w:vAlign w:val="center"/>
          </w:tcPr>
          <w:p w14:paraId="01BE4C65">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《系统整改建议报告》</w:t>
            </w:r>
          </w:p>
        </w:tc>
        <w:tc>
          <w:tcPr>
            <w:tcW w:w="1027" w:type="pct"/>
            <w:tcBorders>
              <w:bottom w:val="single" w:color="auto" w:sz="12" w:space="0"/>
              <w:right w:val="single" w:color="auto" w:sz="12" w:space="0"/>
            </w:tcBorders>
            <w:noWrap w:val="0"/>
            <w:vAlign w:val="center"/>
          </w:tcPr>
          <w:p w14:paraId="5945B754">
            <w:pPr>
              <w:pStyle w:val="9"/>
              <w:jc w:val="lef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w:t>
            </w:r>
          </w:p>
        </w:tc>
      </w:tr>
    </w:tbl>
    <w:p w14:paraId="58D81C0F">
      <w:pPr>
        <w:rPr>
          <w:color w:val="auto"/>
          <w:highlight w:val="none"/>
        </w:rPr>
      </w:pPr>
      <w:bookmarkStart w:id="26" w:name="_GoBack"/>
      <w:bookmarkEnd w:id="2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pperplate Gothic Bold">
    <w:altName w:val="Segoe Print"/>
    <w:panose1 w:val="020E07050202060204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AB0AD6"/>
    <w:multiLevelType w:val="multilevel"/>
    <w:tmpl w:val="4FAB0AD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YTYxODFiOTBlM2Y5ZmMwOWU1OWZlMTQwYWU2MjMifQ=="/>
  </w:docVars>
  <w:rsids>
    <w:rsidRoot w:val="00000000"/>
    <w:rsid w:val="3392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spacing w:before="240" w:after="240" w:line="360" w:lineRule="auto"/>
      <w:jc w:val="center"/>
      <w:outlineLvl w:val="0"/>
    </w:pPr>
    <w:rPr>
      <w:rFonts w:ascii="黑体" w:hAnsi="黑体" w:eastAsia="宋体"/>
      <w:sz w:val="32"/>
    </w:rPr>
  </w:style>
  <w:style w:type="paragraph" w:styleId="3">
    <w:name w:val="heading 2"/>
    <w:basedOn w:val="2"/>
    <w:next w:val="1"/>
    <w:qFormat/>
    <w:uiPriority w:val="0"/>
    <w:pPr>
      <w:keepNext/>
      <w:spacing w:line="720" w:lineRule="exact"/>
      <w:outlineLvl w:val="1"/>
    </w:pPr>
    <w:rPr>
      <w:rFonts w:ascii="黑体" w:hAnsi="Copperplate Gothic Bold" w:eastAsia="楷体_GB2312"/>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rPr>
      <w:sz w:val="28"/>
      <w:szCs w:val="24"/>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
    <w:name w:val="列出段落5"/>
    <w:basedOn w:val="1"/>
    <w:qFormat/>
    <w:uiPriority w:val="0"/>
    <w:pPr>
      <w:ind w:firstLine="420" w:firstLineChars="200"/>
    </w:pPr>
    <w:rPr>
      <w:szCs w:val="24"/>
    </w:rPr>
  </w:style>
  <w:style w:type="paragraph" w:customStyle="1" w:styleId="9">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2024-11-14T06:59:37Z</dcterms:created>
  <dc:creator>Administrator</dc:creator>
  <cp:lastModifiedBy>Fernweh</cp:lastModifiedBy>
  <dcterms:modified xsi:type="dcterms:W3CDTF">2024-11-14T06:59:45Z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0CF0D15E10E64D249930750AC2FD051A_12</vt:lpwstr>
  </property>
</Properties>
</file>