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B4145">
      <w:pPr>
        <w:tabs>
          <w:tab w:val="left" w:pos="735"/>
        </w:tabs>
        <w:autoSpaceDE w:val="0"/>
        <w:autoSpaceDN w:val="0"/>
        <w:adjustRightInd w:val="0"/>
        <w:snapToGrid w:val="0"/>
        <w:spacing w:line="360" w:lineRule="auto"/>
        <w:jc w:val="center"/>
        <w:rPr>
          <w:rFonts w:hint="default" w:asciiTheme="minorHAnsi" w:hAnsiTheme="minorHAnsi" w:eastAsiaTheme="minorEastAsia" w:cstheme="minorBidi"/>
          <w:b/>
          <w:kern w:val="0"/>
          <w:sz w:val="36"/>
          <w:highlight w:val="none"/>
          <w:lang w:val="en-US" w:eastAsia="zh-CN"/>
        </w:rPr>
      </w:pPr>
      <w:r>
        <w:rPr>
          <w:rFonts w:hint="eastAsia" w:asciiTheme="minorHAnsi" w:hAnsiTheme="minorHAnsi" w:eastAsiaTheme="minorEastAsia" w:cstheme="minorBidi"/>
          <w:b/>
          <w:kern w:val="0"/>
          <w:sz w:val="36"/>
          <w:highlight w:val="none"/>
          <w:lang w:val="en-US" w:eastAsia="zh-CN"/>
        </w:rPr>
        <w:t>西安市殡仪馆接尸袋采购项目供货合同</w:t>
      </w:r>
    </w:p>
    <w:p w14:paraId="40E26A97">
      <w:pPr>
        <w:tabs>
          <w:tab w:val="left" w:pos="735"/>
        </w:tabs>
        <w:autoSpaceDE w:val="0"/>
        <w:autoSpaceDN w:val="0"/>
        <w:adjustRightInd w:val="0"/>
        <w:snapToGrid w:val="0"/>
        <w:spacing w:line="360" w:lineRule="auto"/>
        <w:rPr>
          <w:rFonts w:hint="eastAsia" w:ascii="宋体" w:hAnsi="宋体" w:cs="宋体"/>
          <w:b/>
          <w:bCs/>
          <w:szCs w:val="21"/>
          <w:highlight w:val="none"/>
          <w:lang w:val="zh-CN"/>
        </w:rPr>
      </w:pPr>
      <w:r>
        <w:rPr>
          <w:rFonts w:hint="eastAsia" w:ascii="宋体" w:hAnsi="宋体" w:cs="宋体"/>
          <w:b/>
          <w:bCs/>
          <w:szCs w:val="21"/>
          <w:highlight w:val="none"/>
          <w:lang w:val="zh-CN"/>
        </w:rPr>
        <w:t>甲方：</w:t>
      </w:r>
      <w:r>
        <w:rPr>
          <w:rFonts w:hint="eastAsia" w:ascii="宋体" w:hAnsi="宋体" w:cs="宋体"/>
          <w:b/>
          <w:bCs/>
          <w:szCs w:val="21"/>
          <w:highlight w:val="none"/>
          <w:u w:val="single"/>
          <w:lang w:val="zh-CN"/>
        </w:rPr>
        <w:t>西安市殡仪馆</w:t>
      </w:r>
    </w:p>
    <w:p w14:paraId="3633CBBE">
      <w:pPr>
        <w:tabs>
          <w:tab w:val="left" w:pos="735"/>
        </w:tabs>
        <w:autoSpaceDE w:val="0"/>
        <w:autoSpaceDN w:val="0"/>
        <w:adjustRightInd w:val="0"/>
        <w:snapToGrid w:val="0"/>
        <w:spacing w:line="360" w:lineRule="auto"/>
        <w:rPr>
          <w:rFonts w:hint="eastAsia" w:ascii="宋体" w:hAnsi="宋体" w:cs="宋体"/>
          <w:bCs/>
          <w:szCs w:val="21"/>
          <w:highlight w:val="none"/>
          <w:lang w:val="zh-CN"/>
        </w:rPr>
      </w:pPr>
      <w:r>
        <w:rPr>
          <w:rFonts w:hint="eastAsia" w:ascii="宋体" w:hAnsi="宋体" w:cs="宋体"/>
          <w:b/>
          <w:bCs/>
          <w:szCs w:val="21"/>
          <w:highlight w:val="none"/>
          <w:lang w:val="zh-CN"/>
        </w:rPr>
        <w:t>乙方：</w:t>
      </w:r>
      <w:r>
        <w:rPr>
          <w:rFonts w:hint="eastAsia" w:ascii="宋体" w:hAnsi="宋体" w:cs="宋体"/>
          <w:b/>
          <w:bCs/>
          <w:szCs w:val="21"/>
          <w:highlight w:val="none"/>
          <w:u w:val="single"/>
          <w:lang w:val="zh-CN"/>
        </w:rPr>
        <w:t xml:space="preserve">            </w:t>
      </w:r>
    </w:p>
    <w:p w14:paraId="682CBC95">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根据《中华人民共和国民法典》等法律、法规规定，按照</w:t>
      </w:r>
      <w:r>
        <w:rPr>
          <w:rFonts w:hint="eastAsia" w:ascii="宋体" w:hAnsi="宋体" w:cs="宋体"/>
          <w:szCs w:val="21"/>
          <w:highlight w:val="none"/>
          <w:u w:val="single"/>
          <w:lang w:val="en-US" w:eastAsia="zh-CN"/>
        </w:rPr>
        <w:t xml:space="preserve">   （项目名称）        </w:t>
      </w:r>
      <w:r>
        <w:rPr>
          <w:rFonts w:hint="eastAsia" w:ascii="宋体" w:hAnsi="宋体" w:cs="宋体"/>
          <w:szCs w:val="21"/>
          <w:highlight w:val="none"/>
        </w:rPr>
        <w:t>招投标文件规定条款和</w:t>
      </w:r>
      <w:r>
        <w:rPr>
          <w:rFonts w:hint="eastAsia" w:ascii="宋体" w:hAnsi="宋体" w:cs="宋体"/>
          <w:szCs w:val="21"/>
          <w:highlight w:val="none"/>
          <w:lang w:eastAsia="zh-CN"/>
        </w:rPr>
        <w:t>乙方</w:t>
      </w:r>
      <w:r>
        <w:rPr>
          <w:rFonts w:hint="eastAsia" w:ascii="宋体" w:hAnsi="宋体" w:cs="宋体"/>
          <w:szCs w:val="21"/>
          <w:highlight w:val="none"/>
        </w:rPr>
        <w:t>承诺，甲乙双方签订本合同。</w:t>
      </w:r>
    </w:p>
    <w:p w14:paraId="410E512C">
      <w:pPr>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一、交货条件：</w:t>
      </w:r>
    </w:p>
    <w:p w14:paraId="5E7EB217">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w:t>
      </w:r>
      <w:r>
        <w:rPr>
          <w:rFonts w:hint="eastAsia" w:ascii="宋体" w:hAnsi="宋体" w:cs="宋体"/>
          <w:bCs/>
          <w:color w:val="000000"/>
          <w:szCs w:val="21"/>
          <w:highlight w:val="none"/>
          <w:lang w:val="en-US" w:eastAsia="zh-CN"/>
        </w:rPr>
        <w:t>合同</w:t>
      </w:r>
      <w:r>
        <w:rPr>
          <w:rFonts w:hint="eastAsia" w:ascii="宋体" w:hAnsi="宋体" w:cs="宋体"/>
          <w:bCs/>
          <w:color w:val="000000"/>
          <w:szCs w:val="21"/>
          <w:highlight w:val="none"/>
        </w:rPr>
        <w:t>期限：1年(2024年12月5日至2025年12月4日)或累计结算金额达到采购预算，以先到达者为准；</w:t>
      </w:r>
    </w:p>
    <w:p w14:paraId="52CB9B5E">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（二）</w:t>
      </w:r>
      <w:r>
        <w:rPr>
          <w:rFonts w:hint="eastAsia" w:ascii="宋体" w:hAnsi="宋体" w:cs="宋体"/>
          <w:bCs/>
          <w:highlight w:val="none"/>
        </w:rPr>
        <w:t>交货时间：接到采购人要货通知后</w:t>
      </w:r>
      <w:r>
        <w:rPr>
          <w:rFonts w:hint="eastAsia" w:ascii="宋体" w:hAnsi="宋体" w:cs="宋体"/>
          <w:bCs/>
          <w:i/>
          <w:iCs/>
          <w:highlight w:val="none"/>
          <w:u w:val="single"/>
        </w:rPr>
        <w:t xml:space="preserve"> </w:t>
      </w:r>
      <w:r>
        <w:rPr>
          <w:rFonts w:hint="eastAsia" w:ascii="宋体" w:hAnsi="宋体" w:cs="宋体"/>
          <w:bCs/>
          <w:highlight w:val="none"/>
          <w:u w:val="single"/>
        </w:rPr>
        <w:t xml:space="preserve">3 </w:t>
      </w:r>
      <w:r>
        <w:rPr>
          <w:rFonts w:hint="eastAsia" w:ascii="宋体" w:hAnsi="宋体" w:cs="宋体"/>
          <w:bCs/>
          <w:highlight w:val="none"/>
        </w:rPr>
        <w:t>日内完成供货</w:t>
      </w:r>
      <w:r>
        <w:rPr>
          <w:rFonts w:hint="eastAsia" w:ascii="宋体" w:hAnsi="宋体" w:cs="宋体"/>
          <w:bCs/>
          <w:color w:val="000000"/>
          <w:szCs w:val="21"/>
          <w:highlight w:val="none"/>
        </w:rPr>
        <w:t>；</w:t>
      </w:r>
    </w:p>
    <w:p w14:paraId="516A3305">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（三）交货地点：西安市殡仪馆。</w:t>
      </w:r>
    </w:p>
    <w:p w14:paraId="776DB104">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二、合同价款</w:t>
      </w:r>
    </w:p>
    <w:p w14:paraId="30CB1A14">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（一）合同单价包括供应费、运杂费、税金和其他一切费用。</w:t>
      </w:r>
    </w:p>
    <w:p w14:paraId="053D511C">
      <w:pPr>
        <w:pStyle w:val="2"/>
        <w:ind w:firstLine="420" w:firstLineChars="200"/>
        <w:jc w:val="left"/>
        <w:rPr>
          <w:rFonts w:hint="eastAsia" w:ascii="宋体" w:hAnsi="宋体" w:cs="宋体"/>
          <w:bCs/>
          <w:color w:val="000000"/>
          <w:szCs w:val="21"/>
          <w:highlight w:val="none"/>
          <w:lang w:val="en-US" w:eastAsia="zh-CN"/>
        </w:rPr>
      </w:pPr>
      <w:r>
        <w:rPr>
          <w:rFonts w:hint="eastAsia" w:ascii="宋体" w:hAnsi="宋体" w:cs="宋体"/>
          <w:bCs/>
          <w:color w:val="000000"/>
          <w:szCs w:val="21"/>
          <w:highlight w:val="none"/>
          <w:lang w:eastAsia="zh-CN"/>
        </w:rPr>
        <w:t>（</w:t>
      </w:r>
      <w:r>
        <w:rPr>
          <w:rFonts w:hint="eastAsia" w:ascii="宋体" w:hAnsi="宋体" w:cs="宋体"/>
          <w:bCs/>
          <w:color w:val="000000"/>
          <w:szCs w:val="21"/>
          <w:highlight w:val="none"/>
          <w:lang w:val="en-US" w:eastAsia="zh-CN"/>
        </w:rPr>
        <w:t>二</w:t>
      </w:r>
      <w:r>
        <w:rPr>
          <w:rFonts w:hint="eastAsia" w:ascii="宋体" w:hAnsi="宋体" w:cs="宋体"/>
          <w:bCs/>
          <w:color w:val="000000"/>
          <w:szCs w:val="21"/>
          <w:highlight w:val="none"/>
          <w:lang w:eastAsia="zh-CN"/>
        </w:rPr>
        <w:t>）</w:t>
      </w:r>
      <w:r>
        <w:rPr>
          <w:rFonts w:hint="eastAsia" w:ascii="宋体" w:hAnsi="宋体" w:cs="宋体"/>
          <w:bCs/>
          <w:color w:val="000000"/>
          <w:szCs w:val="21"/>
          <w:highlight w:val="none"/>
          <w:lang w:val="en-US" w:eastAsia="zh-CN"/>
        </w:rPr>
        <w:t>采购预算金额为（   ）元，</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3173"/>
        <w:gridCol w:w="2131"/>
        <w:gridCol w:w="2131"/>
      </w:tblGrid>
      <w:tr w14:paraId="66563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14:paraId="1858825C">
            <w:pPr>
              <w:spacing w:line="360" w:lineRule="auto"/>
              <w:jc w:val="center"/>
              <w:rPr>
                <w:rFonts w:hint="default"/>
                <w:highlight w:val="none"/>
                <w:vertAlign w:val="baseline"/>
                <w:lang w:val="en-US" w:eastAsia="zh-CN"/>
              </w:rPr>
            </w:pPr>
            <w:r>
              <w:rPr>
                <w:rFonts w:hint="eastAsia"/>
                <w:highlight w:val="none"/>
                <w:vertAlign w:val="baseline"/>
                <w:lang w:val="en-US" w:eastAsia="zh-CN"/>
              </w:rPr>
              <w:t>序号</w:t>
            </w:r>
          </w:p>
        </w:tc>
        <w:tc>
          <w:tcPr>
            <w:tcW w:w="3173" w:type="dxa"/>
          </w:tcPr>
          <w:p w14:paraId="1C1B5348">
            <w:pPr>
              <w:spacing w:line="360" w:lineRule="auto"/>
              <w:jc w:val="center"/>
              <w:rPr>
                <w:rFonts w:hint="default"/>
                <w:highlight w:val="none"/>
                <w:vertAlign w:val="baseline"/>
                <w:lang w:val="en-US" w:eastAsia="zh-CN"/>
              </w:rPr>
            </w:pPr>
            <w:r>
              <w:rPr>
                <w:rFonts w:hint="eastAsia"/>
                <w:highlight w:val="none"/>
                <w:vertAlign w:val="baseline"/>
                <w:lang w:val="en-US" w:eastAsia="zh-CN"/>
              </w:rPr>
              <w:t>产品</w:t>
            </w:r>
          </w:p>
        </w:tc>
        <w:tc>
          <w:tcPr>
            <w:tcW w:w="2131" w:type="dxa"/>
          </w:tcPr>
          <w:p w14:paraId="32995071">
            <w:pPr>
              <w:spacing w:line="360" w:lineRule="auto"/>
              <w:jc w:val="center"/>
              <w:rPr>
                <w:rFonts w:hint="default"/>
                <w:highlight w:val="none"/>
                <w:vertAlign w:val="baseline"/>
                <w:lang w:val="en-US" w:eastAsia="zh-CN"/>
              </w:rPr>
            </w:pPr>
            <w:r>
              <w:rPr>
                <w:rFonts w:hint="eastAsia"/>
                <w:highlight w:val="none"/>
                <w:vertAlign w:val="baseline"/>
                <w:lang w:val="en-US" w:eastAsia="zh-CN"/>
              </w:rPr>
              <w:t>单价（元/个）</w:t>
            </w:r>
          </w:p>
        </w:tc>
        <w:tc>
          <w:tcPr>
            <w:tcW w:w="2131" w:type="dxa"/>
          </w:tcPr>
          <w:p w14:paraId="40497E08">
            <w:pPr>
              <w:spacing w:line="360" w:lineRule="auto"/>
              <w:jc w:val="center"/>
              <w:rPr>
                <w:rFonts w:hint="default"/>
                <w:highlight w:val="none"/>
                <w:vertAlign w:val="baseline"/>
                <w:lang w:val="en-US" w:eastAsia="zh-CN"/>
              </w:rPr>
            </w:pPr>
            <w:r>
              <w:rPr>
                <w:rFonts w:hint="eastAsia"/>
                <w:highlight w:val="none"/>
                <w:vertAlign w:val="baseline"/>
                <w:lang w:val="en-US" w:eastAsia="zh-CN"/>
              </w:rPr>
              <w:t>品牌</w:t>
            </w:r>
          </w:p>
        </w:tc>
      </w:tr>
      <w:tr w14:paraId="4CF4E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14:paraId="36337A70">
            <w:pPr>
              <w:spacing w:line="360" w:lineRule="auto"/>
              <w:jc w:val="center"/>
              <w:rPr>
                <w:rFonts w:hint="default"/>
                <w:highlight w:val="none"/>
                <w:vertAlign w:val="baseline"/>
                <w:lang w:val="en-US" w:eastAsia="zh-CN"/>
              </w:rPr>
            </w:pPr>
            <w:r>
              <w:rPr>
                <w:rFonts w:hint="eastAsia"/>
                <w:highlight w:val="none"/>
                <w:vertAlign w:val="baseline"/>
                <w:lang w:val="en-US" w:eastAsia="zh-CN"/>
              </w:rPr>
              <w:t>1</w:t>
            </w:r>
          </w:p>
        </w:tc>
        <w:tc>
          <w:tcPr>
            <w:tcW w:w="3173" w:type="dxa"/>
            <w:vAlign w:val="top"/>
          </w:tcPr>
          <w:p w14:paraId="5F687578">
            <w:pPr>
              <w:spacing w:line="360" w:lineRule="auto"/>
              <w:jc w:val="center"/>
              <w:rPr>
                <w:rFonts w:hint="default"/>
                <w:highlight w:val="none"/>
                <w:vertAlign w:val="baseline"/>
                <w:lang w:val="en-US" w:eastAsia="zh-CN"/>
              </w:rPr>
            </w:pPr>
            <w:r>
              <w:rPr>
                <w:rFonts w:hint="eastAsia" w:ascii="宋体" w:hAnsi="宋体" w:eastAsia="宋体" w:cs="宋体"/>
                <w:color w:val="auto"/>
                <w:sz w:val="20"/>
                <w:szCs w:val="20"/>
                <w:highlight w:val="none"/>
                <w:lang w:val="en-US" w:eastAsia="zh-CN"/>
              </w:rPr>
              <w:t>普通型殓尸袋I型红色</w:t>
            </w:r>
          </w:p>
        </w:tc>
        <w:tc>
          <w:tcPr>
            <w:tcW w:w="2131" w:type="dxa"/>
          </w:tcPr>
          <w:p w14:paraId="1DE1A4D2">
            <w:pPr>
              <w:spacing w:line="360" w:lineRule="auto"/>
              <w:rPr>
                <w:rFonts w:hint="default"/>
                <w:highlight w:val="none"/>
                <w:vertAlign w:val="baseline"/>
                <w:lang w:val="en-US" w:eastAsia="zh-CN"/>
              </w:rPr>
            </w:pPr>
          </w:p>
        </w:tc>
        <w:tc>
          <w:tcPr>
            <w:tcW w:w="2131" w:type="dxa"/>
          </w:tcPr>
          <w:p w14:paraId="6D9261D3">
            <w:pPr>
              <w:spacing w:line="360" w:lineRule="auto"/>
              <w:rPr>
                <w:rFonts w:hint="default"/>
                <w:highlight w:val="none"/>
                <w:vertAlign w:val="baseline"/>
                <w:lang w:val="en-US" w:eastAsia="zh-CN"/>
              </w:rPr>
            </w:pPr>
          </w:p>
        </w:tc>
      </w:tr>
      <w:tr w14:paraId="679F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14:paraId="1D5E18B9">
            <w:pPr>
              <w:spacing w:line="360" w:lineRule="auto"/>
              <w:jc w:val="center"/>
              <w:rPr>
                <w:rFonts w:hint="default"/>
                <w:highlight w:val="none"/>
                <w:vertAlign w:val="baseline"/>
                <w:lang w:val="en-US" w:eastAsia="zh-CN"/>
              </w:rPr>
            </w:pPr>
            <w:r>
              <w:rPr>
                <w:rFonts w:hint="eastAsia"/>
                <w:highlight w:val="none"/>
                <w:vertAlign w:val="baseline"/>
                <w:lang w:val="en-US" w:eastAsia="zh-CN"/>
              </w:rPr>
              <w:t>2</w:t>
            </w:r>
          </w:p>
        </w:tc>
        <w:tc>
          <w:tcPr>
            <w:tcW w:w="3173" w:type="dxa"/>
            <w:vAlign w:val="top"/>
          </w:tcPr>
          <w:p w14:paraId="551A344D">
            <w:pPr>
              <w:spacing w:line="360" w:lineRule="auto"/>
              <w:jc w:val="center"/>
              <w:rPr>
                <w:rFonts w:hint="default"/>
                <w:highlight w:val="none"/>
                <w:vertAlign w:val="baseline"/>
                <w:lang w:val="en-US" w:eastAsia="zh-CN"/>
              </w:rPr>
            </w:pPr>
            <w:r>
              <w:rPr>
                <w:rFonts w:hint="eastAsia" w:ascii="宋体" w:hAnsi="宋体" w:eastAsia="宋体" w:cs="宋体"/>
                <w:color w:val="auto"/>
                <w:sz w:val="20"/>
                <w:szCs w:val="20"/>
                <w:highlight w:val="none"/>
                <w:lang w:val="en-US" w:eastAsia="zh-CN"/>
              </w:rPr>
              <w:t>普通型殓尸袋II型橙色</w:t>
            </w:r>
          </w:p>
        </w:tc>
        <w:tc>
          <w:tcPr>
            <w:tcW w:w="2131" w:type="dxa"/>
          </w:tcPr>
          <w:p w14:paraId="60BDF3BA">
            <w:pPr>
              <w:spacing w:line="360" w:lineRule="auto"/>
              <w:rPr>
                <w:rFonts w:hint="default"/>
                <w:highlight w:val="none"/>
                <w:vertAlign w:val="baseline"/>
                <w:lang w:val="en-US" w:eastAsia="zh-CN"/>
              </w:rPr>
            </w:pPr>
          </w:p>
        </w:tc>
        <w:tc>
          <w:tcPr>
            <w:tcW w:w="2131" w:type="dxa"/>
          </w:tcPr>
          <w:p w14:paraId="70250837">
            <w:pPr>
              <w:spacing w:line="360" w:lineRule="auto"/>
              <w:rPr>
                <w:rFonts w:hint="default"/>
                <w:highlight w:val="none"/>
                <w:vertAlign w:val="baseline"/>
                <w:lang w:val="en-US" w:eastAsia="zh-CN"/>
              </w:rPr>
            </w:pPr>
          </w:p>
        </w:tc>
      </w:tr>
      <w:tr w14:paraId="4F73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14:paraId="65CEA9E1">
            <w:pPr>
              <w:spacing w:line="360" w:lineRule="auto"/>
              <w:jc w:val="center"/>
              <w:rPr>
                <w:rFonts w:hint="default"/>
                <w:highlight w:val="none"/>
                <w:vertAlign w:val="baseline"/>
                <w:lang w:val="en-US" w:eastAsia="zh-CN"/>
              </w:rPr>
            </w:pPr>
            <w:r>
              <w:rPr>
                <w:rFonts w:hint="eastAsia"/>
                <w:highlight w:val="none"/>
                <w:vertAlign w:val="baseline"/>
                <w:lang w:val="en-US" w:eastAsia="zh-CN"/>
              </w:rPr>
              <w:t>3</w:t>
            </w:r>
          </w:p>
        </w:tc>
        <w:tc>
          <w:tcPr>
            <w:tcW w:w="3173" w:type="dxa"/>
            <w:vAlign w:val="top"/>
          </w:tcPr>
          <w:p w14:paraId="5998F6EA">
            <w:pPr>
              <w:spacing w:line="360" w:lineRule="auto"/>
              <w:jc w:val="center"/>
              <w:rPr>
                <w:rFonts w:hint="default"/>
                <w:highlight w:val="none"/>
                <w:vertAlign w:val="baseline"/>
                <w:lang w:val="en-US" w:eastAsia="zh-CN"/>
              </w:rPr>
            </w:pPr>
            <w:r>
              <w:rPr>
                <w:rFonts w:hint="eastAsia" w:ascii="宋体" w:hAnsi="宋体" w:eastAsia="宋体" w:cs="宋体"/>
                <w:color w:val="auto"/>
                <w:sz w:val="20"/>
                <w:szCs w:val="20"/>
                <w:highlight w:val="none"/>
                <w:lang w:val="en-US" w:eastAsia="zh-CN"/>
              </w:rPr>
              <w:t>普通型殓尸袋III型绿色</w:t>
            </w:r>
          </w:p>
        </w:tc>
        <w:tc>
          <w:tcPr>
            <w:tcW w:w="2131" w:type="dxa"/>
          </w:tcPr>
          <w:p w14:paraId="7266240F">
            <w:pPr>
              <w:spacing w:line="360" w:lineRule="auto"/>
              <w:rPr>
                <w:rFonts w:hint="default"/>
                <w:highlight w:val="none"/>
                <w:vertAlign w:val="baseline"/>
                <w:lang w:val="en-US" w:eastAsia="zh-CN"/>
              </w:rPr>
            </w:pPr>
          </w:p>
        </w:tc>
        <w:tc>
          <w:tcPr>
            <w:tcW w:w="2131" w:type="dxa"/>
          </w:tcPr>
          <w:p w14:paraId="072E9926">
            <w:pPr>
              <w:spacing w:line="360" w:lineRule="auto"/>
              <w:rPr>
                <w:rFonts w:hint="default"/>
                <w:highlight w:val="none"/>
                <w:vertAlign w:val="baseline"/>
                <w:lang w:val="en-US" w:eastAsia="zh-CN"/>
              </w:rPr>
            </w:pPr>
          </w:p>
        </w:tc>
      </w:tr>
    </w:tbl>
    <w:p w14:paraId="35723777">
      <w:pPr>
        <w:rPr>
          <w:rFonts w:hint="default"/>
          <w:highlight w:val="none"/>
          <w:lang w:val="en-US" w:eastAsia="zh-CN"/>
        </w:rPr>
      </w:pPr>
    </w:p>
    <w:p w14:paraId="013F4DEB">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三、款项结算</w:t>
      </w:r>
    </w:p>
    <w:p w14:paraId="080D18C3">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（一）合同签订后按月结算货款</w:t>
      </w:r>
    </w:p>
    <w:p w14:paraId="238B4476">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（二）支付方式：银行转账。</w:t>
      </w:r>
      <w:bookmarkStart w:id="0" w:name="_GoBack"/>
      <w:bookmarkEnd w:id="0"/>
    </w:p>
    <w:p w14:paraId="1C311742">
      <w:pPr>
        <w:autoSpaceDE w:val="0"/>
        <w:autoSpaceDN w:val="0"/>
        <w:adjustRightInd w:val="0"/>
        <w:spacing w:line="360" w:lineRule="auto"/>
        <w:ind w:firstLine="420" w:firstLineChars="200"/>
        <w:rPr>
          <w:rFonts w:hint="eastAsia" w:ascii="宋体" w:hAnsi="宋体" w:eastAsia="宋体" w:cs="宋体"/>
          <w:bCs/>
          <w:color w:val="FF0000"/>
          <w:szCs w:val="21"/>
          <w:highlight w:val="none"/>
        </w:rPr>
      </w:pPr>
      <w:r>
        <w:rPr>
          <w:rFonts w:hint="eastAsia" w:ascii="宋体" w:hAnsi="宋体" w:cs="宋体"/>
          <w:bCs/>
          <w:color w:val="000000"/>
          <w:szCs w:val="21"/>
          <w:highlight w:val="none"/>
        </w:rPr>
        <w:t>（三）付款方式：验收合格后，</w:t>
      </w:r>
      <w:r>
        <w:rPr>
          <w:rFonts w:hint="eastAsia" w:ascii="宋体" w:hAnsi="宋体" w:cs="宋体"/>
          <w:bCs/>
          <w:color w:val="000000"/>
          <w:szCs w:val="21"/>
          <w:highlight w:val="none"/>
          <w:lang w:val="en-US" w:eastAsia="zh-CN"/>
        </w:rPr>
        <w:t>乙方</w:t>
      </w:r>
      <w:r>
        <w:rPr>
          <w:rFonts w:hint="eastAsia" w:ascii="宋体" w:hAnsi="宋体" w:cs="宋体"/>
          <w:bCs/>
          <w:color w:val="000000"/>
          <w:szCs w:val="21"/>
          <w:highlight w:val="none"/>
        </w:rPr>
        <w:t>持中标通知书、供货合同、发票政府采购项目验收单</w:t>
      </w:r>
      <w:r>
        <w:rPr>
          <w:rFonts w:hint="eastAsia" w:ascii="宋体" w:hAnsi="宋体" w:cs="宋体"/>
          <w:bCs/>
          <w:color w:val="auto"/>
          <w:szCs w:val="21"/>
          <w:highlight w:val="none"/>
        </w:rPr>
        <w:t>，</w:t>
      </w:r>
      <w:r>
        <w:rPr>
          <w:rFonts w:hint="eastAsia" w:ascii="宋体" w:hAnsi="宋体" w:eastAsia="宋体" w:cs="宋体"/>
          <w:bCs/>
          <w:color w:val="auto"/>
          <w:szCs w:val="21"/>
          <w:highlight w:val="none"/>
        </w:rPr>
        <w:t>每月以西安市殡仪馆实际销售商品数量及中标单价为依据</w:t>
      </w:r>
      <w:r>
        <w:rPr>
          <w:rFonts w:hint="eastAsia" w:ascii="宋体" w:hAnsi="宋体" w:cs="宋体"/>
          <w:bCs/>
          <w:color w:val="auto"/>
          <w:szCs w:val="21"/>
          <w:highlight w:val="none"/>
        </w:rPr>
        <w:t>与采购人进</w:t>
      </w:r>
      <w:r>
        <w:rPr>
          <w:rFonts w:hint="eastAsia" w:ascii="宋体" w:hAnsi="宋体" w:cs="宋体"/>
          <w:bCs/>
          <w:color w:val="000000"/>
          <w:szCs w:val="21"/>
          <w:highlight w:val="none"/>
        </w:rPr>
        <w:t>行结算。</w:t>
      </w:r>
    </w:p>
    <w:p w14:paraId="3C2CAF32">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四、质量保证</w:t>
      </w:r>
    </w:p>
    <w:p w14:paraId="7FD622F2">
      <w:pPr>
        <w:autoSpaceDE w:val="0"/>
        <w:autoSpaceDN w:val="0"/>
        <w:adjustRightInd w:val="0"/>
        <w:spacing w:line="360" w:lineRule="auto"/>
        <w:ind w:firstLine="420" w:firstLineChars="200"/>
        <w:rPr>
          <w:rFonts w:hint="eastAsia" w:ascii="宋体" w:hAnsi="宋体" w:cs="宋体"/>
          <w:bCs/>
          <w:color w:val="000000"/>
          <w:szCs w:val="21"/>
          <w:highlight w:val="none"/>
          <w:lang w:val="en-US" w:eastAsia="zh-CN"/>
        </w:rPr>
      </w:pPr>
      <w:r>
        <w:rPr>
          <w:rFonts w:hint="eastAsia" w:ascii="宋体" w:hAnsi="宋体" w:cs="宋体"/>
          <w:bCs/>
          <w:color w:val="000000"/>
          <w:szCs w:val="21"/>
          <w:highlight w:val="none"/>
        </w:rPr>
        <w:t>（一）</w:t>
      </w:r>
      <w:r>
        <w:rPr>
          <w:rFonts w:hint="eastAsia" w:ascii="宋体" w:hAnsi="宋体" w:cs="宋体"/>
          <w:bCs/>
          <w:color w:val="000000"/>
          <w:szCs w:val="21"/>
          <w:highlight w:val="none"/>
          <w:lang w:val="en-US" w:eastAsia="zh-CN"/>
        </w:rPr>
        <w:t>所选原材料必须保证质量可靠、进货渠道正规，符合国家相关标准并满足招标文件要求;</w:t>
      </w:r>
    </w:p>
    <w:p w14:paraId="356F54D4">
      <w:pPr>
        <w:autoSpaceDE w:val="0"/>
        <w:autoSpaceDN w:val="0"/>
        <w:adjustRightInd w:val="0"/>
        <w:spacing w:line="360" w:lineRule="auto"/>
        <w:ind w:firstLine="420" w:firstLineChars="200"/>
        <w:rPr>
          <w:rFonts w:hint="eastAsia" w:ascii="宋体" w:hAnsi="宋体" w:cs="宋体"/>
          <w:bCs/>
          <w:color w:val="000000"/>
          <w:szCs w:val="21"/>
          <w:highlight w:val="none"/>
          <w:lang w:val="en-US" w:eastAsia="zh-CN"/>
        </w:rPr>
      </w:pPr>
      <w:r>
        <w:rPr>
          <w:rFonts w:hint="eastAsia" w:ascii="宋体" w:hAnsi="宋体" w:cs="宋体"/>
          <w:bCs/>
          <w:color w:val="000000"/>
          <w:szCs w:val="21"/>
          <w:highlight w:val="none"/>
          <w:lang w:val="en-US" w:eastAsia="zh-CN"/>
        </w:rPr>
        <w:t>（二）所供成品保证质量合格，符合国家有关技术规范，确保无水货、假货、翻新货及残次品，并能按期交货。</w:t>
      </w:r>
    </w:p>
    <w:p w14:paraId="31D01F0B">
      <w:pPr>
        <w:autoSpaceDE w:val="0"/>
        <w:autoSpaceDN w:val="0"/>
        <w:adjustRightInd w:val="0"/>
        <w:spacing w:line="360" w:lineRule="auto"/>
        <w:ind w:firstLine="420" w:firstLineChars="200"/>
        <w:rPr>
          <w:rFonts w:hint="eastAsia" w:ascii="宋体" w:hAnsi="宋体" w:cs="宋体"/>
          <w:bCs/>
          <w:color w:val="000000"/>
          <w:szCs w:val="21"/>
          <w:highlight w:val="none"/>
          <w:lang w:val="en-US" w:eastAsia="zh-CN"/>
        </w:rPr>
      </w:pPr>
      <w:r>
        <w:rPr>
          <w:rFonts w:hint="eastAsia" w:ascii="宋体" w:hAnsi="宋体" w:cs="宋体"/>
          <w:bCs/>
          <w:color w:val="000000"/>
          <w:szCs w:val="21"/>
          <w:highlight w:val="none"/>
          <w:lang w:val="en-US" w:eastAsia="zh-CN"/>
        </w:rPr>
        <w:t>（三）保证所供货物在装卸、运输和仓储过程中有足够的包装保护，防止支腐烂、遭受冲撞及其他不可预见的损坏;</w:t>
      </w:r>
    </w:p>
    <w:p w14:paraId="035824EC">
      <w:pPr>
        <w:autoSpaceDE w:val="0"/>
        <w:autoSpaceDN w:val="0"/>
        <w:adjustRightInd w:val="0"/>
        <w:spacing w:line="360" w:lineRule="auto"/>
        <w:ind w:firstLine="420" w:firstLineChars="200"/>
        <w:rPr>
          <w:rFonts w:hint="eastAsia" w:ascii="宋体" w:hAnsi="宋体" w:cs="宋体"/>
          <w:bCs/>
          <w:color w:val="000000"/>
          <w:szCs w:val="21"/>
          <w:highlight w:val="none"/>
          <w:lang w:val="en-US" w:eastAsia="zh-CN"/>
        </w:rPr>
      </w:pPr>
      <w:r>
        <w:rPr>
          <w:rFonts w:hint="eastAsia" w:ascii="宋体" w:hAnsi="宋体" w:cs="宋体"/>
          <w:bCs/>
          <w:color w:val="000000"/>
          <w:szCs w:val="21"/>
          <w:highlight w:val="none"/>
          <w:lang w:val="en-US" w:eastAsia="zh-CN"/>
        </w:rPr>
        <w:t>（四）乙方所供货物，若发生侵权而产生的一切后果，由乙方负责。采购人保留索赔权力。</w:t>
      </w:r>
    </w:p>
    <w:p w14:paraId="37EB94AA">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五、运输</w:t>
      </w:r>
    </w:p>
    <w:p w14:paraId="08D97AD3">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（一）运输由</w:t>
      </w:r>
      <w:r>
        <w:rPr>
          <w:rFonts w:hint="eastAsia" w:ascii="宋体" w:hAnsi="宋体" w:cs="宋体"/>
          <w:bCs/>
          <w:color w:val="000000"/>
          <w:szCs w:val="21"/>
          <w:highlight w:val="none"/>
          <w:lang w:eastAsia="zh-CN"/>
        </w:rPr>
        <w:t>乙方</w:t>
      </w:r>
      <w:r>
        <w:rPr>
          <w:rFonts w:hint="eastAsia" w:ascii="宋体" w:hAnsi="宋体" w:cs="宋体"/>
          <w:bCs/>
          <w:color w:val="000000"/>
          <w:szCs w:val="21"/>
          <w:highlight w:val="none"/>
        </w:rPr>
        <w:t>负责，运杂费已包含在合同总价内，包括从货物供应地点运送至交货地点所含的运输费、装卸费、仓储费、保险费等。</w:t>
      </w:r>
    </w:p>
    <w:p w14:paraId="5DF84113">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（二）运输方式由</w:t>
      </w:r>
      <w:r>
        <w:rPr>
          <w:rFonts w:hint="eastAsia" w:ascii="宋体" w:hAnsi="宋体" w:cs="宋体"/>
          <w:bCs/>
          <w:color w:val="000000"/>
          <w:szCs w:val="21"/>
          <w:highlight w:val="none"/>
          <w:lang w:eastAsia="zh-CN"/>
        </w:rPr>
        <w:t>乙方</w:t>
      </w:r>
      <w:r>
        <w:rPr>
          <w:rFonts w:hint="eastAsia" w:ascii="宋体" w:hAnsi="宋体" w:cs="宋体"/>
          <w:bCs/>
          <w:color w:val="000000"/>
          <w:szCs w:val="21"/>
          <w:highlight w:val="none"/>
        </w:rPr>
        <w:t>自行选择，但必须保证按期交货。</w:t>
      </w:r>
    </w:p>
    <w:p w14:paraId="1BF491B9">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六、验收</w:t>
      </w:r>
    </w:p>
    <w:p w14:paraId="56F4A51C">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（一）货物到达采购人指定地点后，采购人根据合同要求，进行验收，确认产地、规格和数量。必要时委托具有相关资质的第三方检测机构或邀请行业内专家对货物外观质量等进行抽样检验，检验费用由</w:t>
      </w:r>
      <w:r>
        <w:rPr>
          <w:rFonts w:hint="eastAsia" w:ascii="宋体" w:hAnsi="宋体" w:cs="宋体"/>
          <w:bCs/>
          <w:color w:val="000000"/>
          <w:szCs w:val="21"/>
          <w:highlight w:val="none"/>
          <w:lang w:eastAsia="zh-CN"/>
        </w:rPr>
        <w:t>乙方</w:t>
      </w:r>
      <w:r>
        <w:rPr>
          <w:rFonts w:hint="eastAsia" w:ascii="宋体" w:hAnsi="宋体" w:cs="宋体"/>
          <w:bCs/>
          <w:color w:val="000000"/>
          <w:szCs w:val="21"/>
          <w:highlight w:val="none"/>
        </w:rPr>
        <w:t>承担。</w:t>
      </w:r>
    </w:p>
    <w:p w14:paraId="4487C194">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（二）验收依据</w:t>
      </w:r>
    </w:p>
    <w:p w14:paraId="193706E8">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1、招标文件、投标文件、澄清表（函）；</w:t>
      </w:r>
    </w:p>
    <w:p w14:paraId="421A1DF5">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2、本合同及附件文本；</w:t>
      </w:r>
    </w:p>
    <w:p w14:paraId="3C0E9A89">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3、国家相应的标准、规范。</w:t>
      </w:r>
    </w:p>
    <w:p w14:paraId="1FDF76B9">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七、售后服务</w:t>
      </w:r>
    </w:p>
    <w:p w14:paraId="71B8FC06">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eastAsia="宋体" w:cs="宋体"/>
          <w:bCs/>
          <w:color w:val="000000"/>
          <w:szCs w:val="21"/>
          <w:highlight w:val="none"/>
          <w:lang w:val="en-US" w:eastAsia="zh-CN"/>
        </w:rPr>
        <w:t>质保期</w:t>
      </w:r>
      <w:r>
        <w:rPr>
          <w:rFonts w:hint="eastAsia" w:ascii="宋体" w:hAnsi="宋体" w:eastAsia="宋体" w:cs="宋体"/>
          <w:bCs/>
          <w:color w:val="000000"/>
          <w:szCs w:val="21"/>
          <w:highlight w:val="none"/>
        </w:rPr>
        <w:t>：采购人收到货物之日起至少12个</w:t>
      </w:r>
      <w:r>
        <w:rPr>
          <w:rFonts w:hint="eastAsia" w:ascii="宋体" w:hAnsi="宋体" w:cs="宋体"/>
          <w:bCs/>
          <w:color w:val="000000"/>
          <w:szCs w:val="21"/>
          <w:highlight w:val="none"/>
        </w:rPr>
        <w:t>月，若该质量保证期小于国家标准，则以国家标准为准。</w:t>
      </w:r>
    </w:p>
    <w:p w14:paraId="6826434B">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质保期内：</w:t>
      </w:r>
    </w:p>
    <w:p w14:paraId="71079A72">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1、30天内，如出现质量问题，可以选择换货或退货；</w:t>
      </w:r>
    </w:p>
    <w:p w14:paraId="275041C0">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2、30天至60天内，如出现质量问题，可选择换货。</w:t>
      </w:r>
    </w:p>
    <w:p w14:paraId="0A4EAB72">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八、技术与服务</w:t>
      </w:r>
    </w:p>
    <w:p w14:paraId="35F92219">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（一）技术资料</w:t>
      </w:r>
    </w:p>
    <w:p w14:paraId="78DF0FD0">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1、质量合格证；</w:t>
      </w:r>
    </w:p>
    <w:p w14:paraId="33803D21">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2、使用说明；</w:t>
      </w:r>
    </w:p>
    <w:p w14:paraId="0082B028">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3、其它资料。</w:t>
      </w:r>
    </w:p>
    <w:p w14:paraId="5AB5D5D7">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（二）服务承诺</w:t>
      </w:r>
    </w:p>
    <w:p w14:paraId="207DA384">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以投标文件、澄清表（函）、合同和货物的相关文件为准。</w:t>
      </w:r>
    </w:p>
    <w:p w14:paraId="2F5D0B15">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九、违约责任</w:t>
      </w:r>
    </w:p>
    <w:p w14:paraId="1C9F85A8">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（一）按《民法典》中的相关条款执行。</w:t>
      </w:r>
    </w:p>
    <w:p w14:paraId="55F81F00">
      <w:pPr>
        <w:autoSpaceDE w:val="0"/>
        <w:autoSpaceDN w:val="0"/>
        <w:adjustRightInd w:val="0"/>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（二）未按合同要求提供货物或货物不能满足合同要求，采购人会同集中采购机构有权终止合同和对</w:t>
      </w:r>
      <w:r>
        <w:rPr>
          <w:rFonts w:hint="eastAsia" w:ascii="宋体" w:hAnsi="宋体" w:cs="宋体"/>
          <w:bCs/>
          <w:color w:val="000000"/>
          <w:szCs w:val="21"/>
          <w:highlight w:val="none"/>
          <w:lang w:eastAsia="zh-CN"/>
        </w:rPr>
        <w:t>乙方</w:t>
      </w:r>
      <w:r>
        <w:rPr>
          <w:rFonts w:hint="eastAsia" w:ascii="宋体" w:hAnsi="宋体" w:cs="宋体"/>
          <w:bCs/>
          <w:color w:val="000000"/>
          <w:szCs w:val="21"/>
          <w:highlight w:val="none"/>
        </w:rPr>
        <w:t>的违约行为进行追究，同时按《政府采购法》及相关法律法规的处罚条款报监管机构进行相应的处罚。</w:t>
      </w:r>
    </w:p>
    <w:p w14:paraId="1B581852">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（三）双方在履行合同过程中产生纠纷，应尽量协商解决，协商不成的，任何一方可向甲方所在地人民法院诉讼解决。</w:t>
      </w:r>
    </w:p>
    <w:p w14:paraId="445267E1">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十、合同份数</w:t>
      </w:r>
    </w:p>
    <w:p w14:paraId="754B0123">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合同一式4份，</w:t>
      </w:r>
      <w:r>
        <w:rPr>
          <w:rFonts w:hint="eastAsia" w:ascii="宋体" w:hAnsi="宋体" w:cs="宋体"/>
          <w:bCs/>
          <w:color w:val="000000"/>
          <w:szCs w:val="21"/>
          <w:highlight w:val="none"/>
          <w:lang w:val="en-US" w:eastAsia="zh-CN"/>
        </w:rPr>
        <w:t>甲方</w:t>
      </w:r>
      <w:r>
        <w:rPr>
          <w:rFonts w:hint="eastAsia" w:ascii="宋体" w:hAnsi="宋体" w:cs="宋体"/>
          <w:bCs/>
          <w:color w:val="000000"/>
          <w:szCs w:val="21"/>
          <w:highlight w:val="none"/>
        </w:rPr>
        <w:t>2份、</w:t>
      </w:r>
      <w:r>
        <w:rPr>
          <w:rFonts w:hint="eastAsia" w:ascii="宋体" w:hAnsi="宋体" w:cs="宋体"/>
          <w:bCs/>
          <w:color w:val="000000"/>
          <w:szCs w:val="21"/>
          <w:highlight w:val="none"/>
          <w:lang w:eastAsia="zh-CN"/>
        </w:rPr>
        <w:t>乙方</w:t>
      </w:r>
      <w:r>
        <w:rPr>
          <w:rFonts w:hint="eastAsia" w:ascii="宋体" w:hAnsi="宋体" w:cs="宋体"/>
          <w:bCs/>
          <w:color w:val="000000"/>
          <w:szCs w:val="21"/>
          <w:highlight w:val="none"/>
          <w:lang w:val="en-US" w:eastAsia="zh-CN"/>
        </w:rPr>
        <w:t>2</w:t>
      </w:r>
      <w:r>
        <w:rPr>
          <w:rFonts w:hint="eastAsia" w:ascii="宋体" w:hAnsi="宋体" w:cs="宋体"/>
          <w:bCs/>
          <w:color w:val="000000"/>
          <w:szCs w:val="21"/>
          <w:highlight w:val="none"/>
        </w:rPr>
        <w:t>份。</w:t>
      </w:r>
    </w:p>
    <w:p w14:paraId="3D37815F">
      <w:pPr>
        <w:autoSpaceDE w:val="0"/>
        <w:autoSpaceDN w:val="0"/>
        <w:adjustRightInd w:val="0"/>
        <w:spacing w:line="360" w:lineRule="auto"/>
        <w:rPr>
          <w:rFonts w:hint="eastAsia" w:ascii="宋体" w:hAnsi="宋体" w:cs="宋体"/>
          <w:b/>
          <w:bCs w:val="0"/>
          <w:color w:val="000000"/>
          <w:szCs w:val="21"/>
          <w:highlight w:val="none"/>
        </w:rPr>
      </w:pPr>
      <w:r>
        <w:rPr>
          <w:rFonts w:hint="eastAsia" w:ascii="宋体" w:hAnsi="宋体" w:cs="宋体"/>
          <w:b/>
          <w:bCs w:val="0"/>
          <w:color w:val="000000"/>
          <w:szCs w:val="21"/>
          <w:highlight w:val="none"/>
        </w:rPr>
        <w:t>十一、其他</w:t>
      </w:r>
    </w:p>
    <w:p w14:paraId="0C150867">
      <w:pPr>
        <w:autoSpaceDE w:val="0"/>
        <w:autoSpaceDN w:val="0"/>
        <w:adjustRightInd w:val="0"/>
        <w:spacing w:line="360" w:lineRule="auto"/>
        <w:ind w:firstLine="420" w:firstLineChars="200"/>
        <w:rPr>
          <w:rFonts w:hint="eastAsia" w:ascii="宋体" w:hAnsi="宋体" w:cs="宋体"/>
          <w:bCs/>
          <w:color w:val="000000"/>
          <w:szCs w:val="21"/>
          <w:highlight w:val="none"/>
        </w:rPr>
      </w:pPr>
      <w:r>
        <w:rPr>
          <w:rFonts w:hint="eastAsia" w:ascii="宋体" w:hAnsi="宋体" w:cs="宋体"/>
          <w:bCs/>
          <w:color w:val="000000"/>
          <w:szCs w:val="21"/>
          <w:highlight w:val="none"/>
        </w:rPr>
        <w:t>未尽事宜由双方在签订合同时具体明确。</w:t>
      </w:r>
    </w:p>
    <w:p w14:paraId="26220BD7">
      <w:pPr>
        <w:pStyle w:val="2"/>
        <w:rPr>
          <w:rFonts w:hint="eastAsia"/>
          <w:highlight w:val="none"/>
        </w:rPr>
      </w:pPr>
    </w:p>
    <w:tbl>
      <w:tblPr>
        <w:tblStyle w:val="3"/>
        <w:tblW w:w="522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449"/>
        <w:gridCol w:w="4450"/>
      </w:tblGrid>
      <w:tr w14:paraId="7741614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4111848E">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甲  方</w:t>
            </w:r>
          </w:p>
        </w:tc>
        <w:tc>
          <w:tcPr>
            <w:tcW w:w="2500" w:type="pct"/>
            <w:noWrap w:val="0"/>
            <w:vAlign w:val="center"/>
          </w:tcPr>
          <w:p w14:paraId="24C33A62">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乙  方</w:t>
            </w:r>
          </w:p>
        </w:tc>
      </w:tr>
      <w:tr w14:paraId="4BB555B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5F45DA01">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（盖章）</w:t>
            </w:r>
          </w:p>
        </w:tc>
        <w:tc>
          <w:tcPr>
            <w:tcW w:w="2500" w:type="pct"/>
            <w:noWrap w:val="0"/>
            <w:vAlign w:val="center"/>
          </w:tcPr>
          <w:p w14:paraId="7B83863D">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（盖章）</w:t>
            </w:r>
          </w:p>
        </w:tc>
      </w:tr>
      <w:tr w14:paraId="01F4E35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0E78F084">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 xml:space="preserve">地址： </w:t>
            </w:r>
          </w:p>
        </w:tc>
        <w:tc>
          <w:tcPr>
            <w:tcW w:w="2500" w:type="pct"/>
            <w:noWrap w:val="0"/>
            <w:vAlign w:val="center"/>
          </w:tcPr>
          <w:p w14:paraId="1D7CE1B7">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地址：</w:t>
            </w:r>
          </w:p>
        </w:tc>
      </w:tr>
      <w:tr w14:paraId="0EBE1A6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7E804F4B">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邮编：</w:t>
            </w:r>
          </w:p>
        </w:tc>
        <w:tc>
          <w:tcPr>
            <w:tcW w:w="2500" w:type="pct"/>
            <w:noWrap w:val="0"/>
            <w:vAlign w:val="center"/>
          </w:tcPr>
          <w:p w14:paraId="767B32A4">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邮编：</w:t>
            </w:r>
          </w:p>
        </w:tc>
      </w:tr>
      <w:tr w14:paraId="35082FA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22B2A973">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 xml:space="preserve">法定代表人： </w:t>
            </w:r>
          </w:p>
        </w:tc>
        <w:tc>
          <w:tcPr>
            <w:tcW w:w="2500" w:type="pct"/>
            <w:noWrap w:val="0"/>
            <w:vAlign w:val="center"/>
          </w:tcPr>
          <w:p w14:paraId="7DA6D0F3">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法定代表人：</w:t>
            </w:r>
          </w:p>
        </w:tc>
      </w:tr>
      <w:tr w14:paraId="55BEFA4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27DAD552">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被授权代表：</w:t>
            </w:r>
          </w:p>
        </w:tc>
        <w:tc>
          <w:tcPr>
            <w:tcW w:w="2500" w:type="pct"/>
            <w:noWrap w:val="0"/>
            <w:vAlign w:val="center"/>
          </w:tcPr>
          <w:p w14:paraId="76C39A97">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被授权代表：</w:t>
            </w:r>
          </w:p>
        </w:tc>
      </w:tr>
      <w:tr w14:paraId="2D86F5D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114A468F">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电话：</w:t>
            </w:r>
          </w:p>
        </w:tc>
        <w:tc>
          <w:tcPr>
            <w:tcW w:w="2500" w:type="pct"/>
            <w:noWrap w:val="0"/>
            <w:vAlign w:val="center"/>
          </w:tcPr>
          <w:p w14:paraId="63086BFE">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电话：</w:t>
            </w:r>
          </w:p>
        </w:tc>
      </w:tr>
      <w:tr w14:paraId="2877E12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19506505">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传真：</w:t>
            </w:r>
          </w:p>
        </w:tc>
        <w:tc>
          <w:tcPr>
            <w:tcW w:w="2500" w:type="pct"/>
            <w:noWrap w:val="0"/>
            <w:vAlign w:val="center"/>
          </w:tcPr>
          <w:p w14:paraId="5385ADD9">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传真：</w:t>
            </w:r>
          </w:p>
        </w:tc>
      </w:tr>
      <w:tr w14:paraId="189DF07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174DD9F5">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开户银行：</w:t>
            </w:r>
          </w:p>
        </w:tc>
        <w:tc>
          <w:tcPr>
            <w:tcW w:w="2500" w:type="pct"/>
            <w:noWrap w:val="0"/>
            <w:vAlign w:val="center"/>
          </w:tcPr>
          <w:p w14:paraId="69058320">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开户银行：</w:t>
            </w:r>
          </w:p>
        </w:tc>
      </w:tr>
      <w:tr w14:paraId="59F40E7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00" w:hRule="exact"/>
          <w:jc w:val="center"/>
        </w:trPr>
        <w:tc>
          <w:tcPr>
            <w:tcW w:w="2500" w:type="pct"/>
            <w:noWrap w:val="0"/>
            <w:vAlign w:val="center"/>
          </w:tcPr>
          <w:p w14:paraId="216BCAD0">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日期：</w:t>
            </w:r>
          </w:p>
        </w:tc>
        <w:tc>
          <w:tcPr>
            <w:tcW w:w="2500" w:type="pct"/>
            <w:noWrap w:val="0"/>
            <w:vAlign w:val="center"/>
          </w:tcPr>
          <w:p w14:paraId="40915B4B">
            <w:pPr>
              <w:autoSpaceDE w:val="0"/>
              <w:autoSpaceDN w:val="0"/>
              <w:adjustRightInd w:val="0"/>
              <w:spacing w:line="360" w:lineRule="auto"/>
              <w:ind w:firstLine="420" w:firstLineChars="20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日期：</w:t>
            </w:r>
          </w:p>
        </w:tc>
      </w:tr>
    </w:tbl>
    <w:p w14:paraId="1410AA79">
      <w:pPr>
        <w:rPr>
          <w:highlight w:val="none"/>
        </w:rPr>
      </w:pPr>
      <w:r>
        <w:rPr>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mNGMzZGYyMTM4NjViNzgzOTc0NmU0MzZhYzQ1Y2MifQ=="/>
  </w:docVars>
  <w:rsids>
    <w:rsidRoot w:val="00000000"/>
    <w:rsid w:val="39BA43DA"/>
    <w:rsid w:val="55527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1263</Words>
  <Characters>1279</Characters>
  <Lines>0</Lines>
  <Paragraphs>0</Paragraphs>
  <TotalTime>0</TotalTime>
  <ScaleCrop>false</ScaleCrop>
  <LinksUpToDate>false</LinksUpToDate>
  <CharactersWithSpaces>1313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2024-11-01T06:38:00Z</dcterms:created>
  <dc:creator>Admin</dc:creator>
  <cp:lastModifiedBy>向风而行</cp:lastModifiedBy>
  <dcterms:modified xsi:type="dcterms:W3CDTF">2024-11-01T06:50:11Z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65A6B3710FB840B7BBDDFB01780D36E8_12</vt:lpwstr>
  </property>
</Properties>
</file>