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接尸袋采购项目</w:t>
      </w:r>
    </w:p>
    <w:p>
      <w:pPr>
        <w:pStyle w:val="null3"/>
        <w:jc w:val="center"/>
        <w:outlineLvl w:val="2"/>
      </w:pPr>
      <w:r>
        <w:rPr>
          <w:sz w:val="28"/>
          <w:b/>
        </w:rPr>
        <w:t>采购项目编号：</w:t>
      </w:r>
      <w:r>
        <w:rPr>
          <w:sz w:val="28"/>
          <w:b/>
        </w:rPr>
        <w:t>慧科ZX-CE02381BH</w:t>
      </w:r>
      <w:r>
        <w:br/>
      </w:r>
      <w:r>
        <w:br/>
      </w:r>
      <w:r>
        <w:br/>
      </w:r>
    </w:p>
    <w:p>
      <w:pPr>
        <w:pStyle w:val="null3"/>
        <w:jc w:val="center"/>
        <w:outlineLvl w:val="2"/>
      </w:pPr>
      <w:r>
        <w:rPr>
          <w:sz w:val="28"/>
          <w:b/>
        </w:rPr>
        <w:t>西安市殡仪馆</w:t>
      </w:r>
    </w:p>
    <w:p>
      <w:pPr>
        <w:pStyle w:val="null3"/>
        <w:jc w:val="center"/>
        <w:outlineLvl w:val="2"/>
      </w:pPr>
      <w:r>
        <w:rPr>
          <w:sz w:val="28"/>
          <w:b/>
        </w:rPr>
        <w:t>陕西慧科工程管理咨询有限公司</w:t>
      </w:r>
      <w:r>
        <w:rPr>
          <w:sz w:val="28"/>
          <w:b/>
        </w:rPr>
        <w:t>共同编制</w:t>
      </w:r>
    </w:p>
    <w:p>
      <w:pPr>
        <w:pStyle w:val="null3"/>
        <w:jc w:val="center"/>
        <w:outlineLvl w:val="2"/>
      </w:pPr>
      <w:r>
        <w:rPr>
          <w:sz w:val="28"/>
          <w:b/>
        </w:rPr>
        <w:t>2024年11月01日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陕西慧科工程管理咨询有限公司</w:t>
      </w:r>
      <w:r>
        <w:rPr/>
        <w:t>（以下简称“代理机构”）受</w:t>
      </w:r>
      <w:r>
        <w:rPr/>
        <w:t>西安市殡仪馆</w:t>
      </w:r>
      <w:r>
        <w:rPr/>
        <w:t>委托，拟对</w:t>
      </w:r>
      <w:r>
        <w:rPr/>
        <w:t>接尸袋采购项目</w:t>
      </w:r>
      <w:r>
        <w:rPr/>
        <w:t>进行国内公开招标，兹邀请符合本次招标要求的供应商参加投标。</w:t>
      </w:r>
    </w:p>
    <w:p>
      <w:pPr>
        <w:pStyle w:val="null3"/>
        <w:outlineLvl w:val="2"/>
      </w:pPr>
      <w:r>
        <w:rPr>
          <w:sz w:val="28"/>
          <w:b/>
        </w:rPr>
        <w:t>一、采购项目编号：</w:t>
      </w:r>
      <w:r>
        <w:rPr>
          <w:sz w:val="28"/>
          <w:b/>
        </w:rPr>
        <w:t>慧科ZX-CE02381BH</w:t>
      </w:r>
    </w:p>
    <w:p>
      <w:pPr>
        <w:pStyle w:val="null3"/>
        <w:outlineLvl w:val="2"/>
      </w:pPr>
      <w:r>
        <w:rPr>
          <w:sz w:val="28"/>
          <w:b/>
        </w:rPr>
        <w:t>二、采购项目名称：</w:t>
      </w:r>
      <w:r>
        <w:rPr>
          <w:sz w:val="28"/>
          <w:b/>
        </w:rPr>
        <w:t>接尸袋采购项目</w:t>
      </w:r>
    </w:p>
    <w:p>
      <w:pPr>
        <w:pStyle w:val="null3"/>
        <w:outlineLvl w:val="2"/>
      </w:pPr>
      <w:r>
        <w:rPr>
          <w:sz w:val="28"/>
          <w:b/>
        </w:rPr>
        <w:t>三、招标项目简介</w:t>
      </w:r>
    </w:p>
    <w:p>
      <w:pPr>
        <w:pStyle w:val="null3"/>
        <w:ind w:firstLine="480"/>
      </w:pPr>
      <w:r>
        <w:rPr/>
        <w:t>拟为西安市殡仪馆采购接尸袋1批，以下统称为殓尸袋。本项目设核心产品：普通型殓尸袋(III型绿色）。</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采购包1（接尸袋采购项目）：属于专门面向中小企业采购。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1、具有独立承担民事责任能力的法人、其他组织或自然人：法人或者其他组织的营业执照等证明文件，自然人的身份证明。</w:t>
      </w:r>
    </w:p>
    <w:p>
      <w:pPr>
        <w:pStyle w:val="null3"/>
      </w:pPr>
      <w:r>
        <w:rPr/>
        <w:t>2、财务状况报告：投标人提供2023年度经审计的财务报告或投标截止日前三个月内基本开户银行出具的资信证明文件及基本账户信息证明材料或财政部门认可的政府采购专业担保机构开具的投标担保函。</w:t>
      </w:r>
    </w:p>
    <w:p>
      <w:pPr>
        <w:pStyle w:val="null3"/>
      </w:pPr>
      <w:r>
        <w:rPr/>
        <w:t>3、税收缴纳证明：依法缴纳税收的良好记录（提供投标截止时间前六个月内任意一个月份依法纳税证明或无欠税证明。依法免税的投标人应提供相关资料证明。 ）</w:t>
      </w:r>
    </w:p>
    <w:p>
      <w:pPr>
        <w:pStyle w:val="null3"/>
      </w:pPr>
      <w:r>
        <w:rPr/>
        <w:t>4、社会保障资金缴纳证明：依法缴纳社会保障资金的良好记录（提供投标截止时间前六个月内任意一个月份的缴费证明资料）依法不需要缴纳社会保障资金的投标人应提供相关资料证明。</w:t>
      </w:r>
    </w:p>
    <w:p>
      <w:pPr>
        <w:pStyle w:val="null3"/>
      </w:pPr>
      <w:r>
        <w:rPr/>
        <w:t>5、承诺函：提供具有履行合同所必须的设备和专业技术能力 （提供承诺函）。</w:t>
      </w:r>
    </w:p>
    <w:p>
      <w:pPr>
        <w:pStyle w:val="null3"/>
      </w:pPr>
      <w:r>
        <w:rPr/>
        <w:t>6、书面声明：参加政府采购活动前三年内，在经营活动中没有重大违法记录的书面声明。</w:t>
      </w:r>
    </w:p>
    <w:p>
      <w:pPr>
        <w:pStyle w:val="null3"/>
      </w:pPr>
      <w:r>
        <w:rPr/>
        <w:t>7、企业信用：投标人不得为“信用中国”网站中列入失信被执行人、重大税收违法失信主体的投标单位、不得为中国政府采购网政府采购严重违法失信行为记录名单中被财政部门禁止参加政府采购活动的投标单位。（以代理机构开标当天查询结果为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西安市殡仪馆</w:t>
      </w:r>
    </w:p>
    <w:p>
      <w:pPr>
        <w:pStyle w:val="null3"/>
      </w:pPr>
      <w:r>
        <w:rPr/>
        <w:t xml:space="preserve"> 地址： </w:t>
      </w:r>
      <w:r>
        <w:rPr/>
        <w:t>西安市长安区鸣犊留公三村</w:t>
      </w:r>
    </w:p>
    <w:p>
      <w:pPr>
        <w:pStyle w:val="null3"/>
      </w:pPr>
      <w:r>
        <w:rPr/>
        <w:t xml:space="preserve"> 邮编： </w:t>
      </w:r>
      <w:r>
        <w:rPr/>
        <w:t>710101</w:t>
      </w:r>
    </w:p>
    <w:p>
      <w:pPr>
        <w:pStyle w:val="null3"/>
      </w:pPr>
      <w:r>
        <w:rPr/>
        <w:t xml:space="preserve"> 联系人： </w:t>
      </w:r>
      <w:r>
        <w:rPr/>
        <w:t>卢疆</w:t>
      </w:r>
    </w:p>
    <w:p>
      <w:pPr>
        <w:pStyle w:val="null3"/>
      </w:pPr>
      <w:r>
        <w:rPr/>
        <w:t xml:space="preserve"> 联系电话： </w:t>
      </w:r>
      <w:r>
        <w:rPr/>
        <w:t>029-85696022</w:t>
      </w:r>
    </w:p>
    <w:p>
      <w:pPr>
        <w:pStyle w:val="null3"/>
        <w:outlineLvl w:val="2"/>
      </w:pPr>
      <w:r>
        <w:rPr>
          <w:sz w:val="28"/>
          <w:b/>
        </w:rPr>
        <w:t>代理机构：</w:t>
      </w:r>
      <w:r>
        <w:rPr>
          <w:sz w:val="28"/>
          <w:b/>
        </w:rPr>
        <w:t>陕西慧科工程管理咨询有限公司</w:t>
      </w:r>
    </w:p>
    <w:p>
      <w:pPr>
        <w:pStyle w:val="null3"/>
      </w:pPr>
      <w:r>
        <w:rPr/>
        <w:t xml:space="preserve"> 地址： </w:t>
      </w:r>
      <w:r>
        <w:rPr/>
        <w:t>陕西省西安市高新区锦业一路西安研祥城市广场C座3楼C－306号</w:t>
      </w:r>
    </w:p>
    <w:p>
      <w:pPr>
        <w:pStyle w:val="null3"/>
      </w:pPr>
      <w:r>
        <w:rPr/>
        <w:t xml:space="preserve"> 邮编： </w:t>
      </w:r>
      <w:r>
        <w:rPr/>
        <w:t>710076</w:t>
      </w:r>
    </w:p>
    <w:p>
      <w:pPr>
        <w:pStyle w:val="null3"/>
      </w:pPr>
      <w:r>
        <w:rPr/>
        <w:t xml:space="preserve"> 联系人： </w:t>
      </w:r>
      <w:r>
        <w:rPr/>
        <w:t>李小刚</w:t>
      </w:r>
    </w:p>
    <w:p>
      <w:pPr>
        <w:pStyle w:val="null3"/>
      </w:pPr>
      <w:r>
        <w:rPr/>
        <w:t xml:space="preserve"> 联系电话： </w:t>
      </w:r>
      <w:r>
        <w:rPr/>
        <w:t>029-89384142</w:t>
      </w:r>
    </w:p>
    <w:p>
      <w:pPr>
        <w:pStyle w:val="null3"/>
        <w:outlineLvl w:val="2"/>
      </w:pPr>
      <w:r>
        <w:rPr>
          <w:sz w:val="28"/>
          <w:b/>
        </w:rPr>
        <w:t>采购监督机构：</w:t>
      </w:r>
      <w:r>
        <w:rPr>
          <w:sz w:val="28"/>
          <w:b/>
        </w:rPr>
        <w:t>西安市财政局政府采购管理处</w:t>
      </w:r>
    </w:p>
    <w:p>
      <w:pPr>
        <w:pStyle w:val="null3"/>
        <w:ind w:firstLine="480"/>
      </w:pPr>
      <w:r>
        <w:rPr/>
        <w:t>联系人：</w:t>
      </w:r>
      <w:r>
        <w:rPr/>
        <w:t>张老师</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 1、以采购预算为基数，缴费金额参照国家计委颁布的《招标代理服务收费管理暂行办法》（计价格【2002】1980号）及发改办价格【2003】857号中的规定计取。 2、代理费缴纳账号： 开户名称：陕西慧科工程管理咨询有限公司 开户银行：交通银行股份有限公司西安光华路支行 银行账户：6113 0113 5013 0018 4142 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西安市殡仪馆</w:t>
      </w:r>
      <w:r>
        <w:rPr/>
        <w:t>和</w:t>
      </w:r>
      <w:r>
        <w:rPr/>
        <w:t>陕西慧科工程管理咨询有限公司</w:t>
      </w:r>
      <w:r>
        <w:rPr/>
        <w:t>享有。对招标文件中供应商参加本次政府采购活动应当具备的条件，招标项目技术、服务、商务及其他要求，评标细则及标准由</w:t>
      </w:r>
      <w:r>
        <w:rPr/>
        <w:t>西安市殡仪馆</w:t>
      </w:r>
      <w:r>
        <w:rPr/>
        <w:t>负责解释。除上述招标文件内容，其他内容由</w:t>
      </w:r>
      <w:r>
        <w:rPr/>
        <w:t>陕西慧科工程管理咨询有限公司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西安市殡仪馆</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陕西慧科工程管理咨询有限公司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按采购文件及合同约定执行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陕西慧科工程管理咨询有限公司</w:t>
      </w:r>
      <w:r>
        <w:rPr/>
        <w:t xml:space="preserve"> 负责答复；供应商对除采购需求外的采购文件的询问、质疑由</w:t>
      </w:r>
      <w:r>
        <w:rPr/>
        <w:t>陕西慧科工程管理咨询有限公司</w:t>
      </w:r>
      <w:r>
        <w:rPr/>
        <w:t xml:space="preserve"> 负责答复；供应商对采购过程、采购结果的询问、质疑由 </w:t>
      </w:r>
      <w:r>
        <w:rPr/>
        <w:t>陕西慧科工程管理咨询有限公司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联系人：李小刚</w:t>
      </w:r>
    </w:p>
    <w:p>
      <w:pPr>
        <w:pStyle w:val="null3"/>
      </w:pPr>
      <w:r>
        <w:rPr/>
        <w:t>联系电话：029-89384142</w:t>
      </w:r>
    </w:p>
    <w:p>
      <w:pPr>
        <w:pStyle w:val="null3"/>
      </w:pPr>
      <w:r>
        <w:rPr/>
        <w:t>地址：陕西省西安市高新区锦业一路西安研祥城市广场C座3楼C－306号</w:t>
      </w:r>
    </w:p>
    <w:p>
      <w:pPr>
        <w:pStyle w:val="null3"/>
      </w:pPr>
      <w:r>
        <w:rPr/>
        <w:t>邮编：710076</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拟为西安市殡仪馆采购接尸袋1批，以下统称为殓尸袋。本项目设核心产品：普通型殓尸袋(III型绿色）。</w:t>
      </w:r>
    </w:p>
    <w:p>
      <w:pPr>
        <w:pStyle w:val="null3"/>
        <w:outlineLvl w:val="2"/>
      </w:pPr>
      <w:r>
        <w:rPr>
          <w:sz w:val="28"/>
          <w:b/>
        </w:rPr>
        <w:t>3.2采购内容</w:t>
      </w:r>
    </w:p>
    <w:p>
      <w:pPr>
        <w:pStyle w:val="null3"/>
      </w:pPr>
      <w:r>
        <w:rPr/>
        <w:t>采购包1：</w:t>
      </w:r>
    </w:p>
    <w:p>
      <w:pPr>
        <w:pStyle w:val="null3"/>
      </w:pPr>
      <w:r>
        <w:rPr/>
        <w:t>采购包预算金额（元）: 1,400,000.00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西安市殡仪馆接尸袋采购</w:t>
            </w:r>
          </w:p>
        </w:tc>
        <w:tc>
          <w:tcPr>
            <w:tcW w:type="dxa" w:w="831"/>
          </w:tcPr>
          <w:p>
            <w:pPr>
              <w:pStyle w:val="null3"/>
              <w:jc w:val="right"/>
            </w:pPr>
            <w:r>
              <w:rPr/>
              <w:t>1.00</w:t>
            </w:r>
          </w:p>
        </w:tc>
        <w:tc>
          <w:tcPr>
            <w:tcW w:type="dxa" w:w="831"/>
          </w:tcPr>
          <w:p>
            <w:pPr>
              <w:pStyle w:val="null3"/>
              <w:jc w:val="right"/>
            </w:pPr>
            <w:r>
              <w:rPr/>
              <w:t>1,400,000.00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标的名称：西安市殡仪馆接尸袋采购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22"/>
              <w:jc w:val="both"/>
            </w:pPr>
            <w:r>
              <w:rPr>
                <w:rFonts w:ascii="宋体" w:hAnsi="宋体" w:cs="宋体" w:eastAsia="宋体"/>
                <w:sz w:val="20"/>
                <w:b/>
              </w:rPr>
              <w:t>一</w:t>
            </w:r>
            <w:r>
              <w:rPr>
                <w:rFonts w:ascii="宋体" w:hAnsi="宋体" w:cs="宋体" w:eastAsia="宋体"/>
                <w:sz w:val="20"/>
                <w:b/>
              </w:rPr>
              <w:t>、交货</w:t>
            </w:r>
            <w:r>
              <w:rPr>
                <w:rFonts w:ascii="宋体" w:hAnsi="宋体" w:cs="宋体" w:eastAsia="宋体"/>
                <w:sz w:val="20"/>
                <w:b/>
              </w:rPr>
              <w:t>时间</w:t>
            </w:r>
            <w:r>
              <w:rPr>
                <w:rFonts w:ascii="宋体" w:hAnsi="宋体" w:cs="宋体" w:eastAsia="宋体"/>
                <w:sz w:val="20"/>
                <w:b/>
              </w:rPr>
              <w:t>：</w:t>
            </w:r>
            <w:r>
              <w:rPr>
                <w:rFonts w:ascii="宋体" w:hAnsi="宋体" w:cs="宋体" w:eastAsia="宋体"/>
                <w:sz w:val="20"/>
                <w:b/>
              </w:rPr>
              <w:t>1年(2024年12月5日至2025年12月4日)或累计结算金额达到采购预算，以先到达者为准;分批次供货时间为</w:t>
            </w:r>
            <w:r>
              <w:rPr>
                <w:rFonts w:ascii="宋体" w:hAnsi="宋体" w:cs="宋体" w:eastAsia="宋体"/>
                <w:sz w:val="20"/>
                <w:b/>
              </w:rPr>
              <w:t>接到采购人</w:t>
            </w:r>
            <w:r>
              <w:rPr>
                <w:rFonts w:ascii="宋体" w:hAnsi="宋体" w:cs="宋体" w:eastAsia="宋体"/>
                <w:sz w:val="20"/>
                <w:b/>
              </w:rPr>
              <w:t>要货</w:t>
            </w:r>
            <w:r>
              <w:rPr>
                <w:rFonts w:ascii="宋体" w:hAnsi="宋体" w:cs="宋体" w:eastAsia="宋体"/>
                <w:sz w:val="20"/>
                <w:b/>
              </w:rPr>
              <w:t>通知</w:t>
            </w:r>
            <w:r>
              <w:rPr>
                <w:rFonts w:ascii="宋体" w:hAnsi="宋体" w:cs="宋体" w:eastAsia="宋体"/>
                <w:sz w:val="20"/>
                <w:b/>
              </w:rPr>
              <w:t>后</w:t>
            </w:r>
            <w:r>
              <w:rPr>
                <w:rFonts w:ascii="宋体" w:hAnsi="宋体" w:cs="宋体" w:eastAsia="宋体"/>
                <w:sz w:val="20"/>
                <w:b/>
              </w:rPr>
              <w:t>3日</w:t>
            </w:r>
            <w:r>
              <w:rPr>
                <w:rFonts w:ascii="宋体" w:hAnsi="宋体" w:cs="宋体" w:eastAsia="宋体"/>
                <w:sz w:val="20"/>
                <w:b/>
              </w:rPr>
              <w:t>内</w:t>
            </w:r>
            <w:r>
              <w:rPr>
                <w:rFonts w:ascii="宋体" w:hAnsi="宋体" w:cs="宋体" w:eastAsia="宋体"/>
                <w:sz w:val="20"/>
                <w:b/>
              </w:rPr>
              <w:t>完成供货</w:t>
            </w:r>
            <w:r>
              <w:rPr>
                <w:rFonts w:ascii="宋体" w:hAnsi="宋体" w:cs="宋体" w:eastAsia="宋体"/>
                <w:sz w:val="20"/>
                <w:b/>
              </w:rPr>
              <w:t>。</w:t>
            </w:r>
          </w:p>
          <w:p>
            <w:pPr>
              <w:pStyle w:val="null3"/>
              <w:ind w:firstLine="422"/>
              <w:jc w:val="both"/>
            </w:pPr>
            <w:r>
              <w:rPr>
                <w:rFonts w:ascii="宋体" w:hAnsi="宋体" w:cs="宋体" w:eastAsia="宋体"/>
                <w:sz w:val="20"/>
                <w:b/>
              </w:rPr>
              <w:t>二</w:t>
            </w:r>
            <w:r>
              <w:rPr>
                <w:rFonts w:ascii="宋体" w:hAnsi="宋体" w:cs="宋体" w:eastAsia="宋体"/>
                <w:sz w:val="20"/>
                <w:b/>
              </w:rPr>
              <w:t>、质保期：采购人收到货物之日起至少</w:t>
            </w:r>
            <w:r>
              <w:rPr>
                <w:rFonts w:ascii="宋体" w:hAnsi="宋体" w:cs="宋体" w:eastAsia="宋体"/>
                <w:sz w:val="20"/>
                <w:b/>
              </w:rPr>
              <w:t>12个月，若该质量保证期小于国家标准，则以国家标准为准。</w:t>
            </w:r>
          </w:p>
          <w:p>
            <w:pPr>
              <w:pStyle w:val="null3"/>
              <w:ind w:firstLine="402"/>
            </w:pPr>
            <w:r>
              <w:rPr>
                <w:rFonts w:ascii="宋体" w:hAnsi="宋体" w:cs="宋体" w:eastAsia="宋体"/>
                <w:sz w:val="20"/>
                <w:b/>
              </w:rPr>
              <w:t>三</w:t>
            </w:r>
            <w:r>
              <w:rPr>
                <w:rFonts w:ascii="宋体" w:hAnsi="宋体" w:cs="宋体" w:eastAsia="宋体"/>
                <w:sz w:val="20"/>
                <w:b/>
              </w:rPr>
              <w:t>、交货地点：西安市殡仪馆</w:t>
            </w:r>
            <w:r>
              <w:rPr>
                <w:rFonts w:ascii="宋体" w:hAnsi="宋体" w:cs="宋体" w:eastAsia="宋体"/>
                <w:sz w:val="20"/>
                <w:b/>
              </w:rPr>
              <w:t>。</w:t>
            </w:r>
          </w:p>
          <w:p>
            <w:pPr>
              <w:pStyle w:val="null3"/>
              <w:ind w:firstLine="402"/>
              <w:jc w:val="both"/>
            </w:pPr>
            <w:r>
              <w:rPr>
                <w:rFonts w:ascii="宋体" w:hAnsi="宋体" w:cs="宋体" w:eastAsia="宋体"/>
                <w:sz w:val="20"/>
                <w:b/>
              </w:rPr>
              <w:t>四</w:t>
            </w:r>
            <w:r>
              <w:rPr>
                <w:rFonts w:ascii="宋体" w:hAnsi="宋体" w:cs="宋体" w:eastAsia="宋体"/>
                <w:sz w:val="20"/>
                <w:b/>
              </w:rPr>
              <w:t>、因本项目无法预计实际发生量，故按照单价进行报价，合同期内全年累算额（数量</w:t>
            </w:r>
            <w:r>
              <w:rPr>
                <w:rFonts w:ascii="arial, helvetica, sans-serif" w:hAnsi="arial, helvetica, sans-serif" w:cs="arial, helvetica, sans-serif" w:eastAsia="arial, helvetica, sans-serif"/>
                <w:sz w:val="20"/>
                <w:b/>
              </w:rPr>
              <w:t>×</w:t>
            </w:r>
            <w:r>
              <w:rPr>
                <w:rFonts w:ascii="宋体" w:hAnsi="宋体" w:cs="宋体" w:eastAsia="宋体"/>
                <w:sz w:val="20"/>
                <w:b/>
              </w:rPr>
              <w:t>单价）不超过采购预算。</w:t>
            </w:r>
            <w:r>
              <w:rPr>
                <w:rFonts w:ascii="宋体" w:hAnsi="宋体" w:cs="宋体" w:eastAsia="宋体"/>
                <w:sz w:val="20"/>
                <w:b/>
              </w:rPr>
              <w:t>投标人需</w:t>
            </w:r>
            <w:r>
              <w:rPr>
                <w:rFonts w:ascii="宋体" w:hAnsi="宋体" w:cs="宋体" w:eastAsia="宋体"/>
                <w:sz w:val="20"/>
                <w:b/>
              </w:rPr>
              <w:t>对普通型殓尸袋</w:t>
            </w:r>
            <w:r>
              <w:rPr>
                <w:rFonts w:ascii="宋体" w:hAnsi="宋体" w:cs="宋体" w:eastAsia="宋体"/>
                <w:sz w:val="20"/>
                <w:b/>
              </w:rPr>
              <w:t>(I型红色、II型橙色、III型绿色)分别进行单价报价。</w:t>
            </w:r>
          </w:p>
          <w:p>
            <w:pPr>
              <w:pStyle w:val="null3"/>
              <w:ind w:firstLine="422"/>
              <w:jc w:val="both"/>
            </w:pPr>
            <w:r>
              <w:rPr>
                <w:rFonts w:ascii="宋体" w:hAnsi="宋体" w:cs="宋体" w:eastAsia="宋体"/>
                <w:sz w:val="20"/>
                <w:b/>
              </w:rPr>
              <w:t>五、采购内容：</w:t>
            </w:r>
            <w:r>
              <w:rPr>
                <w:rFonts w:ascii="宋体" w:hAnsi="宋体" w:cs="宋体" w:eastAsia="宋体"/>
                <w:sz w:val="20"/>
              </w:rPr>
              <w:t>普通型殓尸袋</w:t>
            </w:r>
            <w:r>
              <w:rPr>
                <w:rFonts w:ascii="宋体" w:hAnsi="宋体" w:cs="宋体" w:eastAsia="宋体"/>
                <w:sz w:val="20"/>
              </w:rPr>
              <w:t>(I型红色、II型橙色、III型绿色)</w:t>
            </w:r>
            <w:r>
              <w:rPr>
                <w:rFonts w:ascii="宋体" w:hAnsi="宋体" w:cs="宋体" w:eastAsia="宋体"/>
                <w:sz w:val="20"/>
              </w:rPr>
              <w:t>，</w:t>
            </w:r>
          </w:p>
          <w:p>
            <w:pPr>
              <w:pStyle w:val="null3"/>
              <w:ind w:firstLine="422"/>
              <w:jc w:val="both"/>
            </w:pPr>
            <w:r>
              <w:rPr>
                <w:rFonts w:ascii="宋体" w:hAnsi="宋体" w:cs="宋体" w:eastAsia="宋体"/>
                <w:sz w:val="20"/>
                <w:b/>
              </w:rPr>
              <w:t>六、质量要求：</w:t>
            </w:r>
          </w:p>
          <w:p>
            <w:pPr>
              <w:pStyle w:val="null3"/>
              <w:ind w:firstLine="422"/>
              <w:jc w:val="both"/>
            </w:pPr>
            <w:r>
              <w:rPr>
                <w:rFonts w:ascii="宋体" w:hAnsi="宋体" w:cs="宋体" w:eastAsia="宋体"/>
                <w:sz w:val="20"/>
              </w:rPr>
              <w:t>1、所选原材料必须保证质量可靠、进货渠道正规，符合国家相关标准并满足招标文件要求。</w:t>
            </w:r>
          </w:p>
          <w:p>
            <w:pPr>
              <w:pStyle w:val="null3"/>
              <w:ind w:firstLine="422"/>
              <w:jc w:val="both"/>
            </w:pPr>
            <w:r>
              <w:rPr>
                <w:rFonts w:ascii="宋体" w:hAnsi="宋体" w:cs="宋体" w:eastAsia="宋体"/>
                <w:sz w:val="20"/>
              </w:rPr>
              <w:t>2、所供成品保证质量合格，符合国家有关技术规范，确保无水货、假货、翻新货及残次品，并能按期交货。</w:t>
            </w:r>
          </w:p>
          <w:p>
            <w:pPr>
              <w:pStyle w:val="null3"/>
              <w:ind w:firstLine="422"/>
              <w:jc w:val="both"/>
            </w:pPr>
            <w:r>
              <w:rPr>
                <w:rFonts w:ascii="宋体" w:hAnsi="宋体" w:cs="宋体" w:eastAsia="宋体"/>
                <w:sz w:val="20"/>
              </w:rPr>
              <w:t>3、保证所供货物在装卸、运输和仓储过程中有足够的包装保护，防止支腐烂、遭受冲撞及其他不可预见的损坏。</w:t>
            </w:r>
          </w:p>
          <w:p>
            <w:pPr>
              <w:pStyle w:val="null3"/>
              <w:ind w:firstLine="422"/>
              <w:jc w:val="both"/>
            </w:pPr>
            <w:r>
              <w:rPr>
                <w:rFonts w:ascii="宋体" w:hAnsi="宋体" w:cs="宋体" w:eastAsia="宋体"/>
                <w:sz w:val="20"/>
              </w:rPr>
              <w:t>4、中标供应商所供货物，若发生侵权而产生的一切后果，由中标供应商负责。采购人保留索赔权力。</w:t>
            </w:r>
          </w:p>
        </w:tc>
      </w:tr>
      <w:tr>
        <w:tc>
          <w:tcPr>
            <w:tcW w:type="dxa" w:w="2769"/>
          </w:tcPr>
          <w:p>
            <w:pPr>
              <w:pStyle w:val="null3"/>
            </w:pPr>
            <w:r>
              <w:rPr/>
              <w:t>★</w:t>
            </w:r>
          </w:p>
        </w:tc>
        <w:tc>
          <w:tcPr>
            <w:tcW w:type="dxa" w:w="2769"/>
          </w:tcPr>
          <w:p>
            <w:pPr>
              <w:pStyle w:val="null3"/>
            </w:pPr>
            <w:r>
              <w:rPr/>
              <w:t>2</w:t>
            </w:r>
          </w:p>
        </w:tc>
        <w:tc>
          <w:tcPr>
            <w:tcW w:type="dxa" w:w="2769"/>
          </w:tcPr>
          <w:p>
            <w:pPr>
              <w:pStyle w:val="null3"/>
              <w:ind w:firstLine="400"/>
              <w:jc w:val="both"/>
            </w:pPr>
            <w:r>
              <w:rPr>
                <w:rFonts w:ascii="宋体" w:hAnsi="宋体" w:cs="宋体" w:eastAsia="宋体"/>
                <w:sz w:val="20"/>
              </w:rPr>
              <w:t>1、投</w:t>
            </w:r>
            <w:r>
              <w:rPr>
                <w:rFonts w:ascii="宋体" w:hAnsi="宋体" w:cs="宋体" w:eastAsia="宋体"/>
                <w:sz w:val="20"/>
              </w:rPr>
              <w:t>标单位务必了解中国殡葬发展趋势，了解西安地区丧葬习俗，熟悉、殡葬用品的本质、用途、文化内涵。</w:t>
            </w:r>
          </w:p>
          <w:p>
            <w:pPr>
              <w:pStyle w:val="null3"/>
              <w:ind w:firstLine="400"/>
              <w:jc w:val="both"/>
            </w:pPr>
            <w:r>
              <w:rPr>
                <w:rFonts w:ascii="宋体" w:hAnsi="宋体" w:cs="宋体" w:eastAsia="宋体"/>
                <w:sz w:val="20"/>
              </w:rPr>
              <w:t>2、投标单位要随时了解中国殡葬商品的市场动向，有能力及时提供国内最先进的殡葬用品</w:t>
            </w:r>
            <w:r>
              <w:rPr>
                <w:rFonts w:ascii="宋体" w:hAnsi="宋体" w:cs="宋体" w:eastAsia="宋体"/>
                <w:sz w:val="20"/>
              </w:rPr>
              <w:t>。</w:t>
            </w:r>
          </w:p>
          <w:p>
            <w:pPr>
              <w:pStyle w:val="null3"/>
              <w:ind w:firstLine="400"/>
              <w:jc w:val="both"/>
            </w:pPr>
            <w:r>
              <w:rPr>
                <w:rFonts w:ascii="宋体" w:hAnsi="宋体" w:cs="宋体" w:eastAsia="宋体"/>
                <w:sz w:val="20"/>
              </w:rPr>
              <w:t>3、殡葬用品种类繁多，材质多样，价格离散性大，质量差异过大，本项目要求满足不同消费文化、不同消费层次的需求，拒绝接受低质、劣质商品</w:t>
            </w:r>
            <w:r>
              <w:rPr>
                <w:rFonts w:ascii="宋体" w:hAnsi="宋体" w:cs="宋体" w:eastAsia="宋体"/>
                <w:sz w:val="20"/>
              </w:rPr>
              <w:t>。</w:t>
            </w:r>
          </w:p>
          <w:p>
            <w:pPr>
              <w:pStyle w:val="null3"/>
              <w:ind w:firstLine="400"/>
              <w:jc w:val="left"/>
            </w:pPr>
            <w:r>
              <w:rPr>
                <w:rFonts w:ascii="宋体" w:hAnsi="宋体" w:cs="宋体" w:eastAsia="宋体"/>
                <w:sz w:val="20"/>
              </w:rPr>
              <w:t>4</w:t>
            </w:r>
            <w:r>
              <w:rPr>
                <w:rFonts w:ascii="宋体" w:hAnsi="宋体" w:cs="宋体" w:eastAsia="宋体"/>
                <w:sz w:val="20"/>
              </w:rPr>
              <w:t>、</w:t>
            </w:r>
            <w:r>
              <w:rPr>
                <w:rFonts w:ascii="宋体" w:hAnsi="宋体" w:cs="宋体" w:eastAsia="宋体"/>
                <w:sz w:val="20"/>
              </w:rPr>
              <w:t>中标单位要根据西安市殡仪馆的销售情况及时配送商品，不能耽误正常销售需求。中标单位必须满足到西安市殡仪馆治丧家属的个性化商品要求。</w:t>
            </w:r>
          </w:p>
          <w:p>
            <w:pPr>
              <w:pStyle w:val="null3"/>
              <w:ind w:firstLine="400"/>
              <w:jc w:val="left"/>
            </w:pPr>
            <w:r>
              <w:rPr>
                <w:rFonts w:ascii="宋体" w:hAnsi="宋体" w:cs="宋体" w:eastAsia="宋体"/>
                <w:sz w:val="20"/>
              </w:rPr>
              <w:t>5</w:t>
            </w:r>
            <w:r>
              <w:rPr>
                <w:rFonts w:ascii="宋体" w:hAnsi="宋体" w:cs="宋体" w:eastAsia="宋体"/>
                <w:sz w:val="20"/>
              </w:rPr>
              <w:t>、</w:t>
            </w:r>
            <w:r>
              <w:rPr>
                <w:rFonts w:ascii="宋体" w:hAnsi="宋体" w:cs="宋体" w:eastAsia="宋体"/>
                <w:sz w:val="20"/>
              </w:rPr>
              <w:t>如出现商品质量问题由中标单位负责更换，如因商品质量问题导致遗体外漏、掉落、摔伤、体液外流等引起的家属投诉或其他纠纷所产生的所有赔偿费用由中标单位负责承担。</w:t>
            </w:r>
          </w:p>
        </w:tc>
      </w:tr>
      <w:tr>
        <w:tc>
          <w:tcPr>
            <w:tcW w:type="dxa" w:w="2769"/>
          </w:tcPr>
          <w:p>
            <w:pPr>
              <w:pStyle w:val="null3"/>
            </w:pPr>
            <w:r>
              <w:rPr/>
              <w:t>▲</w:t>
            </w:r>
          </w:p>
        </w:tc>
        <w:tc>
          <w:tcPr>
            <w:tcW w:type="dxa" w:w="2769"/>
          </w:tcPr>
          <w:p>
            <w:pPr>
              <w:pStyle w:val="null3"/>
            </w:pPr>
            <w:r>
              <w:rPr/>
              <w:t>3</w:t>
            </w:r>
          </w:p>
        </w:tc>
        <w:tc>
          <w:tcPr>
            <w:tcW w:type="dxa" w:w="2769"/>
          </w:tcPr>
          <w:p>
            <w:pPr>
              <w:pStyle w:val="null3"/>
              <w:jc w:val="both"/>
            </w:pPr>
            <w:r>
              <w:rPr>
                <w:rFonts w:ascii="宋体" w:hAnsi="宋体" w:cs="宋体" w:eastAsia="宋体"/>
                <w:sz w:val="20"/>
                <w:b/>
              </w:rPr>
              <w:t>技术参数要求：</w:t>
            </w:r>
          </w:p>
          <w:p>
            <w:pPr>
              <w:pStyle w:val="null3"/>
              <w:jc w:val="both"/>
            </w:pPr>
            <w:r>
              <w:rPr>
                <w:rFonts w:ascii="宋体" w:hAnsi="宋体" w:cs="宋体" w:eastAsia="宋体"/>
                <w:sz w:val="20"/>
              </w:rPr>
              <w:t>本项目要求满足不同体型和体重的遗体</w:t>
            </w:r>
            <w:r>
              <w:rPr>
                <w:rFonts w:ascii="宋体" w:hAnsi="宋体" w:cs="宋体" w:eastAsia="宋体"/>
                <w:sz w:val="20"/>
              </w:rPr>
              <w:t>。</w:t>
            </w:r>
          </w:p>
          <w:p>
            <w:pPr>
              <w:pStyle w:val="null3"/>
              <w:jc w:val="both"/>
            </w:pPr>
            <w:r>
              <w:rPr>
                <w:rFonts w:ascii="宋体" w:hAnsi="宋体" w:cs="宋体" w:eastAsia="宋体"/>
                <w:sz w:val="20"/>
              </w:rPr>
              <w:t>（</w:t>
            </w:r>
            <w:r>
              <w:rPr>
                <w:rFonts w:ascii="宋体" w:hAnsi="宋体" w:cs="宋体" w:eastAsia="宋体"/>
                <w:sz w:val="20"/>
              </w:rPr>
              <w:t>1）</w:t>
            </w:r>
            <w:r>
              <w:rPr>
                <w:rFonts w:ascii="宋体" w:hAnsi="宋体" w:cs="宋体" w:eastAsia="宋体"/>
                <w:sz w:val="20"/>
              </w:rPr>
              <w:t>所提供的殡葬用品尺寸不得小于</w:t>
            </w:r>
            <w:r>
              <w:rPr>
                <w:rFonts w:ascii="宋体" w:hAnsi="宋体" w:cs="宋体" w:eastAsia="宋体"/>
                <w:sz w:val="20"/>
              </w:rPr>
              <w:t>:长 200cm、宽80cm</w:t>
            </w:r>
            <w:r>
              <w:rPr>
                <w:rFonts w:ascii="宋体" w:hAnsi="宋体" w:cs="宋体" w:eastAsia="宋体"/>
                <w:sz w:val="20"/>
              </w:rPr>
              <w:t>、</w:t>
            </w:r>
            <w:r>
              <w:rPr>
                <w:rFonts w:ascii="宋体" w:hAnsi="宋体" w:cs="宋体" w:eastAsia="宋体"/>
                <w:sz w:val="20"/>
              </w:rPr>
              <w:t>高</w:t>
            </w:r>
            <w:r>
              <w:rPr>
                <w:rFonts w:ascii="宋体" w:hAnsi="宋体" w:cs="宋体" w:eastAsia="宋体"/>
                <w:sz w:val="20"/>
              </w:rPr>
              <w:t>30cm</w:t>
            </w:r>
            <w:r>
              <w:rPr>
                <w:rFonts w:ascii="宋体" w:hAnsi="宋体" w:cs="宋体" w:eastAsia="宋体"/>
                <w:sz w:val="20"/>
              </w:rPr>
              <w:t>。</w:t>
            </w:r>
          </w:p>
          <w:p>
            <w:pPr>
              <w:pStyle w:val="null3"/>
              <w:jc w:val="both"/>
            </w:pPr>
            <w:r>
              <w:rPr>
                <w:rFonts w:ascii="宋体" w:hAnsi="宋体" w:cs="宋体" w:eastAsia="宋体"/>
                <w:sz w:val="20"/>
              </w:rPr>
              <w:t>（</w:t>
            </w:r>
            <w:r>
              <w:rPr>
                <w:rFonts w:ascii="宋体" w:hAnsi="宋体" w:cs="宋体" w:eastAsia="宋体"/>
                <w:sz w:val="20"/>
              </w:rPr>
              <w:t>2</w:t>
            </w:r>
            <w:r>
              <w:rPr>
                <w:rFonts w:ascii="宋体" w:hAnsi="宋体" w:cs="宋体" w:eastAsia="宋体"/>
                <w:sz w:val="20"/>
              </w:rPr>
              <w:t>）</w:t>
            </w:r>
            <w:r>
              <w:rPr>
                <w:rFonts w:ascii="宋体" w:hAnsi="宋体" w:cs="宋体" w:eastAsia="宋体"/>
                <w:sz w:val="20"/>
              </w:rPr>
              <w:t>承重不得小于</w:t>
            </w:r>
            <w:r>
              <w:rPr>
                <w:rFonts w:ascii="宋体" w:hAnsi="宋体" w:cs="宋体" w:eastAsia="宋体"/>
                <w:sz w:val="20"/>
              </w:rPr>
              <w:t>150kg(包括提手)</w:t>
            </w:r>
            <w:r>
              <w:rPr>
                <w:rFonts w:ascii="宋体" w:hAnsi="宋体" w:cs="宋体" w:eastAsia="宋体"/>
                <w:sz w:val="20"/>
              </w:rPr>
              <w:t>。</w:t>
            </w:r>
          </w:p>
          <w:p>
            <w:pPr>
              <w:pStyle w:val="null3"/>
              <w:jc w:val="both"/>
            </w:pPr>
            <w:r>
              <w:rPr>
                <w:rFonts w:ascii="宋体" w:hAnsi="宋体" w:cs="宋体" w:eastAsia="宋体"/>
                <w:sz w:val="20"/>
              </w:rPr>
              <w:t>（</w:t>
            </w:r>
            <w:r>
              <w:rPr>
                <w:rFonts w:ascii="宋体" w:hAnsi="宋体" w:cs="宋体" w:eastAsia="宋体"/>
                <w:sz w:val="20"/>
              </w:rPr>
              <w:t>3</w:t>
            </w:r>
            <w:r>
              <w:rPr>
                <w:rFonts w:ascii="宋体" w:hAnsi="宋体" w:cs="宋体" w:eastAsia="宋体"/>
                <w:sz w:val="20"/>
              </w:rPr>
              <w:t>）</w:t>
            </w:r>
            <w:r>
              <w:rPr>
                <w:rFonts w:ascii="宋体" w:hAnsi="宋体" w:cs="宋体" w:eastAsia="宋体"/>
                <w:sz w:val="20"/>
              </w:rPr>
              <w:t>为方便包裹遗体，要求商品能够完全摊开，不得有包边</w:t>
            </w:r>
            <w:r>
              <w:rPr>
                <w:rFonts w:ascii="宋体" w:hAnsi="宋体" w:cs="宋体" w:eastAsia="宋体"/>
                <w:sz w:val="20"/>
              </w:rPr>
              <w:t>。</w:t>
            </w:r>
          </w:p>
          <w:p>
            <w:pPr>
              <w:pStyle w:val="null3"/>
              <w:jc w:val="both"/>
            </w:pPr>
            <w:r>
              <w:rPr>
                <w:rFonts w:ascii="宋体" w:hAnsi="宋体" w:cs="宋体" w:eastAsia="宋体"/>
                <w:sz w:val="20"/>
              </w:rPr>
              <w:t>（</w:t>
            </w:r>
            <w:r>
              <w:rPr>
                <w:rFonts w:ascii="宋体" w:hAnsi="宋体" w:cs="宋体" w:eastAsia="宋体"/>
                <w:sz w:val="20"/>
              </w:rPr>
              <w:t>4）</w:t>
            </w:r>
            <w:r>
              <w:rPr>
                <w:rFonts w:ascii="宋体" w:hAnsi="宋体" w:cs="宋体" w:eastAsia="宋体"/>
                <w:sz w:val="20"/>
              </w:rPr>
              <w:t>拉链必须安装两个</w:t>
            </w:r>
            <w:r>
              <w:rPr>
                <w:rFonts w:ascii="宋体" w:hAnsi="宋体" w:cs="宋体" w:eastAsia="宋体"/>
                <w:sz w:val="20"/>
              </w:rPr>
              <w:t>（</w:t>
            </w:r>
            <w:r>
              <w:rPr>
                <w:rFonts w:ascii="宋体" w:hAnsi="宋体" w:cs="宋体" w:eastAsia="宋体"/>
                <w:sz w:val="20"/>
              </w:rPr>
              <w:t>能够完全拉开及闭合</w:t>
            </w:r>
            <w:r>
              <w:rPr>
                <w:rFonts w:ascii="宋体" w:hAnsi="宋体" w:cs="宋体" w:eastAsia="宋体"/>
                <w:sz w:val="20"/>
              </w:rPr>
              <w:t>）</w:t>
            </w:r>
            <w:r>
              <w:rPr>
                <w:rFonts w:ascii="宋体" w:hAnsi="宋体" w:cs="宋体" w:eastAsia="宋体"/>
                <w:sz w:val="20"/>
              </w:rPr>
              <w:t>，</w:t>
            </w:r>
          </w:p>
          <w:p>
            <w:pPr>
              <w:pStyle w:val="null3"/>
              <w:jc w:val="both"/>
            </w:pPr>
            <w:r>
              <w:rPr>
                <w:rFonts w:ascii="宋体" w:hAnsi="宋体" w:cs="宋体" w:eastAsia="宋体"/>
                <w:sz w:val="20"/>
              </w:rPr>
              <w:t>（</w:t>
            </w:r>
            <w:r>
              <w:rPr>
                <w:rFonts w:ascii="宋体" w:hAnsi="宋体" w:cs="宋体" w:eastAsia="宋体"/>
                <w:sz w:val="20"/>
              </w:rPr>
              <w:t>5</w:t>
            </w:r>
            <w:r>
              <w:rPr>
                <w:rFonts w:ascii="宋体" w:hAnsi="宋体" w:cs="宋体" w:eastAsia="宋体"/>
                <w:sz w:val="20"/>
              </w:rPr>
              <w:t>）</w:t>
            </w:r>
            <w:r>
              <w:rPr>
                <w:rFonts w:ascii="宋体" w:hAnsi="宋体" w:cs="宋体" w:eastAsia="宋体"/>
                <w:sz w:val="20"/>
              </w:rPr>
              <w:t>要求商品从底部向两侧分别加装三道</w:t>
            </w:r>
            <w:r>
              <w:rPr>
                <w:rFonts w:ascii="宋体" w:hAnsi="宋体" w:cs="宋体" w:eastAsia="宋体"/>
                <w:sz w:val="20"/>
              </w:rPr>
              <w:t>（</w:t>
            </w:r>
            <w:r>
              <w:rPr>
                <w:rFonts w:ascii="宋体" w:hAnsi="宋体" w:cs="宋体" w:eastAsia="宋体"/>
                <w:sz w:val="20"/>
              </w:rPr>
              <w:t>头部、腰部、脚部</w:t>
            </w:r>
            <w:r>
              <w:rPr>
                <w:rFonts w:ascii="宋体" w:hAnsi="宋体" w:cs="宋体" w:eastAsia="宋体"/>
                <w:sz w:val="20"/>
              </w:rPr>
              <w:t>）</w:t>
            </w:r>
            <w:r>
              <w:rPr>
                <w:rFonts w:ascii="宋体" w:hAnsi="宋体" w:cs="宋体" w:eastAsia="宋体"/>
                <w:sz w:val="20"/>
              </w:rPr>
              <w:t>高强度环形提手，供遗体抬放使用</w:t>
            </w:r>
            <w:r>
              <w:rPr>
                <w:rFonts w:ascii="宋体" w:hAnsi="宋体" w:cs="宋体" w:eastAsia="宋体"/>
                <w:sz w:val="20"/>
              </w:rPr>
              <w:t>；</w:t>
            </w:r>
          </w:p>
          <w:p>
            <w:pPr>
              <w:pStyle w:val="null3"/>
              <w:jc w:val="both"/>
            </w:pPr>
            <w:r>
              <w:rPr>
                <w:rFonts w:ascii="宋体" w:hAnsi="宋体" w:cs="宋体" w:eastAsia="宋体"/>
                <w:sz w:val="20"/>
              </w:rPr>
              <w:t>（</w:t>
            </w:r>
            <w:r>
              <w:rPr>
                <w:rFonts w:ascii="宋体" w:hAnsi="宋体" w:cs="宋体" w:eastAsia="宋体"/>
                <w:sz w:val="20"/>
              </w:rPr>
              <w:t>6</w:t>
            </w:r>
            <w:r>
              <w:rPr>
                <w:rFonts w:ascii="宋体" w:hAnsi="宋体" w:cs="宋体" w:eastAsia="宋体"/>
                <w:sz w:val="20"/>
              </w:rPr>
              <w:t>）</w:t>
            </w:r>
            <w:r>
              <w:rPr>
                <w:rFonts w:ascii="宋体" w:hAnsi="宋体" w:cs="宋体" w:eastAsia="宋体"/>
                <w:sz w:val="20"/>
              </w:rPr>
              <w:t>为防止遗体体液外流，要求商品能够防渗漏</w:t>
            </w:r>
            <w:r>
              <w:rPr>
                <w:rFonts w:ascii="宋体" w:hAnsi="宋体" w:cs="宋体" w:eastAsia="宋体"/>
                <w:sz w:val="20"/>
              </w:rPr>
              <w:t>。</w:t>
            </w:r>
            <w:r>
              <w:rPr>
                <w:rFonts w:ascii="宋体" w:hAnsi="宋体" w:cs="宋体" w:eastAsia="宋体"/>
                <w:sz w:val="20"/>
              </w:rPr>
              <w:t>其中非透过型殓尸袋</w:t>
            </w:r>
            <w:r>
              <w:rPr>
                <w:rFonts w:ascii="宋体" w:hAnsi="宋体" w:cs="宋体" w:eastAsia="宋体"/>
                <w:sz w:val="20"/>
              </w:rPr>
              <w:t>（</w:t>
            </w:r>
            <w:r>
              <w:rPr>
                <w:rFonts w:ascii="宋体" w:hAnsi="宋体" w:cs="宋体" w:eastAsia="宋体"/>
                <w:sz w:val="20"/>
              </w:rPr>
              <w:t>橙色</w:t>
            </w:r>
            <w:r>
              <w:rPr>
                <w:rFonts w:ascii="宋体" w:hAnsi="宋体" w:cs="宋体" w:eastAsia="宋体"/>
                <w:sz w:val="20"/>
              </w:rPr>
              <w:t>）</w:t>
            </w:r>
            <w:r>
              <w:rPr>
                <w:rFonts w:ascii="宋体" w:hAnsi="宋体" w:cs="宋体" w:eastAsia="宋体"/>
                <w:sz w:val="20"/>
              </w:rPr>
              <w:t>在满足以上要求外，还需在该</w:t>
            </w:r>
            <w:r>
              <w:rPr>
                <w:rFonts w:ascii="宋体" w:hAnsi="宋体" w:cs="宋体" w:eastAsia="宋体"/>
                <w:sz w:val="20"/>
              </w:rPr>
              <w:t>殓尸袋</w:t>
            </w:r>
            <w:r>
              <w:rPr>
                <w:rFonts w:ascii="宋体" w:hAnsi="宋体" w:cs="宋体" w:eastAsia="宋体"/>
                <w:sz w:val="20"/>
              </w:rPr>
              <w:t>内部添加防体液渗漏内膜</w:t>
            </w:r>
            <w:r>
              <w:rPr>
                <w:rFonts w:ascii="宋体" w:hAnsi="宋体" w:cs="宋体" w:eastAsia="宋体"/>
                <w:sz w:val="20"/>
              </w:rPr>
              <w:t>。</w:t>
            </w:r>
          </w:p>
          <w:p>
            <w:pPr>
              <w:pStyle w:val="null3"/>
              <w:jc w:val="both"/>
            </w:pPr>
            <w:r>
              <w:rPr>
                <w:rFonts w:ascii="宋体" w:hAnsi="宋体" w:cs="宋体" w:eastAsia="宋体"/>
                <w:sz w:val="20"/>
              </w:rPr>
              <w:t>（</w:t>
            </w:r>
            <w:r>
              <w:rPr>
                <w:rFonts w:ascii="宋体" w:hAnsi="宋体" w:cs="宋体" w:eastAsia="宋体"/>
                <w:sz w:val="20"/>
              </w:rPr>
              <w:t>7</w:t>
            </w:r>
            <w:r>
              <w:rPr>
                <w:rFonts w:ascii="宋体" w:hAnsi="宋体" w:cs="宋体" w:eastAsia="宋体"/>
                <w:sz w:val="20"/>
              </w:rPr>
              <w:t>）</w:t>
            </w:r>
            <w:r>
              <w:rPr>
                <w:rFonts w:ascii="宋体" w:hAnsi="宋体" w:cs="宋体" w:eastAsia="宋体"/>
                <w:sz w:val="20"/>
              </w:rPr>
              <w:t>材质要求：</w:t>
            </w:r>
            <w:r>
              <w:rPr>
                <w:rFonts w:ascii="宋体" w:hAnsi="宋体" w:cs="宋体" w:eastAsia="宋体"/>
                <w:sz w:val="20"/>
              </w:rPr>
              <w:t>牛津布</w:t>
            </w:r>
            <w:r>
              <w:rPr>
                <w:rFonts w:ascii="宋体" w:hAnsi="宋体" w:cs="宋体" w:eastAsia="宋体"/>
                <w:sz w:val="20"/>
              </w:rPr>
              <w:t>(PU压延不少于20丝)</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宋体" w:hAnsi="宋体" w:cs="宋体" w:eastAsia="宋体"/>
                <w:sz w:val="20"/>
              </w:rPr>
              <w:t>根据甲方需求</w:t>
            </w:r>
            <w:r>
              <w:rPr>
                <w:rFonts w:ascii="宋体" w:hAnsi="宋体" w:cs="宋体" w:eastAsia="宋体"/>
                <w:sz w:val="20"/>
              </w:rPr>
              <w:t>,中标单位需在该殡葬用品表面印制西安市殡仪馆1ogo及人文关怀文字(标识样式如下图)</w:t>
            </w:r>
            <w:r>
              <w:rPr>
                <w:rFonts w:ascii="宋体" w:hAnsi="宋体" w:cs="宋体" w:eastAsia="宋体"/>
                <w:sz w:val="20"/>
              </w:rPr>
              <w:t>。</w:t>
            </w:r>
          </w:p>
          <w:p>
            <w:pPr>
              <w:pStyle w:val="null3"/>
              <w:jc w:val="left"/>
            </w:pPr>
            <w:r>
              <w:rPr>
                <w:rFonts w:ascii="宋体" w:hAnsi="宋体" w:cs="宋体" w:eastAsia="宋体"/>
                <w:sz w:val="20"/>
              </w:rPr>
              <w:t>样式标识图样：</w:t>
            </w:r>
          </w:p>
          <w:p>
            <w:pPr>
              <w:pStyle w:val="null3"/>
              <w:jc w:val="both"/>
            </w:pPr>
            <w:r>
              <w:rPr>
                <w:rFonts w:ascii="宋体" w:hAnsi="宋体" w:cs="宋体" w:eastAsia="宋体"/>
                <w:sz w:val="20"/>
              </w:rPr>
              <w:t>普通型殓尸袋</w:t>
            </w:r>
            <w:r>
              <w:rPr>
                <w:rFonts w:ascii="宋体" w:hAnsi="宋体" w:cs="宋体" w:eastAsia="宋体"/>
                <w:sz w:val="20"/>
              </w:rPr>
              <w:t>(I型)</w:t>
            </w:r>
          </w:p>
          <w:p>
            <w:pPr>
              <w:pStyle w:val="null3"/>
              <w:jc w:val="both"/>
            </w:pPr>
            <w:r>
              <w:drawing>
                <wp:inline distT="0" distR="0" distB="0" distL="0">
                  <wp:extent cx="1621155" cy="121234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212342"/>
                          </a:xfrm>
                          <a:prstGeom prst="rect">
                            <a:avLst/>
                          </a:prstGeom>
                        </pic:spPr>
                      </pic:pic>
                    </a:graphicData>
                  </a:graphic>
                </wp:inline>
              </w:drawing>
            </w:r>
          </w:p>
          <w:p>
            <w:pPr>
              <w:pStyle w:val="null3"/>
              <w:jc w:val="center"/>
            </w:pPr>
            <w:r>
              <w:br/>
            </w:r>
          </w:p>
          <w:p>
            <w:pPr>
              <w:pStyle w:val="null3"/>
              <w:jc w:val="both"/>
            </w:pPr>
            <w:r>
              <w:rPr>
                <w:rFonts w:ascii="宋体" w:hAnsi="宋体" w:cs="宋体" w:eastAsia="宋体"/>
                <w:sz w:val="20"/>
              </w:rPr>
              <w:t>普通型殓尸袋</w:t>
            </w:r>
            <w:r>
              <w:rPr>
                <w:rFonts w:ascii="宋体" w:hAnsi="宋体" w:cs="宋体" w:eastAsia="宋体"/>
                <w:sz w:val="20"/>
              </w:rPr>
              <w:t>(II型)</w:t>
            </w:r>
          </w:p>
          <w:p>
            <w:pPr>
              <w:pStyle w:val="null3"/>
              <w:jc w:val="both"/>
            </w:pPr>
            <w:r>
              <w:drawing>
                <wp:inline distT="0" distR="0" distB="0" distL="0">
                  <wp:extent cx="1621155" cy="113825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138257"/>
                          </a:xfrm>
                          <a:prstGeom prst="rect">
                            <a:avLst/>
                          </a:prstGeom>
                        </pic:spPr>
                      </pic:pic>
                    </a:graphicData>
                  </a:graphic>
                </wp:inline>
              </w:drawing>
            </w:r>
          </w:p>
          <w:p>
            <w:pPr>
              <w:pStyle w:val="null3"/>
              <w:jc w:val="center"/>
            </w:pPr>
            <w:r>
              <w:br/>
            </w:r>
          </w:p>
          <w:p>
            <w:pPr>
              <w:pStyle w:val="null3"/>
              <w:jc w:val="both"/>
            </w:pPr>
            <w:r>
              <w:rPr>
                <w:rFonts w:ascii="宋体" w:hAnsi="宋体" w:cs="宋体" w:eastAsia="宋体"/>
                <w:sz w:val="20"/>
              </w:rPr>
              <w:t>普通型殓尸袋</w:t>
            </w:r>
            <w:r>
              <w:rPr>
                <w:rFonts w:ascii="宋体" w:hAnsi="宋体" w:cs="宋体" w:eastAsia="宋体"/>
                <w:sz w:val="20"/>
              </w:rPr>
              <w:t>(III型)</w:t>
            </w:r>
          </w:p>
          <w:p>
            <w:pPr>
              <w:pStyle w:val="null3"/>
              <w:jc w:val="both"/>
            </w:pPr>
            <w:r>
              <w:drawing>
                <wp:inline distT="0" distR="0" distB="0" distL="0">
                  <wp:extent cx="1621155" cy="1157006"/>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1157006"/>
                          </a:xfrm>
                          <a:prstGeom prst="rect">
                            <a:avLst/>
                          </a:prstGeom>
                        </pic:spPr>
                      </pic:pic>
                    </a:graphicData>
                  </a:graphic>
                </wp:inline>
              </w:drawing>
            </w:r>
          </w:p>
          <w:p>
            <w:pPr>
              <w:pStyle w:val="null3"/>
              <w:jc w:val="both"/>
            </w:pPr>
            <w:r>
              <w:br/>
            </w:r>
          </w:p>
          <w:p>
            <w:pPr>
              <w:pStyle w:val="null3"/>
              <w:jc w:val="both"/>
            </w:pPr>
          </w:p>
        </w:tc>
      </w:tr>
      <w:tr>
        <w:tc>
          <w:tcPr>
            <w:tcW w:type="dxa" w:w="2769"/>
          </w:tcPr>
          <w:p>
            <w:pPr>
              <w:pStyle w:val="null3"/>
            </w:pPr>
            <w:r>
              <w:rPr/>
              <w:t>▲</w:t>
            </w:r>
          </w:p>
        </w:tc>
        <w:tc>
          <w:tcPr>
            <w:tcW w:type="dxa" w:w="2769"/>
          </w:tcPr>
          <w:p>
            <w:pPr>
              <w:pStyle w:val="null3"/>
            </w:pPr>
            <w:r>
              <w:rPr/>
              <w:t>5</w:t>
            </w:r>
          </w:p>
        </w:tc>
        <w:tc>
          <w:tcPr>
            <w:tcW w:type="dxa" w:w="2769"/>
          </w:tcPr>
          <w:p>
            <w:pPr>
              <w:pStyle w:val="null3"/>
              <w:ind w:firstLine="422"/>
              <w:jc w:val="both"/>
            </w:pPr>
            <w:r>
              <w:rPr>
                <w:rFonts w:ascii="宋体" w:hAnsi="宋体" w:cs="宋体" w:eastAsia="宋体"/>
                <w:sz w:val="21"/>
                <w:b/>
              </w:rPr>
              <w:t>1、投标人必须在投标截止前提交投标产品的样品到陕西慧科工程管理咨询有限公司会议室，</w:t>
            </w:r>
          </w:p>
          <w:p>
            <w:pPr>
              <w:pStyle w:val="null3"/>
              <w:ind w:firstLine="422"/>
              <w:jc w:val="both"/>
            </w:pPr>
            <w:r>
              <w:rPr>
                <w:rFonts w:ascii="宋体" w:hAnsi="宋体" w:cs="宋体" w:eastAsia="宋体"/>
                <w:sz w:val="21"/>
                <w:b/>
              </w:rPr>
              <w:t>样品要求：</w:t>
            </w:r>
            <w:r>
              <w:rPr>
                <w:rFonts w:ascii="宋体" w:hAnsi="宋体" w:cs="宋体" w:eastAsia="宋体"/>
                <w:sz w:val="21"/>
                <w:b/>
              </w:rPr>
              <w:t>普通殓尸袋</w:t>
            </w:r>
            <w:r>
              <w:rPr>
                <w:rFonts w:ascii="宋体" w:hAnsi="宋体" w:cs="宋体" w:eastAsia="宋体"/>
                <w:sz w:val="21"/>
                <w:b/>
              </w:rPr>
              <w:t>（</w:t>
            </w:r>
            <w:r>
              <w:rPr>
                <w:rFonts w:ascii="宋体" w:hAnsi="宋体" w:cs="宋体" w:eastAsia="宋体"/>
                <w:sz w:val="21"/>
                <w:b/>
              </w:rPr>
              <w:t>I、II、III型</w:t>
            </w:r>
            <w:r>
              <w:rPr>
                <w:rFonts w:ascii="宋体" w:hAnsi="宋体" w:cs="宋体" w:eastAsia="宋体"/>
                <w:sz w:val="21"/>
                <w:b/>
              </w:rPr>
              <w:t>）</w:t>
            </w:r>
            <w:r>
              <w:rPr>
                <w:rFonts w:ascii="宋体" w:hAnsi="宋体" w:cs="宋体" w:eastAsia="宋体"/>
                <w:sz w:val="21"/>
                <w:b/>
              </w:rPr>
              <w:t>各</w:t>
            </w:r>
            <w:r>
              <w:rPr>
                <w:rFonts w:ascii="宋体" w:hAnsi="宋体" w:cs="宋体" w:eastAsia="宋体"/>
                <w:sz w:val="21"/>
                <w:b/>
              </w:rPr>
              <w:t>一个。</w:t>
            </w:r>
          </w:p>
          <w:p>
            <w:pPr>
              <w:pStyle w:val="null3"/>
              <w:ind w:firstLine="422"/>
              <w:jc w:val="both"/>
            </w:pPr>
            <w:r>
              <w:rPr>
                <w:rFonts w:ascii="宋体" w:hAnsi="宋体" w:cs="宋体" w:eastAsia="宋体"/>
                <w:sz w:val="21"/>
                <w:b/>
              </w:rPr>
              <w:t>所有投标产品的样品将作为评标依据，在评标过程中根据需求对样品进行材质鉴定，对样品造成的任何损坏均由投标人承担。</w:t>
            </w:r>
          </w:p>
          <w:p>
            <w:pPr>
              <w:pStyle w:val="null3"/>
              <w:ind w:firstLine="422"/>
              <w:jc w:val="both"/>
            </w:pPr>
            <w:r>
              <w:rPr>
                <w:rFonts w:ascii="宋体" w:hAnsi="宋体" w:cs="宋体" w:eastAsia="宋体"/>
                <w:sz w:val="21"/>
                <w:b/>
              </w:rPr>
              <w:t>2、所有样品应贴上有标识，标识上应列明产品名称、材质、价格、投标人名称并加盖公章，并提供样品清单（加盖投标人公章）。</w:t>
            </w:r>
          </w:p>
          <w:p>
            <w:pPr>
              <w:pStyle w:val="null3"/>
              <w:ind w:firstLine="422"/>
              <w:jc w:val="both"/>
            </w:pPr>
            <w:r>
              <w:rPr>
                <w:rFonts w:ascii="宋体" w:hAnsi="宋体" w:cs="宋体" w:eastAsia="宋体"/>
                <w:sz w:val="21"/>
                <w:b/>
              </w:rPr>
              <w:t>3、所提供的样品应密封，封口处加盖投标人公章。样品质量将严重影响评分。</w:t>
            </w:r>
          </w:p>
          <w:p>
            <w:pPr>
              <w:pStyle w:val="null3"/>
              <w:ind w:firstLine="422"/>
              <w:jc w:val="both"/>
            </w:pPr>
            <w:r>
              <w:rPr>
                <w:rFonts w:ascii="宋体" w:hAnsi="宋体" w:cs="宋体" w:eastAsia="宋体"/>
                <w:sz w:val="21"/>
                <w:b/>
              </w:rPr>
              <w:t>4、样品的处理：本项目</w:t>
            </w:r>
            <w:r>
              <w:rPr>
                <w:rFonts w:ascii="宋体" w:hAnsi="宋体" w:cs="宋体" w:eastAsia="宋体"/>
                <w:sz w:val="21"/>
                <w:b/>
              </w:rPr>
              <w:t>中标供应商</w:t>
            </w:r>
            <w:r>
              <w:rPr>
                <w:rFonts w:ascii="宋体" w:hAnsi="宋体" w:cs="宋体" w:eastAsia="宋体"/>
                <w:sz w:val="21"/>
                <w:b/>
              </w:rPr>
              <w:t>递交的样品，暂时由采购人保存，并作为确定中标人后进行验收的标准。</w:t>
            </w:r>
            <w:r>
              <w:rPr>
                <w:rFonts w:ascii="宋体" w:hAnsi="宋体" w:cs="宋体" w:eastAsia="宋体"/>
                <w:sz w:val="21"/>
                <w:b/>
              </w:rPr>
              <w:t>未中标供应商的样品，中标结果公示后退还。</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1年(2024年12月5日至2025年12月4日)或累计结算金额达到采购预算，以先到达者为准; 分批次供货时间为接到采购人要货通知后3日内完成供货。</w:t>
      </w:r>
    </w:p>
    <w:p>
      <w:pPr>
        <w:pStyle w:val="null3"/>
        <w:outlineLvl w:val="3"/>
      </w:pPr>
      <w:r>
        <w:rPr>
          <w:sz w:val="24"/>
          <w:b/>
        </w:rPr>
        <w:t>3.4.2交货地点</w:t>
      </w:r>
    </w:p>
    <w:p>
      <w:pPr>
        <w:pStyle w:val="null3"/>
      </w:pPr>
      <w:r>
        <w:rPr/>
        <w:t>采购包1：</w:t>
      </w:r>
    </w:p>
    <w:p>
      <w:pPr>
        <w:pStyle w:val="null3"/>
      </w:pPr>
      <w:r>
        <w:rPr/>
        <w:t>西安市殡仪馆</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验收合格后，供应商持中标通知书、供货合同、发票、政府采购项目验收单，按合同约定与采购人按月据实结算货款</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货物到达采购人指定地点后，采购人根据合同要求，进行验收，确认产地、规格和数量。必要时委托具有相关资质的第三方检测机构或邀请行业内专家对货物外观质量等进行抽样检验，检验费用由中标供应商承担。 （2）验收依据 1、招标文件、投标文件、澄清表（函）； 2、本合同及附件文本； 3、国家相应的标准、规范。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（1）质保期：采购人收到货物之日起至少12个月，若该质量保证期小于国家标准，则以国家标准为准。 （2）质保期内： 1、30天内，如出现质量问题，可以选择换货或退货； 2、30天至60天内，如出现质量问题，可选择换货。</w:t>
      </w:r>
    </w:p>
    <w:p>
      <w:pPr>
        <w:pStyle w:val="null3"/>
        <w:outlineLvl w:val="3"/>
      </w:pPr>
      <w:r>
        <w:rPr>
          <w:sz w:val="24"/>
          <w:b/>
        </w:rPr>
        <w:t>3.4.8违约责任与解决争议的方法</w:t>
      </w:r>
    </w:p>
    <w:p>
      <w:pPr>
        <w:pStyle w:val="null3"/>
      </w:pPr>
      <w:r>
        <w:rPr/>
        <w:t>采购包1：</w:t>
      </w:r>
    </w:p>
    <w:p>
      <w:pPr>
        <w:pStyle w:val="null3"/>
      </w:pPr>
      <w:r>
        <w:rPr/>
        <w:t>（1）按《民法典》中的相关条款执行。 （2）未按合同要求提供货物或货物不能满足合同要求，采购人会同集中采购机构有权终止合同和对中标供应商的违约行为进行追究，同时按《政府采购法》及相关法律法规的处罚条款报监管机构进行相应的处罚。 （3）双方在履行合同过程中产生纠纷，应尽量协商解决，协商不成的，任何一方可向甲方所在地人民法院诉讼解决。</w:t>
      </w:r>
    </w:p>
    <w:p>
      <w:pPr>
        <w:pStyle w:val="null3"/>
        <w:jc w:val="left"/>
        <w:outlineLvl w:val="2"/>
      </w:pPr>
      <w:r>
        <w:rPr>
          <w:sz w:val="28"/>
          <w:b/>
        </w:rPr>
        <w:t>3.5其他要求</w:t>
      </w:r>
    </w:p>
    <w:p>
      <w:pPr>
        <w:pStyle w:val="null3"/>
      </w:pPr>
      <w:r>
        <w:rPr/>
        <w:t>1、因采购数量不确定，本项目按照综合单价进行招标。项目实施后据实结算。 2、为顺利推进政府采购电子化交易平台试点应用工作，供应商需要在线提交所有通过电子化交易平台实施的政府采购项目的投标文件。 3、中标通知书发出后，中标供应商须向采购人提交投标文件纸质版一正一副（纸质版投标文件与电子版投标文件保持一致）。 采购标的对应中小企业划分标准所属行业：本项目所属行业为工业。具体详见《关于印发中小企业划型标准规定的通知》（工信部联企业[2011]300号）中划分标准。 中小企业声明函须对所投产品厂家进行声明。</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法人或者其他组织的营业执照等证明文件，自然人的身份证明。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投标人提供2023年度经审计的财务报告或投标截止日前三个月内基本开户银行出具的资信证明文件及基本账户信息证明材料或财政部门认可的政府采购专业担保机构开具的投标担保函。</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依法缴纳税收的良好记录（提供投标截止时间前六个月内任意一个月份依法纳税证明或无欠税证明。依法免税的投标人应提供相关资料证明。 ）</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依法缴纳社会保障资金的良好记录（提供投标截止时间前六个月内任意一个月份的缴费证明资料）依法不需要缴纳社会保障资金的投标人应提供相关资料证明。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承诺函</w:t>
            </w:r>
          </w:p>
        </w:tc>
        <w:tc>
          <w:tcPr>
            <w:tcW w:type="dxa" w:w="3322"/>
          </w:tcPr>
          <w:p>
            <w:pPr>
              <w:pStyle w:val="null3"/>
            </w:pPr>
            <w:r>
              <w:rPr/>
              <w:t>提供具有履行合同所必须的设备和专业技术能力 （提供承诺函）。</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参加政府采购活动前三年内，在经营活动中没有重大违法记录的书面声明。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企业信用</w:t>
            </w:r>
          </w:p>
        </w:tc>
        <w:tc>
          <w:tcPr>
            <w:tcW w:type="dxa" w:w="3322"/>
          </w:tcPr>
          <w:p>
            <w:pPr>
              <w:pStyle w:val="null3"/>
            </w:pPr>
            <w:r>
              <w:rPr/>
              <w:t>投标人不得为“信用中国”网站中列入失信被执行人、重大税收违法失信主体的投标单位、不得为中国政府采购网政府采购严重违法失信行为记录名单中被财政部门禁止参加政府采购活动的投标单位。（以代理机构开标当天查询结果为准）</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w:t>
            </w:r>
          </w:p>
        </w:tc>
      </w:tr>
      <w:tr>
        <w:tc>
          <w:tcPr>
            <w:tcW w:type="dxa" w:w="831"/>
          </w:tcPr>
          <w:p>
            <w:pPr>
              <w:pStyle w:val="null3"/>
            </w:pPr>
            <w:r>
              <w:rPr/>
              <w:t>2</w:t>
            </w:r>
          </w:p>
        </w:tc>
        <w:tc>
          <w:tcPr>
            <w:tcW w:type="dxa" w:w="2492"/>
          </w:tcPr>
          <w:p>
            <w:pPr>
              <w:pStyle w:val="null3"/>
            </w:pPr>
            <w:r>
              <w:rPr/>
              <w:t>投标有效期</w:t>
            </w:r>
          </w:p>
        </w:tc>
        <w:tc>
          <w:tcPr>
            <w:tcW w:type="dxa" w:w="3322"/>
          </w:tcPr>
          <w:p>
            <w:pPr>
              <w:pStyle w:val="null3"/>
            </w:pPr>
            <w:r>
              <w:rPr/>
              <w:t>符合招标文件要求</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本项目为单价招标，投标人需进行单价报价。</w:t>
            </w:r>
          </w:p>
        </w:tc>
        <w:tc>
          <w:tcPr>
            <w:tcW w:type="dxa" w:w="1661"/>
          </w:tcPr>
          <w:p>
            <w:pPr>
              <w:pStyle w:val="null3"/>
            </w:pPr>
            <w:r>
              <w:rPr/>
              <w:t>开标一览表 分项报价表 标的清单</w:t>
            </w:r>
          </w:p>
        </w:tc>
      </w:tr>
      <w:tr>
        <w:tc>
          <w:tcPr>
            <w:tcW w:type="dxa" w:w="831"/>
          </w:tcPr>
          <w:p>
            <w:pPr>
              <w:pStyle w:val="null3"/>
            </w:pPr>
            <w:r>
              <w:rPr/>
              <w:t>4</w:t>
            </w:r>
          </w:p>
        </w:tc>
        <w:tc>
          <w:tcPr>
            <w:tcW w:type="dxa" w:w="2492"/>
          </w:tcPr>
          <w:p>
            <w:pPr>
              <w:pStyle w:val="null3"/>
            </w:pPr>
            <w:r>
              <w:rPr/>
              <w:t>交货时间、交货地点、质保期</w:t>
            </w:r>
          </w:p>
        </w:tc>
        <w:tc>
          <w:tcPr>
            <w:tcW w:type="dxa" w:w="3322"/>
          </w:tcPr>
          <w:p>
            <w:pPr>
              <w:pStyle w:val="null3"/>
            </w:pPr>
            <w:r>
              <w:rPr/>
              <w:t>满足招标文件要求</w:t>
            </w:r>
          </w:p>
        </w:tc>
        <w:tc>
          <w:tcPr>
            <w:tcW w:type="dxa" w:w="1661"/>
          </w:tcPr>
          <w:p>
            <w:pPr>
              <w:pStyle w:val="null3"/>
            </w:pPr>
            <w:r>
              <w:rPr/>
              <w:t>分项报价表</w:t>
            </w:r>
          </w:p>
        </w:tc>
      </w:tr>
      <w:tr>
        <w:tc>
          <w:tcPr>
            <w:tcW w:type="dxa" w:w="831"/>
          </w:tcPr>
          <w:p>
            <w:pPr>
              <w:pStyle w:val="null3"/>
            </w:pPr>
            <w:r>
              <w:rPr/>
              <w:t>5</w:t>
            </w:r>
          </w:p>
        </w:tc>
        <w:tc>
          <w:tcPr>
            <w:tcW w:type="dxa" w:w="2492"/>
          </w:tcPr>
          <w:p>
            <w:pPr>
              <w:pStyle w:val="null3"/>
            </w:pPr>
            <w:r>
              <w:rPr/>
              <w:t>其他无效投标的情形</w:t>
            </w:r>
          </w:p>
        </w:tc>
        <w:tc>
          <w:tcPr>
            <w:tcW w:type="dxa" w:w="3322"/>
          </w:tcPr>
          <w:p>
            <w:pPr>
              <w:pStyle w:val="null3"/>
            </w:pPr>
            <w:r>
              <w:rPr/>
              <w:t>没有出现法律法规或招标文件明确规定的其他被视为“无效投标”的情形及未实质性响应招标文件的情况</w:t>
            </w:r>
          </w:p>
        </w:tc>
        <w:tc>
          <w:tcPr>
            <w:tcW w:type="dxa" w:w="1661"/>
          </w:tcPr>
          <w:p>
            <w:pPr>
              <w:pStyle w:val="null3"/>
            </w:pPr>
            <w:r>
              <w:rPr/>
              <w:t>开标一览表 产品技术参数表 投标方案 分项报价表 投标函 中小企业声明函 残疾人福利性单位声明函 商务应答表 标的清单 投标文件封面 投标人应提交的相关资格证明材料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投标产品技术指标响应程度</w:t>
            </w:r>
          </w:p>
        </w:tc>
        <w:tc>
          <w:tcPr>
            <w:tcW w:type="dxa" w:w="2492"/>
          </w:tcPr>
          <w:p>
            <w:pPr>
              <w:pStyle w:val="null3"/>
            </w:pPr>
            <w:r>
              <w:rPr/>
              <w:t>▲技术参数（除样品）完全符合、响应招标文件要求，没有负偏离的得10分，参数中每有一条参数负偏离扣1.5分，扣完为止；以产品技术参数响应表为评审依据，投标人需对自己提供的资料真实性负责。</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投标方案</w:t>
            </w:r>
          </w:p>
        </w:tc>
      </w:tr>
      <w:tr>
        <w:tc>
          <w:tcPr>
            <w:tcW w:type="dxa" w:w="831"/>
            <w:vMerge/>
          </w:tcPr>
          <w:p/>
        </w:tc>
        <w:tc>
          <w:tcPr>
            <w:tcW w:type="dxa" w:w="1661"/>
          </w:tcPr>
          <w:p>
            <w:pPr>
              <w:pStyle w:val="null3"/>
            </w:pPr>
            <w:r>
              <w:rPr/>
              <w:t>产品渠道</w:t>
            </w:r>
          </w:p>
        </w:tc>
        <w:tc>
          <w:tcPr>
            <w:tcW w:type="dxa" w:w="2492"/>
          </w:tcPr>
          <w:p>
            <w:pPr>
              <w:pStyle w:val="null3"/>
            </w:pPr>
            <w:r>
              <w:rPr/>
              <w:t>能提供所投产品的合法来源渠道证明文件（产品制造商授权或销售协议或代理协议或原厂授权或为原厂的相关证明等） ，得3分。不提供的不计分。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产品技术参数表</w:t>
            </w:r>
          </w:p>
          <w:p>
            <w:pPr>
              <w:pStyle w:val="null3"/>
            </w:pPr>
            <w:r>
              <w:rPr/>
              <w:t>投标方案</w:t>
            </w:r>
          </w:p>
        </w:tc>
      </w:tr>
      <w:tr>
        <w:tc>
          <w:tcPr>
            <w:tcW w:type="dxa" w:w="831"/>
            <w:vMerge/>
          </w:tcPr>
          <w:p/>
        </w:tc>
        <w:tc>
          <w:tcPr>
            <w:tcW w:type="dxa" w:w="1661"/>
          </w:tcPr>
          <w:p>
            <w:pPr>
              <w:pStyle w:val="null3"/>
            </w:pPr>
            <w:r>
              <w:rPr/>
              <w:t>供货方案</w:t>
            </w:r>
          </w:p>
        </w:tc>
        <w:tc>
          <w:tcPr>
            <w:tcW w:type="dxa" w:w="2492"/>
          </w:tcPr>
          <w:p>
            <w:pPr>
              <w:pStyle w:val="null3"/>
            </w:pPr>
            <w:r>
              <w:rPr/>
              <w:t>1、根据投标人供货进度计划（包括时间安排等其他内容）进行综合评审， （1）计划安排可行性、合理性强得6分；（2）计划安排可行性、合理性较强得4分；（3）计划安排可行性、合理性一般的2分。 2、根据投标人运输方案（包括人员、车辆安排等）进行综合评审， （1）方案可行性、合理性强得6分；（2）方案可行性、合理性较强得4分；（3）方案可行性、合理性一般的2分。 3、根据投标人验收方案进行综合评审， （1）方案可行性、合理性强得6分；（2）方案可行性、合理性较强得4分；（3）方案可行性、合理性一般的2分。 方案差或缺项得0分。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质量保证措施</w:t>
            </w:r>
          </w:p>
        </w:tc>
        <w:tc>
          <w:tcPr>
            <w:tcW w:type="dxa" w:w="2492"/>
          </w:tcPr>
          <w:p>
            <w:pPr>
              <w:pStyle w:val="null3"/>
            </w:pPr>
            <w:r>
              <w:rPr/>
              <w:t>根据投标人提供的质量保障措施方案（包括但不限于明确质量目标、制订质量保证工作计划、建立专职的质量管理机构等）。 （1）方案合理、可行性强，满足项目需求，得7分；（2）方案较合理、可行性较强，基本满足项目需求，得5分 ；（3）方案较差、可行性不强，得2分；（4）未提供得0分。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应对突发状况的应急保障措施</w:t>
            </w:r>
          </w:p>
        </w:tc>
        <w:tc>
          <w:tcPr>
            <w:tcW w:type="dxa" w:w="2492"/>
          </w:tcPr>
          <w:p>
            <w:pPr>
              <w:pStyle w:val="null3"/>
            </w:pPr>
            <w:r>
              <w:rPr/>
              <w:t>包括但不限于生产、供货、运输、售后服务等突发状况的应急保障措施。 （1）应急保障措施明确、详实、针对性强、便于实施的得5分；（2）应急保障措施较明确、详实、针对性较强的得3分；（3）应急保障措施内容空洞且缺乏可实施性的得1分。 （4）未提供得0分。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售后服务保障</w:t>
            </w:r>
          </w:p>
        </w:tc>
        <w:tc>
          <w:tcPr>
            <w:tcW w:type="dxa" w:w="2492"/>
          </w:tcPr>
          <w:p>
            <w:pPr>
              <w:pStyle w:val="null3"/>
            </w:pPr>
            <w:r>
              <w:rPr/>
              <w:t>包括所投产品在质保期内及质保期外的售后服务承诺、售后服务人员安排等。 （1）售后服务方案内容具体、完整、详细、全面的计7分；（2）售后服务方案较具体、较完整的计5分；（3）售后服务方案内容欠缺、薄弱的计2分；（4）未提供得0分。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样品</w:t>
            </w:r>
          </w:p>
        </w:tc>
        <w:tc>
          <w:tcPr>
            <w:tcW w:type="dxa" w:w="2492"/>
          </w:tcPr>
          <w:p>
            <w:pPr>
              <w:pStyle w:val="null3"/>
            </w:pPr>
            <w:r>
              <w:rPr/>
              <w:t>每个规格提供1份样品，根据各投标人提供的样品，从样品的材质、品质、质量等方面进行综合比较：（1）样品提供齐全，制作精良、细节处理得当、无明显瑕疵，品质优良：得10分； （2）样品提供齐全，制作较精细、细节处理较好、略有瑕疵，品质较好：得7 分；（3）样品提供齐全，制作及细节处理欠佳，有瑕疵：得4 分； （4）提供部分样品或是制作粗糙、细节处理不妥、有明显瑕疵，品质差：得 2 分；（5）未提供或其他：得0分。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投标人2021年1月1日以来完成的类似项目业绩，并提供以下证明材料，否则不得分：中标通知书或有效合同复印件，每提供一项得2分，满分10分。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采用低价优先法计算，即满足招标文件要求且报价最低（单价合计金额）的投标报价为评标基准价，其价格分为满分。报价得分＝（评标基准价/投标报价）×30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详见附件：分项报价表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详见附件：投标方案</w:t>
      </w:r>
    </w:p>
    <w:p>
      <w:pPr>
        <w:pStyle w:val="null3"/>
        <w:ind w:firstLine="960"/>
      </w:pPr>
      <w:r>
        <w:rPr/>
        <w:t>详见附件：投标人应提交的相关资格证明材料</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