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outlineLvl w:val="1"/>
        <w:rPr>
          <w:rFonts w:hint="default"/>
          <w:color w:val="auto"/>
          <w:highlight w:val="none"/>
        </w:rPr>
      </w:pPr>
      <w:bookmarkStart w:id="0" w:name="_GoBack"/>
      <w:r>
        <w:rPr>
          <w:b/>
          <w:color w:val="auto"/>
          <w:sz w:val="36"/>
          <w:highlight w:val="none"/>
        </w:rPr>
        <w:t>拟签订采购合同文本</w:t>
      </w:r>
    </w:p>
    <w:bookmarkEnd w:id="0"/>
    <w:p>
      <w:pPr>
        <w:jc w:val="right"/>
        <w:rPr>
          <w:rFonts w:ascii="宋体" w:hAnsi="宋体" w:cs="宋体"/>
          <w:bCs/>
          <w:color w:val="auto"/>
          <w:spacing w:val="-20"/>
          <w:sz w:val="28"/>
          <w:szCs w:val="21"/>
          <w:highlight w:val="none"/>
        </w:rPr>
      </w:pPr>
      <w:r>
        <w:rPr>
          <w:rFonts w:hint="eastAsia" w:ascii="宋体" w:hAnsi="宋体" w:cs="宋体"/>
          <w:b/>
          <w:color w:val="auto"/>
          <w:spacing w:val="-20"/>
          <w:sz w:val="28"/>
          <w:szCs w:val="21"/>
          <w:highlight w:val="none"/>
        </w:rPr>
        <w:t>合同编号：</w:t>
      </w:r>
      <w:r>
        <w:rPr>
          <w:rFonts w:hint="eastAsia" w:ascii="宋体" w:hAnsi="宋体" w:cs="宋体"/>
          <w:bCs/>
          <w:color w:val="auto"/>
          <w:spacing w:val="-20"/>
          <w:sz w:val="28"/>
          <w:szCs w:val="21"/>
          <w:highlight w:val="none"/>
        </w:rPr>
        <w:t>招采货物2024（</w:t>
      </w:r>
      <w:r>
        <w:rPr>
          <w:rFonts w:hint="eastAsia" w:ascii="宋体" w:hAnsi="宋体" w:cs="宋体"/>
          <w:b/>
          <w:bCs/>
          <w:color w:val="auto"/>
          <w:sz w:val="28"/>
          <w:szCs w:val="21"/>
          <w:highlight w:val="none"/>
          <w:lang w:val="zh-CN"/>
        </w:rPr>
        <w:t>XX</w:t>
      </w:r>
      <w:r>
        <w:rPr>
          <w:rFonts w:hint="eastAsia" w:ascii="宋体" w:hAnsi="宋体" w:cs="宋体"/>
          <w:bCs/>
          <w:color w:val="auto"/>
          <w:spacing w:val="-20"/>
          <w:sz w:val="28"/>
          <w:szCs w:val="21"/>
          <w:highlight w:val="none"/>
        </w:rPr>
        <w:t>）号</w:t>
      </w:r>
    </w:p>
    <w:p>
      <w:pPr>
        <w:jc w:val="center"/>
        <w:rPr>
          <w:rFonts w:ascii="宋体" w:hAnsi="宋体" w:cs="宋体"/>
          <w:b/>
          <w:color w:val="auto"/>
          <w:spacing w:val="-20"/>
          <w:sz w:val="28"/>
          <w:szCs w:val="21"/>
          <w:highlight w:val="none"/>
        </w:rPr>
      </w:pPr>
    </w:p>
    <w:p>
      <w:pPr>
        <w:spacing w:line="300" w:lineRule="auto"/>
        <w:jc w:val="center"/>
        <w:rPr>
          <w:rFonts w:ascii="宋体" w:hAnsi="宋体" w:cs="宋体"/>
          <w:b/>
          <w:color w:val="auto"/>
          <w:spacing w:val="-20"/>
          <w:sz w:val="28"/>
          <w:szCs w:val="21"/>
          <w:highlight w:val="none"/>
        </w:rPr>
      </w:pPr>
    </w:p>
    <w:p>
      <w:pPr>
        <w:rPr>
          <w:rFonts w:ascii="宋体" w:hAnsi="宋体" w:cs="宋体"/>
          <w:color w:val="auto"/>
          <w:sz w:val="28"/>
          <w:szCs w:val="21"/>
          <w:highlight w:val="none"/>
        </w:rPr>
      </w:pPr>
    </w:p>
    <w:p>
      <w:pPr>
        <w:ind w:left="200" w:firstLine="560" w:firstLineChars="200"/>
        <w:rPr>
          <w:rFonts w:ascii="宋体" w:hAnsi="宋体" w:cs="宋体"/>
          <w:color w:val="auto"/>
          <w:sz w:val="28"/>
          <w:szCs w:val="21"/>
          <w:highlight w:val="none"/>
        </w:rPr>
      </w:pPr>
    </w:p>
    <w:p>
      <w:pPr>
        <w:spacing w:line="480" w:lineRule="auto"/>
        <w:jc w:val="center"/>
        <w:rPr>
          <w:rFonts w:ascii="宋体" w:hAnsi="宋体" w:cs="宋体"/>
          <w:b/>
          <w:color w:val="auto"/>
          <w:sz w:val="28"/>
          <w:szCs w:val="21"/>
          <w:highlight w:val="none"/>
        </w:rPr>
      </w:pPr>
      <w:r>
        <w:rPr>
          <w:rFonts w:hint="eastAsia" w:ascii="宋体" w:hAnsi="宋体" w:cs="宋体"/>
          <w:b/>
          <w:color w:val="auto"/>
          <w:sz w:val="28"/>
          <w:szCs w:val="21"/>
          <w:highlight w:val="none"/>
        </w:rPr>
        <w:t>供 货 合 同</w:t>
      </w:r>
    </w:p>
    <w:p>
      <w:pPr>
        <w:widowControl/>
        <w:rPr>
          <w:rFonts w:ascii="宋体" w:hAnsi="宋体" w:cs="宋体"/>
          <w:color w:val="auto"/>
          <w:sz w:val="28"/>
          <w:szCs w:val="21"/>
          <w:highlight w:val="none"/>
        </w:rPr>
      </w:pPr>
    </w:p>
    <w:p>
      <w:pPr>
        <w:widowControl/>
        <w:jc w:val="center"/>
        <w:rPr>
          <w:rFonts w:ascii="宋体" w:hAnsi="宋体" w:cs="宋体"/>
          <w:b/>
          <w:bCs/>
          <w:color w:val="auto"/>
          <w:sz w:val="28"/>
          <w:szCs w:val="21"/>
          <w:highlight w:val="none"/>
          <w:lang w:val="zh-CN"/>
        </w:rPr>
      </w:pPr>
      <w:r>
        <w:rPr>
          <w:rFonts w:hint="eastAsia" w:ascii="宋体" w:hAnsi="宋体" w:cs="宋体"/>
          <w:color w:val="auto"/>
          <w:sz w:val="28"/>
          <w:szCs w:val="21"/>
          <w:highlight w:val="none"/>
        </w:rPr>
        <w:t>（</w:t>
      </w:r>
      <w:r>
        <w:rPr>
          <w:rFonts w:hint="eastAsia" w:ascii="宋体" w:hAnsi="宋体" w:cs="宋体"/>
          <w:b/>
          <w:bCs/>
          <w:color w:val="auto"/>
          <w:sz w:val="28"/>
          <w:szCs w:val="21"/>
          <w:highlight w:val="none"/>
          <w:lang w:val="zh-CN"/>
        </w:rPr>
        <w:t>采购项目编号：XXXXXXXXXX）</w:t>
      </w:r>
    </w:p>
    <w:p>
      <w:pPr>
        <w:widowControl/>
        <w:jc w:val="center"/>
        <w:rPr>
          <w:rFonts w:ascii="宋体" w:hAnsi="宋体" w:cs="宋体"/>
          <w:color w:val="auto"/>
          <w:sz w:val="28"/>
          <w:szCs w:val="21"/>
          <w:highlight w:val="none"/>
        </w:rPr>
      </w:pPr>
      <w:r>
        <w:rPr>
          <w:rFonts w:hint="eastAsia" w:ascii="宋体" w:hAnsi="宋体" w:cs="宋体"/>
          <w:b/>
          <w:bCs/>
          <w:color w:val="auto"/>
          <w:sz w:val="28"/>
          <w:szCs w:val="21"/>
          <w:highlight w:val="none"/>
          <w:lang w:val="zh-CN"/>
        </w:rPr>
        <w:t>（设备名称：XXXXXXXXXXXX</w:t>
      </w:r>
      <w:r>
        <w:rPr>
          <w:rFonts w:hint="eastAsia" w:ascii="宋体" w:hAnsi="宋体" w:cs="宋体"/>
          <w:b/>
          <w:bCs/>
          <w:color w:val="auto"/>
          <w:sz w:val="28"/>
          <w:szCs w:val="21"/>
          <w:highlight w:val="none"/>
        </w:rPr>
        <w:t>）</w:t>
      </w:r>
    </w:p>
    <w:p>
      <w:pPr>
        <w:spacing w:line="480" w:lineRule="auto"/>
        <w:jc w:val="center"/>
        <w:rPr>
          <w:rFonts w:ascii="宋体" w:hAnsi="宋体" w:cs="宋体"/>
          <w:b/>
          <w:color w:val="auto"/>
          <w:sz w:val="28"/>
          <w:szCs w:val="21"/>
          <w:highlight w:val="none"/>
        </w:rPr>
      </w:pPr>
    </w:p>
    <w:p>
      <w:pPr>
        <w:spacing w:line="510" w:lineRule="atLeast"/>
        <w:rPr>
          <w:rFonts w:ascii="宋体" w:hAnsi="宋体" w:cs="宋体"/>
          <w:b/>
          <w:color w:val="auto"/>
          <w:sz w:val="28"/>
          <w:szCs w:val="21"/>
          <w:highlight w:val="none"/>
        </w:rPr>
      </w:pPr>
    </w:p>
    <w:p>
      <w:pPr>
        <w:spacing w:line="510" w:lineRule="atLeast"/>
        <w:rPr>
          <w:rFonts w:ascii="宋体" w:hAnsi="宋体" w:cs="宋体"/>
          <w:b/>
          <w:color w:val="auto"/>
          <w:sz w:val="28"/>
          <w:szCs w:val="21"/>
          <w:highlight w:val="none"/>
        </w:rPr>
      </w:pPr>
    </w:p>
    <w:p>
      <w:pPr>
        <w:spacing w:line="510" w:lineRule="atLeast"/>
        <w:rPr>
          <w:rFonts w:ascii="宋体" w:hAnsi="宋体" w:cs="宋体"/>
          <w:b/>
          <w:color w:val="auto"/>
          <w:sz w:val="28"/>
          <w:szCs w:val="21"/>
          <w:highlight w:val="none"/>
        </w:rPr>
      </w:pPr>
    </w:p>
    <w:p>
      <w:pPr>
        <w:snapToGrid w:val="0"/>
        <w:spacing w:line="360" w:lineRule="auto"/>
        <w:ind w:firstLine="1820" w:firstLineChars="650"/>
        <w:rPr>
          <w:rFonts w:ascii="宋体" w:hAnsi="宋体" w:cs="宋体"/>
          <w:b/>
          <w:color w:val="auto"/>
          <w:sz w:val="28"/>
          <w:szCs w:val="21"/>
          <w:highlight w:val="none"/>
        </w:rPr>
      </w:pPr>
      <w:r>
        <w:rPr>
          <w:rFonts w:hint="eastAsia" w:ascii="宋体" w:hAnsi="宋体" w:cs="宋体"/>
          <w:b/>
          <w:color w:val="auto"/>
          <w:sz w:val="28"/>
          <w:szCs w:val="21"/>
          <w:highlight w:val="none"/>
        </w:rPr>
        <w:t>甲  方：西安市胸科医院</w:t>
      </w:r>
    </w:p>
    <w:p>
      <w:pPr>
        <w:tabs>
          <w:tab w:val="left" w:pos="480"/>
        </w:tabs>
        <w:snapToGrid w:val="0"/>
        <w:spacing w:line="360" w:lineRule="auto"/>
        <w:ind w:firstLine="560" w:firstLineChars="200"/>
        <w:rPr>
          <w:rFonts w:ascii="宋体" w:hAnsi="宋体" w:cs="宋体"/>
          <w:b/>
          <w:color w:val="auto"/>
          <w:sz w:val="28"/>
          <w:szCs w:val="21"/>
          <w:highlight w:val="none"/>
        </w:rPr>
      </w:pPr>
      <w:r>
        <w:rPr>
          <w:rFonts w:hint="eastAsia" w:ascii="宋体" w:hAnsi="宋体" w:cs="宋体"/>
          <w:b/>
          <w:color w:val="auto"/>
          <w:sz w:val="28"/>
          <w:szCs w:val="21"/>
          <w:highlight w:val="none"/>
        </w:rPr>
        <w:t xml:space="preserve">         乙  方：</w:t>
      </w:r>
      <w:r>
        <w:rPr>
          <w:rFonts w:hint="eastAsia" w:ascii="宋体" w:hAnsi="宋体" w:cs="宋体"/>
          <w:b/>
          <w:bCs/>
          <w:color w:val="auto"/>
          <w:sz w:val="28"/>
          <w:szCs w:val="21"/>
          <w:highlight w:val="none"/>
          <w:lang w:val="zh-CN"/>
        </w:rPr>
        <w:t>XXXXXXXX</w:t>
      </w:r>
    </w:p>
    <w:p>
      <w:pPr>
        <w:snapToGrid w:val="0"/>
        <w:spacing w:line="360" w:lineRule="auto"/>
        <w:ind w:firstLine="560" w:firstLineChars="200"/>
        <w:rPr>
          <w:rFonts w:ascii="宋体" w:hAnsi="宋体" w:cs="宋体"/>
          <w:color w:val="auto"/>
          <w:sz w:val="28"/>
          <w:szCs w:val="21"/>
          <w:highlight w:val="none"/>
        </w:rPr>
      </w:pPr>
      <w:r>
        <w:rPr>
          <w:rFonts w:hint="eastAsia" w:ascii="宋体" w:hAnsi="宋体" w:cs="宋体"/>
          <w:b/>
          <w:color w:val="auto"/>
          <w:sz w:val="28"/>
          <w:szCs w:val="21"/>
          <w:highlight w:val="none"/>
        </w:rPr>
        <w:t xml:space="preserve">         鉴证方：</w:t>
      </w:r>
      <w:r>
        <w:rPr>
          <w:rFonts w:hint="eastAsia" w:ascii="宋体" w:hAnsi="宋体" w:cs="宋体"/>
          <w:b/>
          <w:bCs/>
          <w:color w:val="auto"/>
          <w:sz w:val="28"/>
          <w:szCs w:val="21"/>
          <w:highlight w:val="none"/>
          <w:lang w:val="zh-CN"/>
        </w:rPr>
        <w:t>XXXXXXXX</w:t>
      </w:r>
    </w:p>
    <w:p>
      <w:pPr>
        <w:tabs>
          <w:tab w:val="left" w:pos="567"/>
        </w:tabs>
        <w:spacing w:before="120" w:line="22" w:lineRule="atLeast"/>
        <w:rPr>
          <w:rFonts w:ascii="宋体" w:hAnsi="宋体" w:cs="宋体"/>
          <w:color w:val="auto"/>
          <w:sz w:val="24"/>
          <w:highlight w:val="none"/>
        </w:rPr>
      </w:pPr>
    </w:p>
    <w:p>
      <w:pPr>
        <w:spacing w:line="510" w:lineRule="atLeast"/>
        <w:jc w:val="center"/>
        <w:rPr>
          <w:rFonts w:ascii="宋体" w:hAnsi="宋体" w:cs="宋体"/>
          <w:b/>
          <w:color w:val="auto"/>
          <w:sz w:val="28"/>
          <w:szCs w:val="21"/>
          <w:highlight w:val="none"/>
        </w:rPr>
      </w:pPr>
      <w:r>
        <w:rPr>
          <w:rFonts w:hint="eastAsia" w:ascii="宋体" w:hAnsi="宋体" w:cs="宋体"/>
          <w:b/>
          <w:color w:val="auto"/>
          <w:sz w:val="28"/>
          <w:szCs w:val="21"/>
          <w:highlight w:val="none"/>
        </w:rPr>
        <w:t>2024</w:t>
      </w:r>
      <w:r>
        <w:rPr>
          <w:rFonts w:hint="eastAsia" w:ascii="宋体" w:hAnsi="宋体" w:cs="宋体"/>
          <w:b/>
          <w:color w:val="auto"/>
          <w:sz w:val="28"/>
          <w:szCs w:val="21"/>
          <w:highlight w:val="none"/>
          <w:lang w:eastAsia="zh-Hans"/>
        </w:rPr>
        <w:t>年</w:t>
      </w:r>
      <w:r>
        <w:rPr>
          <w:rFonts w:hint="eastAsia" w:ascii="宋体" w:hAnsi="宋体" w:cs="宋体"/>
          <w:b/>
          <w:bCs/>
          <w:color w:val="auto"/>
          <w:sz w:val="28"/>
          <w:szCs w:val="21"/>
          <w:highlight w:val="none"/>
          <w:lang w:val="zh-CN"/>
        </w:rPr>
        <w:t>XX</w:t>
      </w:r>
      <w:r>
        <w:rPr>
          <w:rFonts w:hint="eastAsia" w:ascii="宋体" w:hAnsi="宋体" w:cs="宋体"/>
          <w:b/>
          <w:color w:val="auto"/>
          <w:sz w:val="28"/>
          <w:szCs w:val="21"/>
          <w:highlight w:val="none"/>
        </w:rPr>
        <w:t>月</w:t>
      </w:r>
    </w:p>
    <w:p>
      <w:pPr>
        <w:spacing w:line="510" w:lineRule="atLeast"/>
        <w:jc w:val="center"/>
        <w:rPr>
          <w:rFonts w:ascii="宋体" w:hAnsi="宋体" w:cs="宋体"/>
          <w:b/>
          <w:color w:val="auto"/>
          <w:sz w:val="28"/>
          <w:szCs w:val="21"/>
          <w:highlight w:val="none"/>
        </w:rPr>
      </w:pPr>
      <w:r>
        <w:rPr>
          <w:rFonts w:hint="eastAsia" w:ascii="宋体" w:hAnsi="宋体" w:cs="宋体"/>
          <w:b/>
          <w:color w:val="auto"/>
          <w:sz w:val="28"/>
          <w:szCs w:val="21"/>
          <w:highlight w:val="none"/>
        </w:rPr>
        <w:t>中国  西安</w:t>
      </w:r>
    </w:p>
    <w:p>
      <w:pPr>
        <w:widowControl/>
        <w:jc w:val="center"/>
        <w:rPr>
          <w:rFonts w:ascii="宋体" w:hAnsi="宋体" w:cs="宋体"/>
          <w:color w:val="auto"/>
          <w:sz w:val="28"/>
          <w:szCs w:val="21"/>
          <w:highlight w:val="none"/>
        </w:rPr>
        <w:sectPr>
          <w:pgSz w:w="11906" w:h="16838"/>
          <w:pgMar w:top="1418" w:right="1558" w:bottom="1140" w:left="1418" w:header="851" w:footer="992" w:gutter="0"/>
          <w:cols w:space="720" w:num="1"/>
          <w:docGrid w:type="linesAndChars" w:linePitch="312" w:charSpace="0"/>
        </w:sectPr>
      </w:pPr>
    </w:p>
    <w:p>
      <w:pPr>
        <w:snapToGrid w:val="0"/>
        <w:spacing w:line="360" w:lineRule="auto"/>
        <w:ind w:firstLine="562" w:firstLineChars="200"/>
        <w:jc w:val="center"/>
        <w:rPr>
          <w:rFonts w:ascii="宋体" w:hAnsi="宋体" w:cs="宋体"/>
          <w:color w:val="auto"/>
          <w:szCs w:val="21"/>
          <w:highlight w:val="none"/>
        </w:rPr>
      </w:pPr>
      <w:r>
        <w:rPr>
          <w:rFonts w:hint="eastAsia" w:ascii="宋体" w:hAnsi="宋体" w:cs="宋体"/>
          <w:b/>
          <w:bCs/>
          <w:color w:val="auto"/>
          <w:kern w:val="0"/>
          <w:sz w:val="28"/>
          <w:szCs w:val="21"/>
          <w:highlight w:val="none"/>
          <w:lang w:bidi="ar"/>
        </w:rPr>
        <w:t>供货合同</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甲方：西安市胸科医院</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乙方：</w:t>
      </w:r>
      <w:r>
        <w:rPr>
          <w:rFonts w:hint="eastAsia" w:ascii="宋体" w:hAnsi="宋体" w:cs="宋体"/>
          <w:b/>
          <w:bCs/>
          <w:color w:val="auto"/>
          <w:szCs w:val="21"/>
          <w:highlight w:val="none"/>
          <w:lang w:val="zh-CN"/>
        </w:rPr>
        <w:t>XXXXXXXX</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鉴证方：XXXXXXXX</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鉴证方就甲方所需货物，按照政府采购程序组织公开招标，确定乙方为中标供应商。依据《中华人民共和国政府采购法》、《中华人民共和国招标投标法》、《中华人民共和国民法典》以及XX有限公司招标文件、中标供应商投标文件正本中标通知书，经甲、乙双方协商，鉴证方确认，达成如下条款。</w:t>
      </w:r>
    </w:p>
    <w:p>
      <w:pPr>
        <w:snapToGrid w:val="0"/>
        <w:spacing w:line="360" w:lineRule="auto"/>
        <w:rPr>
          <w:rFonts w:ascii="宋体" w:hAnsi="宋体" w:cs="宋体"/>
          <w:b/>
          <w:color w:val="auto"/>
          <w:szCs w:val="21"/>
          <w:highlight w:val="none"/>
        </w:rPr>
      </w:pPr>
      <w:r>
        <w:rPr>
          <w:rFonts w:hint="eastAsia" w:ascii="宋体" w:hAnsi="宋体" w:cs="宋体"/>
          <w:b/>
          <w:color w:val="auto"/>
          <w:szCs w:val="21"/>
          <w:highlight w:val="none"/>
        </w:rPr>
        <w:t>一、合同货物内容及数量（以投标文件正本和澄清表函为准）</w:t>
      </w:r>
    </w:p>
    <w:tbl>
      <w:tblPr>
        <w:tblStyle w:val="2"/>
        <w:tblW w:w="0" w:type="auto"/>
        <w:tblInd w:w="0" w:type="dxa"/>
        <w:tblLayout w:type="fixed"/>
        <w:tblCellMar>
          <w:top w:w="0" w:type="dxa"/>
          <w:left w:w="28" w:type="dxa"/>
          <w:bottom w:w="0" w:type="dxa"/>
          <w:right w:w="28" w:type="dxa"/>
        </w:tblCellMar>
      </w:tblPr>
      <w:tblGrid>
        <w:gridCol w:w="499"/>
        <w:gridCol w:w="1678"/>
        <w:gridCol w:w="2503"/>
        <w:gridCol w:w="670"/>
        <w:gridCol w:w="1435"/>
        <w:gridCol w:w="957"/>
        <w:gridCol w:w="999"/>
        <w:gridCol w:w="697"/>
      </w:tblGrid>
      <w:tr>
        <w:tblPrEx>
          <w:tblCellMar>
            <w:top w:w="0" w:type="dxa"/>
            <w:left w:w="28" w:type="dxa"/>
            <w:bottom w:w="0" w:type="dxa"/>
            <w:right w:w="28" w:type="dxa"/>
          </w:tblCellMar>
        </w:tblPrEx>
        <w:trPr>
          <w:trHeight w:val="725" w:hRule="atLeast"/>
        </w:trPr>
        <w:tc>
          <w:tcPr>
            <w:tcW w:w="499" w:type="dxa"/>
            <w:tcBorders>
              <w:top w:val="single" w:color="auto" w:sz="6" w:space="0"/>
              <w:left w:val="single" w:color="auto" w:sz="6" w:space="0"/>
              <w:bottom w:val="single" w:color="auto" w:sz="6" w:space="0"/>
            </w:tcBorders>
            <w:vAlign w:val="center"/>
          </w:tcPr>
          <w:p>
            <w:pPr>
              <w:snapToGrid w:val="0"/>
              <w:spacing w:after="120" w:line="360" w:lineRule="auto"/>
              <w:jc w:val="center"/>
              <w:rPr>
                <w:rFonts w:ascii="宋体" w:hAnsi="宋体" w:cs="宋体"/>
                <w:b/>
                <w:bCs/>
                <w:color w:val="auto"/>
                <w:szCs w:val="21"/>
                <w:highlight w:val="none"/>
              </w:rPr>
            </w:pPr>
            <w:r>
              <w:rPr>
                <w:rFonts w:hint="eastAsia" w:ascii="宋体" w:hAnsi="宋体" w:cs="宋体"/>
                <w:b/>
                <w:bCs/>
                <w:color w:val="auto"/>
                <w:szCs w:val="21"/>
                <w:highlight w:val="none"/>
              </w:rPr>
              <w:t>序号</w:t>
            </w:r>
          </w:p>
        </w:tc>
        <w:tc>
          <w:tcPr>
            <w:tcW w:w="1678" w:type="dxa"/>
            <w:tcBorders>
              <w:top w:val="single" w:color="auto" w:sz="6" w:space="0"/>
              <w:left w:val="single" w:color="auto" w:sz="6" w:space="0"/>
              <w:bottom w:val="single" w:color="auto" w:sz="6" w:space="0"/>
              <w:right w:val="single" w:color="auto" w:sz="6" w:space="0"/>
            </w:tcBorders>
            <w:vAlign w:val="center"/>
          </w:tcPr>
          <w:p>
            <w:pPr>
              <w:snapToGrid w:val="0"/>
              <w:spacing w:after="120" w:line="360" w:lineRule="auto"/>
              <w:jc w:val="center"/>
              <w:rPr>
                <w:rFonts w:ascii="宋体" w:hAnsi="宋体" w:cs="宋体"/>
                <w:b/>
                <w:bCs/>
                <w:color w:val="auto"/>
                <w:szCs w:val="21"/>
                <w:highlight w:val="none"/>
              </w:rPr>
            </w:pPr>
            <w:r>
              <w:rPr>
                <w:rFonts w:hint="eastAsia" w:ascii="宋体" w:hAnsi="宋体" w:cs="宋体"/>
                <w:b/>
                <w:bCs/>
                <w:color w:val="auto"/>
                <w:szCs w:val="21"/>
                <w:highlight w:val="none"/>
              </w:rPr>
              <w:t>货物名称</w:t>
            </w:r>
          </w:p>
        </w:tc>
        <w:tc>
          <w:tcPr>
            <w:tcW w:w="2503" w:type="dxa"/>
            <w:tcBorders>
              <w:top w:val="single" w:color="auto" w:sz="6" w:space="0"/>
              <w:left w:val="single" w:color="auto" w:sz="6" w:space="0"/>
              <w:bottom w:val="single" w:color="auto" w:sz="6" w:space="0"/>
              <w:right w:val="single" w:color="auto" w:sz="6" w:space="0"/>
            </w:tcBorders>
            <w:vAlign w:val="center"/>
          </w:tcPr>
          <w:p>
            <w:pPr>
              <w:snapToGrid w:val="0"/>
              <w:spacing w:after="120" w:line="360" w:lineRule="auto"/>
              <w:jc w:val="center"/>
              <w:rPr>
                <w:rFonts w:ascii="宋体" w:hAnsi="宋体" w:cs="宋体"/>
                <w:b/>
                <w:bCs/>
                <w:color w:val="auto"/>
                <w:szCs w:val="21"/>
                <w:highlight w:val="none"/>
              </w:rPr>
            </w:pPr>
            <w:r>
              <w:rPr>
                <w:rFonts w:hint="eastAsia" w:ascii="宋体" w:hAnsi="宋体" w:cs="宋体"/>
                <w:b/>
                <w:bCs/>
                <w:color w:val="auto"/>
                <w:szCs w:val="21"/>
                <w:highlight w:val="none"/>
              </w:rPr>
              <w:t>规格型号</w:t>
            </w:r>
          </w:p>
        </w:tc>
        <w:tc>
          <w:tcPr>
            <w:tcW w:w="670" w:type="dxa"/>
            <w:tcBorders>
              <w:top w:val="single" w:color="auto" w:sz="6" w:space="0"/>
              <w:left w:val="single" w:color="auto" w:sz="6" w:space="0"/>
              <w:bottom w:val="single" w:color="auto" w:sz="6" w:space="0"/>
              <w:right w:val="single" w:color="auto" w:sz="4" w:space="0"/>
            </w:tcBorders>
            <w:vAlign w:val="center"/>
          </w:tcPr>
          <w:p>
            <w:pPr>
              <w:snapToGrid w:val="0"/>
              <w:spacing w:after="120" w:line="360" w:lineRule="auto"/>
              <w:jc w:val="center"/>
              <w:rPr>
                <w:rFonts w:ascii="宋体" w:hAnsi="宋体" w:cs="宋体"/>
                <w:b/>
                <w:bCs/>
                <w:color w:val="auto"/>
                <w:szCs w:val="21"/>
                <w:highlight w:val="none"/>
              </w:rPr>
            </w:pPr>
            <w:r>
              <w:rPr>
                <w:rFonts w:hint="eastAsia" w:ascii="宋体" w:hAnsi="宋体" w:cs="宋体"/>
                <w:b/>
                <w:bCs/>
                <w:color w:val="auto"/>
                <w:szCs w:val="21"/>
                <w:highlight w:val="none"/>
              </w:rPr>
              <w:t>数量</w:t>
            </w:r>
          </w:p>
        </w:tc>
        <w:tc>
          <w:tcPr>
            <w:tcW w:w="1435" w:type="dxa"/>
            <w:tcBorders>
              <w:top w:val="single" w:color="auto" w:sz="6" w:space="0"/>
              <w:left w:val="single" w:color="auto" w:sz="4" w:space="0"/>
              <w:bottom w:val="single" w:color="auto" w:sz="6" w:space="0"/>
              <w:right w:val="single" w:color="auto" w:sz="4" w:space="0"/>
            </w:tcBorders>
            <w:vAlign w:val="center"/>
          </w:tcPr>
          <w:p>
            <w:pPr>
              <w:snapToGrid w:val="0"/>
              <w:spacing w:after="120" w:line="360" w:lineRule="auto"/>
              <w:jc w:val="center"/>
              <w:rPr>
                <w:rFonts w:ascii="宋体" w:hAnsi="宋体" w:cs="宋体"/>
                <w:b/>
                <w:bCs/>
                <w:color w:val="auto"/>
                <w:szCs w:val="21"/>
                <w:highlight w:val="none"/>
              </w:rPr>
            </w:pPr>
            <w:r>
              <w:rPr>
                <w:rFonts w:hint="eastAsia" w:ascii="宋体" w:hAnsi="宋体" w:cs="宋体"/>
                <w:b/>
                <w:bCs/>
                <w:color w:val="auto"/>
                <w:szCs w:val="21"/>
                <w:highlight w:val="none"/>
              </w:rPr>
              <w:t>品牌</w:t>
            </w:r>
          </w:p>
        </w:tc>
        <w:tc>
          <w:tcPr>
            <w:tcW w:w="957" w:type="dxa"/>
            <w:tcBorders>
              <w:top w:val="single" w:color="auto" w:sz="6" w:space="0"/>
              <w:left w:val="single" w:color="auto" w:sz="4" w:space="0"/>
              <w:bottom w:val="single" w:color="auto" w:sz="6" w:space="0"/>
              <w:right w:val="single" w:color="auto" w:sz="6" w:space="0"/>
            </w:tcBorders>
            <w:vAlign w:val="center"/>
          </w:tcPr>
          <w:p>
            <w:pPr>
              <w:snapToGrid w:val="0"/>
              <w:spacing w:after="120" w:line="360" w:lineRule="auto"/>
              <w:jc w:val="center"/>
              <w:rPr>
                <w:rFonts w:ascii="宋体" w:hAnsi="宋体" w:cs="宋体"/>
                <w:b/>
                <w:bCs/>
                <w:color w:val="auto"/>
                <w:szCs w:val="21"/>
                <w:highlight w:val="none"/>
              </w:rPr>
            </w:pPr>
            <w:r>
              <w:rPr>
                <w:rFonts w:hint="eastAsia" w:ascii="宋体" w:hAnsi="宋体" w:cs="宋体"/>
                <w:b/>
                <w:bCs/>
                <w:color w:val="auto"/>
                <w:szCs w:val="21"/>
                <w:highlight w:val="none"/>
              </w:rPr>
              <w:t>产地</w:t>
            </w:r>
          </w:p>
        </w:tc>
        <w:tc>
          <w:tcPr>
            <w:tcW w:w="999" w:type="dxa"/>
            <w:tcBorders>
              <w:top w:val="single" w:color="auto" w:sz="6" w:space="0"/>
              <w:left w:val="single" w:color="auto" w:sz="6" w:space="0"/>
              <w:bottom w:val="single" w:color="auto" w:sz="6" w:space="0"/>
              <w:right w:val="single" w:color="auto" w:sz="4" w:space="0"/>
            </w:tcBorders>
            <w:vAlign w:val="center"/>
          </w:tcPr>
          <w:p>
            <w:pPr>
              <w:snapToGrid w:val="0"/>
              <w:spacing w:after="120" w:line="360" w:lineRule="auto"/>
              <w:jc w:val="center"/>
              <w:rPr>
                <w:rFonts w:ascii="宋体" w:hAnsi="宋体" w:cs="宋体"/>
                <w:b/>
                <w:bCs/>
                <w:color w:val="auto"/>
                <w:szCs w:val="21"/>
                <w:highlight w:val="none"/>
              </w:rPr>
            </w:pPr>
            <w:r>
              <w:rPr>
                <w:rFonts w:hint="eastAsia" w:ascii="宋体" w:hAnsi="宋体" w:cs="宋体"/>
                <w:b/>
                <w:bCs/>
                <w:color w:val="auto"/>
                <w:szCs w:val="21"/>
                <w:highlight w:val="none"/>
              </w:rPr>
              <w:t>金额</w:t>
            </w:r>
          </w:p>
          <w:p>
            <w:pPr>
              <w:snapToGrid w:val="0"/>
              <w:spacing w:after="120" w:line="360" w:lineRule="auto"/>
              <w:jc w:val="center"/>
              <w:rPr>
                <w:rFonts w:ascii="宋体" w:hAnsi="宋体" w:cs="宋体"/>
                <w:b/>
                <w:bCs/>
                <w:color w:val="auto"/>
                <w:szCs w:val="21"/>
                <w:highlight w:val="none"/>
              </w:rPr>
            </w:pPr>
            <w:r>
              <w:rPr>
                <w:rFonts w:hint="eastAsia" w:ascii="宋体" w:hAnsi="宋体" w:cs="宋体"/>
                <w:b/>
                <w:bCs/>
                <w:color w:val="auto"/>
                <w:szCs w:val="21"/>
                <w:highlight w:val="none"/>
              </w:rPr>
              <w:t>（万元）</w:t>
            </w:r>
          </w:p>
        </w:tc>
        <w:tc>
          <w:tcPr>
            <w:tcW w:w="697" w:type="dxa"/>
            <w:tcBorders>
              <w:top w:val="single" w:color="auto" w:sz="6" w:space="0"/>
              <w:left w:val="single" w:color="auto" w:sz="4" w:space="0"/>
              <w:bottom w:val="single" w:color="auto" w:sz="6" w:space="0"/>
              <w:right w:val="single" w:color="auto" w:sz="6" w:space="0"/>
            </w:tcBorders>
            <w:vAlign w:val="center"/>
          </w:tcPr>
          <w:p>
            <w:pPr>
              <w:snapToGrid w:val="0"/>
              <w:spacing w:after="120" w:line="360" w:lineRule="auto"/>
              <w:jc w:val="center"/>
              <w:rPr>
                <w:rFonts w:ascii="宋体" w:hAnsi="宋体" w:cs="宋体"/>
                <w:b/>
                <w:bCs/>
                <w:color w:val="auto"/>
                <w:szCs w:val="21"/>
                <w:highlight w:val="none"/>
              </w:rPr>
            </w:pPr>
            <w:r>
              <w:rPr>
                <w:rFonts w:hint="eastAsia" w:ascii="宋体" w:hAnsi="宋体" w:cs="宋体"/>
                <w:b/>
                <w:bCs/>
                <w:color w:val="auto"/>
                <w:szCs w:val="21"/>
                <w:highlight w:val="none"/>
              </w:rPr>
              <w:t>备注</w:t>
            </w:r>
          </w:p>
        </w:tc>
      </w:tr>
      <w:tr>
        <w:tblPrEx>
          <w:tblCellMar>
            <w:top w:w="0" w:type="dxa"/>
            <w:left w:w="28" w:type="dxa"/>
            <w:bottom w:w="0" w:type="dxa"/>
            <w:right w:w="28" w:type="dxa"/>
          </w:tblCellMar>
        </w:tblPrEx>
        <w:trPr>
          <w:trHeight w:val="469" w:hRule="atLeast"/>
        </w:trPr>
        <w:tc>
          <w:tcPr>
            <w:tcW w:w="499" w:type="dxa"/>
            <w:tcBorders>
              <w:top w:val="single" w:color="auto" w:sz="6" w:space="0"/>
              <w:left w:val="single" w:color="auto" w:sz="6" w:space="0"/>
              <w:bottom w:val="single" w:color="auto" w:sz="4" w:space="0"/>
            </w:tcBorders>
            <w:vAlign w:val="center"/>
          </w:tcPr>
          <w:p>
            <w:pPr>
              <w:spacing w:before="77"/>
              <w:ind w:left="14"/>
              <w:jc w:val="center"/>
              <w:rPr>
                <w:rFonts w:ascii="宋体" w:hAnsi="宋体" w:cs="宋体"/>
                <w:color w:val="auto"/>
                <w:szCs w:val="21"/>
                <w:highlight w:val="none"/>
              </w:rPr>
            </w:pPr>
            <w:r>
              <w:rPr>
                <w:rFonts w:hint="eastAsia" w:ascii="宋体" w:hAnsi="宋体" w:cs="宋体"/>
                <w:color w:val="auto"/>
                <w:szCs w:val="21"/>
                <w:highlight w:val="none"/>
              </w:rPr>
              <w:t>1</w:t>
            </w:r>
          </w:p>
        </w:tc>
        <w:tc>
          <w:tcPr>
            <w:tcW w:w="1678" w:type="dxa"/>
            <w:tcBorders>
              <w:top w:val="single" w:color="auto" w:sz="6" w:space="0"/>
              <w:left w:val="single" w:color="auto" w:sz="6" w:space="0"/>
              <w:bottom w:val="single" w:color="auto" w:sz="4" w:space="0"/>
              <w:right w:val="single" w:color="auto" w:sz="6" w:space="0"/>
            </w:tcBorders>
            <w:vAlign w:val="center"/>
          </w:tcPr>
          <w:p>
            <w:pPr>
              <w:jc w:val="center"/>
              <w:rPr>
                <w:rFonts w:ascii="宋体" w:hAnsi="宋体" w:cs="宋体"/>
                <w:color w:val="auto"/>
                <w:szCs w:val="21"/>
                <w:highlight w:val="none"/>
              </w:rPr>
            </w:pPr>
          </w:p>
        </w:tc>
        <w:tc>
          <w:tcPr>
            <w:tcW w:w="2503" w:type="dxa"/>
            <w:tcBorders>
              <w:top w:val="single" w:color="auto" w:sz="6" w:space="0"/>
              <w:left w:val="single" w:color="auto" w:sz="6" w:space="0"/>
              <w:bottom w:val="single" w:color="auto" w:sz="4" w:space="0"/>
              <w:right w:val="single" w:color="auto" w:sz="6" w:space="0"/>
            </w:tcBorders>
            <w:vAlign w:val="center"/>
          </w:tcPr>
          <w:p>
            <w:pPr>
              <w:jc w:val="center"/>
              <w:rPr>
                <w:rFonts w:ascii="宋体" w:hAnsi="宋体" w:cs="宋体"/>
                <w:color w:val="auto"/>
                <w:szCs w:val="21"/>
                <w:highlight w:val="none"/>
              </w:rPr>
            </w:pPr>
          </w:p>
        </w:tc>
        <w:tc>
          <w:tcPr>
            <w:tcW w:w="670" w:type="dxa"/>
            <w:tcBorders>
              <w:top w:val="single" w:color="auto" w:sz="6" w:space="0"/>
              <w:left w:val="single" w:color="auto" w:sz="6" w:space="0"/>
              <w:bottom w:val="single" w:color="auto" w:sz="6" w:space="0"/>
              <w:right w:val="single" w:color="auto" w:sz="4" w:space="0"/>
            </w:tcBorders>
            <w:vAlign w:val="center"/>
          </w:tcPr>
          <w:p>
            <w:pPr>
              <w:jc w:val="center"/>
              <w:rPr>
                <w:rFonts w:ascii="宋体" w:hAnsi="宋体" w:cs="宋体"/>
                <w:color w:val="auto"/>
                <w:szCs w:val="21"/>
                <w:highlight w:val="none"/>
              </w:rPr>
            </w:pPr>
          </w:p>
        </w:tc>
        <w:tc>
          <w:tcPr>
            <w:tcW w:w="1435" w:type="dxa"/>
            <w:tcBorders>
              <w:top w:val="single" w:color="auto" w:sz="6" w:space="0"/>
              <w:left w:val="single" w:color="auto" w:sz="4" w:space="0"/>
              <w:bottom w:val="single" w:color="auto" w:sz="6" w:space="0"/>
              <w:right w:val="single" w:color="auto" w:sz="4" w:space="0"/>
            </w:tcBorders>
            <w:vAlign w:val="center"/>
          </w:tcPr>
          <w:p>
            <w:pPr>
              <w:jc w:val="center"/>
              <w:rPr>
                <w:rFonts w:ascii="宋体" w:hAnsi="宋体" w:cs="宋体"/>
                <w:color w:val="auto"/>
                <w:szCs w:val="21"/>
                <w:highlight w:val="none"/>
              </w:rPr>
            </w:pPr>
          </w:p>
        </w:tc>
        <w:tc>
          <w:tcPr>
            <w:tcW w:w="957" w:type="dxa"/>
            <w:tcBorders>
              <w:top w:val="single" w:color="auto" w:sz="6" w:space="0"/>
              <w:left w:val="single" w:color="auto" w:sz="4" w:space="0"/>
              <w:bottom w:val="single" w:color="auto" w:sz="6" w:space="0"/>
              <w:right w:val="single" w:color="auto" w:sz="6" w:space="0"/>
            </w:tcBorders>
            <w:vAlign w:val="center"/>
          </w:tcPr>
          <w:p>
            <w:pPr>
              <w:jc w:val="center"/>
              <w:rPr>
                <w:rFonts w:ascii="宋体" w:hAnsi="宋体" w:cs="宋体"/>
                <w:color w:val="auto"/>
                <w:szCs w:val="21"/>
                <w:highlight w:val="none"/>
              </w:rPr>
            </w:pPr>
          </w:p>
        </w:tc>
        <w:tc>
          <w:tcPr>
            <w:tcW w:w="999" w:type="dxa"/>
            <w:tcBorders>
              <w:top w:val="single" w:color="auto" w:sz="6" w:space="0"/>
              <w:left w:val="single" w:color="auto" w:sz="6" w:space="0"/>
              <w:bottom w:val="single" w:color="auto" w:sz="4" w:space="0"/>
              <w:right w:val="single" w:color="auto" w:sz="4" w:space="0"/>
            </w:tcBorders>
            <w:vAlign w:val="center"/>
          </w:tcPr>
          <w:p>
            <w:pPr>
              <w:jc w:val="center"/>
              <w:rPr>
                <w:rFonts w:ascii="宋体" w:hAnsi="宋体" w:cs="宋体"/>
                <w:color w:val="auto"/>
                <w:szCs w:val="21"/>
                <w:highlight w:val="none"/>
              </w:rPr>
            </w:pPr>
          </w:p>
        </w:tc>
        <w:tc>
          <w:tcPr>
            <w:tcW w:w="697" w:type="dxa"/>
            <w:tcBorders>
              <w:top w:val="single" w:color="auto" w:sz="6" w:space="0"/>
              <w:left w:val="single" w:color="auto" w:sz="4" w:space="0"/>
              <w:bottom w:val="single" w:color="auto" w:sz="4" w:space="0"/>
              <w:right w:val="single" w:color="auto" w:sz="6" w:space="0"/>
            </w:tcBorders>
            <w:vAlign w:val="center"/>
          </w:tcPr>
          <w:p>
            <w:pPr>
              <w:jc w:val="center"/>
              <w:rPr>
                <w:rFonts w:ascii="宋体" w:hAnsi="宋体" w:cs="宋体"/>
                <w:color w:val="auto"/>
                <w:szCs w:val="21"/>
                <w:highlight w:val="none"/>
              </w:rPr>
            </w:pPr>
          </w:p>
        </w:tc>
      </w:tr>
      <w:tr>
        <w:tblPrEx>
          <w:tblCellMar>
            <w:top w:w="0" w:type="dxa"/>
            <w:left w:w="28" w:type="dxa"/>
            <w:bottom w:w="0" w:type="dxa"/>
            <w:right w:w="28" w:type="dxa"/>
          </w:tblCellMar>
        </w:tblPrEx>
        <w:trPr>
          <w:trHeight w:val="478" w:hRule="atLeast"/>
        </w:trPr>
        <w:tc>
          <w:tcPr>
            <w:tcW w:w="2177" w:type="dxa"/>
            <w:gridSpan w:val="2"/>
            <w:tcBorders>
              <w:top w:val="single" w:color="auto" w:sz="4" w:space="0"/>
              <w:left w:val="single" w:color="auto" w:sz="6" w:space="0"/>
              <w:bottom w:val="single" w:color="auto" w:sz="4" w:space="0"/>
              <w:right w:val="single" w:color="auto" w:sz="6" w:space="0"/>
            </w:tcBorders>
            <w:vAlign w:val="center"/>
          </w:tcPr>
          <w:p>
            <w:pPr>
              <w:snapToGrid w:val="0"/>
              <w:spacing w:before="156" w:beforeLines="50" w:line="360" w:lineRule="auto"/>
              <w:jc w:val="center"/>
              <w:rPr>
                <w:rFonts w:ascii="宋体" w:hAnsi="宋体" w:cs="宋体"/>
                <w:color w:val="auto"/>
                <w:szCs w:val="21"/>
                <w:highlight w:val="none"/>
              </w:rPr>
            </w:pPr>
            <w:r>
              <w:rPr>
                <w:rFonts w:hint="eastAsia" w:ascii="宋体" w:hAnsi="宋体" w:cs="宋体"/>
                <w:color w:val="auto"/>
                <w:szCs w:val="21"/>
                <w:highlight w:val="none"/>
              </w:rPr>
              <w:t>合计</w:t>
            </w:r>
          </w:p>
        </w:tc>
        <w:tc>
          <w:tcPr>
            <w:tcW w:w="7261" w:type="dxa"/>
            <w:gridSpan w:val="6"/>
            <w:tcBorders>
              <w:top w:val="single" w:color="auto" w:sz="4" w:space="0"/>
              <w:left w:val="single" w:color="auto" w:sz="6" w:space="0"/>
              <w:bottom w:val="single" w:color="auto" w:sz="4" w:space="0"/>
              <w:right w:val="single" w:color="auto" w:sz="4" w:space="0"/>
            </w:tcBorders>
            <w:vAlign w:val="center"/>
          </w:tcPr>
          <w:p>
            <w:pPr>
              <w:snapToGrid w:val="0"/>
              <w:spacing w:before="156" w:beforeLines="50" w:line="360" w:lineRule="auto"/>
              <w:ind w:firstLine="843" w:firstLineChars="400"/>
              <w:rPr>
                <w:rFonts w:ascii="宋体" w:hAnsi="宋体" w:cs="宋体"/>
                <w:b/>
                <w:color w:val="auto"/>
                <w:szCs w:val="21"/>
                <w:highlight w:val="none"/>
              </w:rPr>
            </w:pPr>
            <w:r>
              <w:rPr>
                <w:rFonts w:hint="eastAsia" w:ascii="宋体" w:hAnsi="宋体" w:cs="宋体"/>
                <w:b/>
                <w:color w:val="auto"/>
                <w:szCs w:val="21"/>
                <w:highlight w:val="none"/>
              </w:rPr>
              <w:t>人民币：</w:t>
            </w:r>
            <w:r>
              <w:rPr>
                <w:rFonts w:hint="eastAsia" w:ascii="宋体" w:hAnsi="宋体" w:cs="宋体"/>
                <w:b/>
                <w:color w:val="auto"/>
                <w:szCs w:val="21"/>
                <w:highlight w:val="none"/>
                <w:u w:val="single"/>
              </w:rPr>
              <w:t>（大写）             （小写）</w:t>
            </w:r>
            <w:r>
              <w:rPr>
                <w:rFonts w:hint="eastAsia" w:ascii="宋体" w:hAnsi="宋体" w:cs="宋体"/>
                <w:b/>
                <w:bCs/>
                <w:color w:val="auto"/>
                <w:kern w:val="0"/>
                <w:szCs w:val="21"/>
                <w:highlight w:val="none"/>
                <w:u w:val="single"/>
                <w:lang w:bidi="ar"/>
              </w:rPr>
              <w:t xml:space="preserve">      </w:t>
            </w:r>
            <w:r>
              <w:rPr>
                <w:rFonts w:hint="eastAsia" w:ascii="宋体" w:hAnsi="宋体" w:cs="宋体"/>
                <w:b/>
                <w:color w:val="auto"/>
                <w:szCs w:val="21"/>
                <w:highlight w:val="none"/>
                <w:u w:val="single"/>
              </w:rPr>
              <w:t>元</w:t>
            </w:r>
            <w:r>
              <w:rPr>
                <w:rFonts w:hint="eastAsia" w:ascii="宋体" w:hAnsi="宋体" w:cs="宋体"/>
                <w:b/>
                <w:color w:val="auto"/>
                <w:szCs w:val="21"/>
                <w:highlight w:val="none"/>
              </w:rPr>
              <w:t xml:space="preserve">    </w:t>
            </w:r>
          </w:p>
        </w:tc>
      </w:tr>
      <w:tr>
        <w:tblPrEx>
          <w:tblCellMar>
            <w:top w:w="0" w:type="dxa"/>
            <w:left w:w="28" w:type="dxa"/>
            <w:bottom w:w="0" w:type="dxa"/>
            <w:right w:w="28" w:type="dxa"/>
          </w:tblCellMar>
        </w:tblPrEx>
        <w:trPr>
          <w:trHeight w:val="478" w:hRule="atLeast"/>
        </w:trPr>
        <w:tc>
          <w:tcPr>
            <w:tcW w:w="9438" w:type="dxa"/>
            <w:gridSpan w:val="8"/>
            <w:tcBorders>
              <w:top w:val="single" w:color="auto" w:sz="4" w:space="0"/>
              <w:left w:val="single" w:color="auto" w:sz="6" w:space="0"/>
              <w:bottom w:val="single" w:color="auto" w:sz="4" w:space="0"/>
              <w:right w:val="single" w:color="auto" w:sz="4" w:space="0"/>
            </w:tcBorders>
            <w:vAlign w:val="center"/>
          </w:tcPr>
          <w:p>
            <w:pPr>
              <w:snapToGrid w:val="0"/>
              <w:spacing w:before="156" w:beforeLines="50" w:line="360" w:lineRule="auto"/>
              <w:rPr>
                <w:rFonts w:ascii="宋体" w:hAnsi="宋体" w:cs="宋体"/>
                <w:b/>
                <w:color w:val="auto"/>
                <w:szCs w:val="21"/>
                <w:highlight w:val="none"/>
              </w:rPr>
            </w:pPr>
            <w:r>
              <w:rPr>
                <w:rFonts w:hint="eastAsia" w:ascii="宋体" w:hAnsi="宋体" w:cs="宋体"/>
                <w:color w:val="auto"/>
                <w:szCs w:val="21"/>
                <w:highlight w:val="none"/>
              </w:rPr>
              <w:t>注：设备配置清单详见《附表一》</w:t>
            </w:r>
          </w:p>
        </w:tc>
      </w:tr>
    </w:tbl>
    <w:p>
      <w:pPr>
        <w:tabs>
          <w:tab w:val="left" w:pos="480"/>
        </w:tabs>
        <w:snapToGrid w:val="0"/>
        <w:spacing w:line="360" w:lineRule="auto"/>
        <w:rPr>
          <w:rFonts w:ascii="宋体" w:hAnsi="宋体" w:cs="宋体"/>
          <w:color w:val="auto"/>
          <w:szCs w:val="21"/>
          <w:highlight w:val="none"/>
        </w:rPr>
      </w:pPr>
      <w:r>
        <w:rPr>
          <w:rFonts w:hint="eastAsia" w:ascii="宋体" w:hAnsi="宋体" w:cs="宋体"/>
          <w:b/>
          <w:color w:val="auto"/>
          <w:szCs w:val="21"/>
          <w:highlight w:val="none"/>
        </w:rPr>
        <w:t>二、合同价款</w:t>
      </w:r>
    </w:p>
    <w:p>
      <w:pPr>
        <w:numPr>
          <w:ilvl w:val="0"/>
          <w:numId w:val="1"/>
        </w:numPr>
        <w:tabs>
          <w:tab w:val="left" w:pos="480"/>
        </w:tabs>
        <w:snapToGrid w:val="0"/>
        <w:spacing w:line="360" w:lineRule="auto"/>
        <w:rPr>
          <w:rFonts w:ascii="宋体" w:hAnsi="宋体" w:cs="宋体"/>
          <w:color w:val="auto"/>
          <w:szCs w:val="21"/>
          <w:highlight w:val="none"/>
        </w:rPr>
      </w:pPr>
      <w:r>
        <w:rPr>
          <w:rFonts w:hint="eastAsia" w:ascii="宋体" w:hAnsi="宋体" w:cs="宋体"/>
          <w:color w:val="auto"/>
          <w:szCs w:val="21"/>
          <w:highlight w:val="none"/>
        </w:rPr>
        <w:t>合同总价款为人民币（大写）</w:t>
      </w:r>
      <w:r>
        <w:rPr>
          <w:rFonts w:hint="eastAsia" w:ascii="宋体" w:hAnsi="宋体" w:cs="宋体"/>
          <w:color w:val="auto"/>
          <w:szCs w:val="21"/>
          <w:highlight w:val="none"/>
          <w:u w:val="single"/>
        </w:rPr>
        <w:t xml:space="preserve">        </w:t>
      </w:r>
      <w:r>
        <w:rPr>
          <w:rFonts w:hint="eastAsia" w:ascii="宋体" w:hAnsi="宋体" w:cs="宋体"/>
          <w:b/>
          <w:color w:val="auto"/>
          <w:szCs w:val="21"/>
          <w:highlight w:val="none"/>
          <w:u w:val="single"/>
        </w:rPr>
        <w:t>元整（￥     元）</w:t>
      </w:r>
      <w:r>
        <w:rPr>
          <w:rFonts w:hint="eastAsia" w:ascii="宋体" w:hAnsi="宋体" w:cs="宋体"/>
          <w:color w:val="auto"/>
          <w:szCs w:val="21"/>
          <w:highlight w:val="none"/>
        </w:rPr>
        <w:t>。</w:t>
      </w:r>
    </w:p>
    <w:p>
      <w:pPr>
        <w:numPr>
          <w:ilvl w:val="0"/>
          <w:numId w:val="1"/>
        </w:numPr>
        <w:tabs>
          <w:tab w:val="left" w:pos="480"/>
        </w:tabs>
        <w:snapToGrid w:val="0"/>
        <w:spacing w:line="360" w:lineRule="auto"/>
        <w:rPr>
          <w:rFonts w:ascii="宋体" w:hAnsi="宋体" w:cs="宋体"/>
          <w:color w:val="auto"/>
          <w:szCs w:val="21"/>
          <w:highlight w:val="none"/>
        </w:rPr>
      </w:pPr>
      <w:r>
        <w:rPr>
          <w:rFonts w:hint="eastAsia" w:ascii="宋体" w:hAnsi="宋体" w:cs="宋体"/>
          <w:color w:val="auto"/>
          <w:szCs w:val="21"/>
          <w:highlight w:val="none"/>
        </w:rPr>
        <w:t>合同总价包括：货物费、运输费（含保险费）、安装调试费、检测验收费、培训费及其它费用。</w:t>
      </w:r>
    </w:p>
    <w:p>
      <w:pPr>
        <w:numPr>
          <w:ilvl w:val="0"/>
          <w:numId w:val="1"/>
        </w:numPr>
        <w:tabs>
          <w:tab w:val="left" w:pos="480"/>
        </w:tabs>
        <w:snapToGrid w:val="0"/>
        <w:spacing w:line="360" w:lineRule="auto"/>
        <w:rPr>
          <w:rFonts w:ascii="宋体" w:hAnsi="宋体" w:cs="宋体"/>
          <w:color w:val="auto"/>
          <w:szCs w:val="21"/>
          <w:highlight w:val="none"/>
        </w:rPr>
      </w:pPr>
      <w:r>
        <w:rPr>
          <w:rFonts w:hint="eastAsia" w:ascii="宋体" w:hAnsi="宋体" w:cs="宋体"/>
          <w:color w:val="auto"/>
          <w:szCs w:val="21"/>
          <w:highlight w:val="none"/>
        </w:rPr>
        <w:t>合同总价一次性包死，不受市场价格变化因素的影响。</w:t>
      </w:r>
    </w:p>
    <w:p>
      <w:pPr>
        <w:numPr>
          <w:ilvl w:val="0"/>
          <w:numId w:val="1"/>
        </w:numPr>
        <w:tabs>
          <w:tab w:val="left" w:pos="480"/>
        </w:tabs>
        <w:snapToGrid w:val="0"/>
        <w:spacing w:line="360" w:lineRule="auto"/>
        <w:rPr>
          <w:rFonts w:ascii="宋体" w:hAnsi="宋体" w:cs="宋体"/>
          <w:color w:val="auto"/>
          <w:szCs w:val="21"/>
          <w:highlight w:val="none"/>
        </w:rPr>
      </w:pPr>
      <w:r>
        <w:rPr>
          <w:rFonts w:hint="eastAsia" w:ascii="宋体" w:hAnsi="宋体" w:cs="宋体"/>
          <w:color w:val="auto"/>
          <w:szCs w:val="21"/>
          <w:highlight w:val="none"/>
        </w:rPr>
        <w:t>甲方不再另付任何费用。</w:t>
      </w:r>
    </w:p>
    <w:p>
      <w:pPr>
        <w:numPr>
          <w:ilvl w:val="0"/>
          <w:numId w:val="2"/>
        </w:numPr>
        <w:tabs>
          <w:tab w:val="left" w:pos="480"/>
        </w:tabs>
        <w:snapToGrid w:val="0"/>
        <w:spacing w:line="360" w:lineRule="auto"/>
        <w:rPr>
          <w:rFonts w:ascii="宋体" w:hAnsi="宋体" w:cs="宋体"/>
          <w:b/>
          <w:color w:val="auto"/>
          <w:szCs w:val="21"/>
          <w:highlight w:val="none"/>
        </w:rPr>
      </w:pPr>
      <w:r>
        <w:rPr>
          <w:rFonts w:hint="eastAsia" w:ascii="宋体" w:hAnsi="宋体" w:cs="宋体"/>
          <w:b/>
          <w:color w:val="auto"/>
          <w:szCs w:val="21"/>
          <w:highlight w:val="none"/>
        </w:rPr>
        <w:t>款项结算</w:t>
      </w:r>
    </w:p>
    <w:p>
      <w:pPr>
        <w:tabs>
          <w:tab w:val="left" w:pos="480"/>
        </w:tabs>
        <w:snapToGrid w:val="0"/>
        <w:spacing w:line="360" w:lineRule="auto"/>
        <w:ind w:left="400"/>
        <w:rPr>
          <w:rFonts w:ascii="宋体" w:hAnsi="宋体" w:cs="宋体"/>
          <w:color w:val="auto"/>
          <w:szCs w:val="21"/>
          <w:highlight w:val="none"/>
        </w:rPr>
      </w:pPr>
      <w:r>
        <w:rPr>
          <w:rFonts w:hint="eastAsia" w:ascii="宋体" w:hAnsi="宋体" w:cs="宋体"/>
          <w:color w:val="auto"/>
          <w:szCs w:val="21"/>
          <w:highlight w:val="none"/>
        </w:rPr>
        <w:t>（一）a. 合同签订后，甲方在收到乙方支付的履约保证金后5个工作日内，支付合同总额40%的预付款；货到安装试用期满符合合同约定的质量标准要求，经产品最终验收合格后，60天内支付剩余部分。（用于授予中小企业政府采购合同，残疾人、福利单位视同小微企业）；</w:t>
      </w:r>
    </w:p>
    <w:p>
      <w:pPr>
        <w:tabs>
          <w:tab w:val="left" w:pos="480"/>
        </w:tabs>
        <w:snapToGrid w:val="0"/>
        <w:spacing w:line="360" w:lineRule="auto"/>
        <w:ind w:left="400"/>
        <w:rPr>
          <w:rFonts w:ascii="宋体" w:hAnsi="宋体" w:cs="宋体"/>
          <w:color w:val="auto"/>
          <w:szCs w:val="21"/>
          <w:highlight w:val="none"/>
        </w:rPr>
      </w:pPr>
      <w:r>
        <w:rPr>
          <w:rFonts w:hint="eastAsia" w:ascii="宋体" w:hAnsi="宋体" w:cs="宋体"/>
          <w:color w:val="auto"/>
          <w:szCs w:val="21"/>
          <w:highlight w:val="none"/>
        </w:rPr>
        <w:t>b. 货到安装试用期满，符合合同约定的质量标准要求，经产品最终验收合格后，60天内支付合同总金额。 (适用于非授予中小企业政府采购合同)。</w:t>
      </w:r>
    </w:p>
    <w:p>
      <w:pPr>
        <w:tabs>
          <w:tab w:val="left" w:pos="480"/>
        </w:tabs>
        <w:snapToGrid w:val="0"/>
        <w:spacing w:line="360" w:lineRule="auto"/>
        <w:ind w:left="400"/>
        <w:rPr>
          <w:rFonts w:ascii="宋体" w:hAnsi="宋体" w:cs="宋体"/>
          <w:color w:val="auto"/>
          <w:szCs w:val="21"/>
          <w:highlight w:val="none"/>
        </w:rPr>
      </w:pPr>
      <w:r>
        <w:rPr>
          <w:rFonts w:hint="eastAsia" w:ascii="宋体" w:hAnsi="宋体" w:cs="宋体"/>
          <w:color w:val="auto"/>
          <w:szCs w:val="21"/>
          <w:highlight w:val="none"/>
        </w:rPr>
        <w:t>（二）支付方式：银行转账。</w:t>
      </w:r>
    </w:p>
    <w:p>
      <w:pPr>
        <w:tabs>
          <w:tab w:val="left" w:pos="480"/>
        </w:tabs>
        <w:snapToGrid w:val="0"/>
        <w:spacing w:line="360" w:lineRule="auto"/>
        <w:ind w:left="400"/>
        <w:rPr>
          <w:rFonts w:ascii="宋体" w:hAnsi="宋体" w:cs="宋体"/>
          <w:color w:val="auto"/>
          <w:szCs w:val="21"/>
          <w:highlight w:val="none"/>
        </w:rPr>
      </w:pPr>
      <w:r>
        <w:rPr>
          <w:rFonts w:hint="eastAsia" w:ascii="宋体" w:hAnsi="宋体" w:cs="宋体"/>
          <w:color w:val="auto"/>
          <w:szCs w:val="21"/>
          <w:highlight w:val="none"/>
        </w:rPr>
        <w:t>（三）结算方式：乙方持验收书，发票（按合同总价开采购人），中标通知书、供货合同，与甲方结算。</w:t>
      </w:r>
    </w:p>
    <w:p>
      <w:pPr>
        <w:tabs>
          <w:tab w:val="left" w:pos="480"/>
        </w:tabs>
        <w:snapToGrid w:val="0"/>
        <w:spacing w:line="360" w:lineRule="auto"/>
        <w:ind w:left="400"/>
        <w:rPr>
          <w:rFonts w:ascii="宋体" w:hAnsi="宋体" w:cs="宋体"/>
          <w:color w:val="auto"/>
          <w:szCs w:val="21"/>
          <w:highlight w:val="none"/>
        </w:rPr>
      </w:pPr>
      <w:r>
        <w:rPr>
          <w:rFonts w:hint="eastAsia" w:ascii="宋体" w:hAnsi="宋体" w:cs="宋体"/>
          <w:color w:val="auto"/>
          <w:szCs w:val="21"/>
          <w:highlight w:val="none"/>
        </w:rPr>
        <w:t>（四）履约保证金</w:t>
      </w:r>
    </w:p>
    <w:p>
      <w:pPr>
        <w:tabs>
          <w:tab w:val="left" w:pos="480"/>
        </w:tabs>
        <w:snapToGrid w:val="0"/>
        <w:spacing w:line="360" w:lineRule="auto"/>
        <w:ind w:left="400"/>
        <w:rPr>
          <w:rFonts w:ascii="宋体" w:hAnsi="宋体" w:cs="宋体"/>
          <w:color w:val="auto"/>
          <w:szCs w:val="21"/>
          <w:highlight w:val="none"/>
        </w:rPr>
      </w:pPr>
      <w:r>
        <w:rPr>
          <w:rFonts w:hint="eastAsia" w:ascii="宋体" w:hAnsi="宋体" w:cs="宋体"/>
          <w:color w:val="auto"/>
          <w:szCs w:val="21"/>
          <w:highlight w:val="none"/>
        </w:rPr>
        <w:t>1．履约保证金的交付和退还：</w:t>
      </w:r>
    </w:p>
    <w:p>
      <w:pPr>
        <w:tabs>
          <w:tab w:val="left" w:pos="480"/>
        </w:tabs>
        <w:snapToGrid w:val="0"/>
        <w:spacing w:line="360" w:lineRule="auto"/>
        <w:ind w:left="400"/>
        <w:rPr>
          <w:rFonts w:ascii="宋体" w:hAnsi="宋体" w:cs="宋体"/>
          <w:color w:val="auto"/>
          <w:szCs w:val="21"/>
          <w:highlight w:val="none"/>
        </w:rPr>
      </w:pPr>
      <w:r>
        <w:rPr>
          <w:rFonts w:hint="eastAsia" w:ascii="宋体" w:hAnsi="宋体" w:cs="宋体"/>
          <w:color w:val="auto"/>
          <w:szCs w:val="21"/>
          <w:highlight w:val="none"/>
        </w:rPr>
        <w:t>乙方应当在合同签订后5个工作日内，按照中标合同总金额的5%作为履约保证金交付给甲方。</w:t>
      </w:r>
    </w:p>
    <w:p>
      <w:pPr>
        <w:tabs>
          <w:tab w:val="left" w:pos="480"/>
        </w:tabs>
        <w:snapToGrid w:val="0"/>
        <w:spacing w:line="360" w:lineRule="auto"/>
        <w:ind w:left="400"/>
        <w:rPr>
          <w:rFonts w:ascii="宋体" w:hAnsi="宋体" w:cs="宋体"/>
          <w:color w:val="auto"/>
          <w:szCs w:val="21"/>
          <w:highlight w:val="none"/>
        </w:rPr>
      </w:pPr>
      <w:r>
        <w:rPr>
          <w:rFonts w:hint="eastAsia" w:ascii="宋体" w:hAnsi="宋体" w:cs="宋体"/>
          <w:color w:val="auto"/>
          <w:szCs w:val="21"/>
          <w:highlight w:val="none"/>
        </w:rPr>
        <w:t>2．保证期为中标通知书到达乙方之日起至项目服务期结束日。</w:t>
      </w:r>
    </w:p>
    <w:p>
      <w:pPr>
        <w:tabs>
          <w:tab w:val="left" w:pos="480"/>
        </w:tabs>
        <w:snapToGrid w:val="0"/>
        <w:spacing w:line="360" w:lineRule="auto"/>
        <w:ind w:left="400"/>
        <w:rPr>
          <w:rFonts w:ascii="宋体" w:hAnsi="宋体" w:cs="宋体"/>
          <w:color w:val="auto"/>
          <w:szCs w:val="21"/>
          <w:highlight w:val="none"/>
        </w:rPr>
      </w:pPr>
      <w:r>
        <w:rPr>
          <w:rFonts w:hint="eastAsia" w:ascii="宋体" w:hAnsi="宋体" w:cs="宋体"/>
          <w:color w:val="auto"/>
          <w:szCs w:val="21"/>
          <w:highlight w:val="none"/>
        </w:rPr>
        <w:t>3．保证期满乙方如约履行合同的，甲方在合同服务期结束之日起30日内退还履约保证金（无息）。</w:t>
      </w:r>
    </w:p>
    <w:p>
      <w:pPr>
        <w:tabs>
          <w:tab w:val="left" w:pos="480"/>
        </w:tabs>
        <w:snapToGrid w:val="0"/>
        <w:spacing w:line="360" w:lineRule="auto"/>
        <w:ind w:firstLine="413" w:firstLineChars="196"/>
        <w:rPr>
          <w:rFonts w:ascii="宋体" w:hAnsi="宋体" w:cs="宋体"/>
          <w:b/>
          <w:color w:val="auto"/>
          <w:szCs w:val="21"/>
          <w:highlight w:val="none"/>
        </w:rPr>
      </w:pPr>
      <w:r>
        <w:rPr>
          <w:rFonts w:hint="eastAsia" w:ascii="宋体" w:hAnsi="宋体" w:cs="宋体"/>
          <w:b/>
          <w:color w:val="auto"/>
          <w:szCs w:val="21"/>
          <w:highlight w:val="none"/>
        </w:rPr>
        <w:t>四、双方权利与义务</w:t>
      </w:r>
    </w:p>
    <w:p>
      <w:pPr>
        <w:numPr>
          <w:ilvl w:val="0"/>
          <w:numId w:val="3"/>
        </w:numPr>
        <w:tabs>
          <w:tab w:val="left" w:pos="480"/>
        </w:tabs>
        <w:snapToGrid w:val="0"/>
        <w:spacing w:line="360" w:lineRule="auto"/>
        <w:rPr>
          <w:rFonts w:ascii="宋体" w:hAnsi="宋体" w:cs="宋体"/>
          <w:color w:val="auto"/>
          <w:szCs w:val="21"/>
          <w:highlight w:val="none"/>
        </w:rPr>
      </w:pPr>
      <w:r>
        <w:rPr>
          <w:rFonts w:hint="eastAsia" w:ascii="宋体" w:hAnsi="宋体" w:cs="宋体"/>
          <w:color w:val="auto"/>
          <w:szCs w:val="21"/>
          <w:highlight w:val="none"/>
        </w:rPr>
        <w:t>甲方的权利和义务：甲方有权利要求乙方保质保量按时将货物运送到甲方指定地点。</w:t>
      </w:r>
    </w:p>
    <w:p>
      <w:pPr>
        <w:numPr>
          <w:ilvl w:val="0"/>
          <w:numId w:val="3"/>
        </w:numPr>
        <w:tabs>
          <w:tab w:val="left" w:pos="480"/>
        </w:tabs>
        <w:snapToGrid w:val="0"/>
        <w:spacing w:line="360" w:lineRule="auto"/>
        <w:rPr>
          <w:rFonts w:ascii="宋体" w:hAnsi="宋体" w:cs="宋体"/>
          <w:color w:val="auto"/>
          <w:szCs w:val="21"/>
          <w:highlight w:val="none"/>
        </w:rPr>
      </w:pPr>
      <w:r>
        <w:rPr>
          <w:rFonts w:hint="eastAsia" w:ascii="宋体" w:hAnsi="宋体" w:cs="宋体"/>
          <w:color w:val="auto"/>
          <w:szCs w:val="21"/>
          <w:highlight w:val="none"/>
        </w:rPr>
        <w:t>乙方的权利和义务：乙方有义务根据合同要求保质保量供货。</w:t>
      </w:r>
    </w:p>
    <w:p>
      <w:pPr>
        <w:tabs>
          <w:tab w:val="left" w:pos="480"/>
        </w:tabs>
        <w:snapToGrid w:val="0"/>
        <w:spacing w:line="360" w:lineRule="auto"/>
        <w:ind w:firstLine="413" w:firstLineChars="196"/>
        <w:rPr>
          <w:rFonts w:ascii="宋体" w:hAnsi="宋体" w:cs="宋体"/>
          <w:color w:val="auto"/>
          <w:szCs w:val="21"/>
          <w:highlight w:val="none"/>
        </w:rPr>
      </w:pPr>
      <w:r>
        <w:rPr>
          <w:rFonts w:hint="eastAsia" w:ascii="宋体" w:hAnsi="宋体" w:cs="宋体"/>
          <w:b/>
          <w:color w:val="auto"/>
          <w:szCs w:val="21"/>
          <w:highlight w:val="none"/>
        </w:rPr>
        <w:t>五、交货条件：</w:t>
      </w:r>
    </w:p>
    <w:p>
      <w:pPr>
        <w:tabs>
          <w:tab w:val="left" w:pos="480"/>
        </w:tabs>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（一）交货地点：西安市胸科医院。</w:t>
      </w:r>
    </w:p>
    <w:p>
      <w:pPr>
        <w:tabs>
          <w:tab w:val="left" w:pos="480"/>
        </w:tabs>
        <w:snapToGrid w:val="0"/>
        <w:spacing w:line="360" w:lineRule="auto"/>
        <w:ind w:left="1890" w:leftChars="200" w:hanging="1470" w:hangingChars="700"/>
        <w:rPr>
          <w:rFonts w:ascii="宋体" w:hAnsi="宋体" w:cs="宋体"/>
          <w:color w:val="auto"/>
          <w:szCs w:val="21"/>
          <w:highlight w:val="none"/>
        </w:rPr>
      </w:pPr>
      <w:r>
        <w:rPr>
          <w:rFonts w:hint="eastAsia" w:ascii="宋体" w:hAnsi="宋体" w:cs="宋体"/>
          <w:color w:val="auto"/>
          <w:szCs w:val="21"/>
          <w:highlight w:val="none"/>
        </w:rPr>
        <w:t>（二）交货期：</w:t>
      </w:r>
      <w:r>
        <w:rPr>
          <w:rFonts w:hint="eastAsia" w:ascii="宋体" w:hAnsi="宋体" w:cs="宋体"/>
          <w:color w:val="auto"/>
          <w:szCs w:val="21"/>
          <w:highlight w:val="none"/>
        </w:rPr>
        <w:t>自合同签订之日起7个日历日内交货并安装调试完毕。</w:t>
      </w:r>
    </w:p>
    <w:p>
      <w:pPr>
        <w:tabs>
          <w:tab w:val="left" w:pos="480"/>
        </w:tabs>
        <w:snapToGrid w:val="0"/>
        <w:spacing w:line="360" w:lineRule="auto"/>
        <w:ind w:firstLine="413" w:firstLineChars="196"/>
        <w:rPr>
          <w:rFonts w:ascii="宋体" w:hAnsi="宋体" w:cs="宋体"/>
          <w:b/>
          <w:color w:val="auto"/>
          <w:szCs w:val="21"/>
          <w:highlight w:val="none"/>
        </w:rPr>
      </w:pPr>
      <w:r>
        <w:rPr>
          <w:rFonts w:hint="eastAsia" w:ascii="宋体" w:hAnsi="宋体" w:cs="宋体"/>
          <w:b/>
          <w:color w:val="auto"/>
          <w:szCs w:val="21"/>
          <w:highlight w:val="none"/>
        </w:rPr>
        <w:t>六、 运输</w:t>
      </w:r>
    </w:p>
    <w:p>
      <w:pPr>
        <w:tabs>
          <w:tab w:val="left" w:pos="480"/>
        </w:tabs>
        <w:snapToGrid w:val="0"/>
        <w:spacing w:line="360" w:lineRule="auto"/>
        <w:ind w:left="945" w:leftChars="200" w:hanging="525" w:hangingChars="250"/>
        <w:rPr>
          <w:rFonts w:ascii="宋体" w:hAnsi="宋体" w:cs="宋体"/>
          <w:color w:val="auto"/>
          <w:szCs w:val="21"/>
          <w:highlight w:val="none"/>
        </w:rPr>
      </w:pPr>
      <w:r>
        <w:rPr>
          <w:rFonts w:hint="eastAsia" w:ascii="宋体" w:hAnsi="宋体" w:cs="宋体"/>
          <w:color w:val="auto"/>
          <w:szCs w:val="21"/>
          <w:highlight w:val="none"/>
        </w:rPr>
        <w:t>（一）运输由乙方负责，运杂费已包含在合同总价内，包括从货物供应地点所含的运输费、装卸费、仓储费、保险费等。</w:t>
      </w:r>
    </w:p>
    <w:p>
      <w:pPr>
        <w:tabs>
          <w:tab w:val="left" w:pos="480"/>
        </w:tabs>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（二）运输方式由乙方自行选择，但必须保证按期交货。</w:t>
      </w:r>
    </w:p>
    <w:p>
      <w:pPr>
        <w:tabs>
          <w:tab w:val="left" w:pos="480"/>
        </w:tabs>
        <w:snapToGrid w:val="0"/>
        <w:spacing w:line="360" w:lineRule="auto"/>
        <w:ind w:firstLine="938" w:firstLineChars="445"/>
        <w:rPr>
          <w:rFonts w:ascii="宋体" w:hAnsi="宋体" w:cs="宋体"/>
          <w:b/>
          <w:color w:val="auto"/>
          <w:szCs w:val="21"/>
          <w:highlight w:val="none"/>
        </w:rPr>
      </w:pPr>
      <w:r>
        <w:rPr>
          <w:rFonts w:hint="eastAsia" w:ascii="宋体" w:hAnsi="宋体" w:cs="宋体"/>
          <w:b/>
          <w:color w:val="auto"/>
          <w:szCs w:val="21"/>
          <w:highlight w:val="none"/>
        </w:rPr>
        <w:t>包装要求</w:t>
      </w:r>
    </w:p>
    <w:p>
      <w:pPr>
        <w:tabs>
          <w:tab w:val="left" w:pos="480"/>
        </w:tabs>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（一）除合同另有规定外，乙方提供的全部货物，均应按标准保护措施进行包装。这类包装应适应于远距离运输、防潮、防震、防锈和防野蛮装卸，以确保货物安全无损运抵项目现场。</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（二）每一个包装箱内应附一份详细装箱单和质量合格证。</w:t>
      </w:r>
    </w:p>
    <w:p>
      <w:pPr>
        <w:snapToGrid w:val="0"/>
        <w:spacing w:line="360" w:lineRule="auto"/>
        <w:ind w:firstLine="938" w:firstLineChars="445"/>
        <w:rPr>
          <w:rFonts w:ascii="宋体" w:hAnsi="宋体" w:cs="宋体"/>
          <w:color w:val="auto"/>
          <w:szCs w:val="21"/>
          <w:highlight w:val="none"/>
        </w:rPr>
      </w:pPr>
      <w:r>
        <w:rPr>
          <w:rFonts w:hint="eastAsia" w:ascii="宋体" w:hAnsi="宋体" w:cs="宋体"/>
          <w:b/>
          <w:color w:val="auto"/>
          <w:szCs w:val="21"/>
          <w:highlight w:val="none"/>
        </w:rPr>
        <w:t>装运条件</w:t>
      </w:r>
    </w:p>
    <w:p>
      <w:pPr>
        <w:tabs>
          <w:tab w:val="left" w:pos="480"/>
        </w:tabs>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（一）乙方负责安排货物到达交货地点的一切运输，并承担运输费用。</w:t>
      </w:r>
    </w:p>
    <w:p>
      <w:pPr>
        <w:tabs>
          <w:tab w:val="left" w:pos="480"/>
        </w:tabs>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（二）乙方装运的货物不应超过合同规定的数量或重量。否则，乙方应对因超数量或重量而产生的一切后果负责。</w:t>
      </w:r>
    </w:p>
    <w:p>
      <w:pPr>
        <w:tabs>
          <w:tab w:val="left" w:pos="480"/>
        </w:tabs>
        <w:snapToGrid w:val="0"/>
        <w:spacing w:line="360" w:lineRule="auto"/>
        <w:ind w:firstLine="938" w:firstLineChars="445"/>
        <w:rPr>
          <w:rFonts w:ascii="宋体" w:hAnsi="宋体" w:cs="宋体"/>
          <w:b/>
          <w:color w:val="auto"/>
          <w:szCs w:val="21"/>
          <w:highlight w:val="none"/>
        </w:rPr>
      </w:pPr>
      <w:r>
        <w:rPr>
          <w:rFonts w:hint="eastAsia" w:ascii="宋体" w:hAnsi="宋体" w:cs="宋体"/>
          <w:b/>
          <w:color w:val="auto"/>
          <w:szCs w:val="21"/>
          <w:highlight w:val="none"/>
        </w:rPr>
        <w:t>保险</w:t>
      </w:r>
    </w:p>
    <w:p>
      <w:pPr>
        <w:tabs>
          <w:tab w:val="left" w:pos="480"/>
        </w:tabs>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保险范围应包括乙方装运的全部货物；由乙方办理货物在运抵目的港/项目现场途中的保险,保险应以人民币按照发票金额的110%办理“一切险”。</w:t>
      </w:r>
    </w:p>
    <w:p>
      <w:pPr>
        <w:tabs>
          <w:tab w:val="left" w:pos="480"/>
        </w:tabs>
        <w:snapToGrid w:val="0"/>
        <w:spacing w:line="360" w:lineRule="auto"/>
        <w:ind w:firstLine="413" w:firstLineChars="196"/>
        <w:rPr>
          <w:rFonts w:ascii="宋体" w:hAnsi="宋体" w:cs="宋体"/>
          <w:b/>
          <w:color w:val="auto"/>
          <w:szCs w:val="21"/>
          <w:highlight w:val="none"/>
        </w:rPr>
      </w:pPr>
      <w:r>
        <w:rPr>
          <w:rFonts w:hint="eastAsia" w:ascii="宋体" w:hAnsi="宋体" w:cs="宋体"/>
          <w:b/>
          <w:color w:val="auto"/>
          <w:szCs w:val="21"/>
          <w:highlight w:val="none"/>
        </w:rPr>
        <w:t>七、质量保证及索赔</w:t>
      </w:r>
    </w:p>
    <w:p>
      <w:pPr>
        <w:tabs>
          <w:tab w:val="left" w:pos="480"/>
        </w:tabs>
        <w:snapToGrid w:val="0"/>
        <w:spacing w:line="360" w:lineRule="auto"/>
        <w:ind w:firstLine="411" w:firstLineChars="196"/>
        <w:rPr>
          <w:rFonts w:ascii="宋体" w:hAnsi="宋体" w:cs="宋体"/>
          <w:color w:val="auto"/>
          <w:szCs w:val="21"/>
          <w:highlight w:val="none"/>
        </w:rPr>
      </w:pPr>
      <w:r>
        <w:rPr>
          <w:rFonts w:hint="eastAsia" w:ascii="宋体" w:hAnsi="宋体" w:cs="宋体"/>
          <w:color w:val="auto"/>
          <w:szCs w:val="21"/>
          <w:highlight w:val="none"/>
        </w:rPr>
        <w:t>乙方所供货物必须执行下列条款：</w:t>
      </w:r>
    </w:p>
    <w:p>
      <w:pPr>
        <w:tabs>
          <w:tab w:val="left" w:pos="480"/>
        </w:tabs>
        <w:snapToGrid w:val="0"/>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一）保证技术指标先进、质量性能可靠、进货渠道正常，配置合理，全面满足谈判要求。货物的质量技术标准按国家法律法规规定的标准，招标文件和乙方投标文件所需求的技术标准执行。进口产品保证是原产地生产的原装产品，否则按退货处理。</w:t>
      </w:r>
    </w:p>
    <w:p>
      <w:pPr>
        <w:tabs>
          <w:tab w:val="left" w:pos="480"/>
        </w:tabs>
        <w:snapToGrid w:val="0"/>
        <w:spacing w:line="360" w:lineRule="auto"/>
        <w:ind w:left="416" w:leftChars="198"/>
        <w:rPr>
          <w:rFonts w:ascii="宋体" w:hAnsi="宋体" w:cs="宋体"/>
          <w:color w:val="auto"/>
          <w:szCs w:val="21"/>
          <w:highlight w:val="none"/>
        </w:rPr>
      </w:pPr>
      <w:r>
        <w:rPr>
          <w:rFonts w:hint="eastAsia" w:ascii="宋体" w:hAnsi="宋体" w:cs="宋体"/>
          <w:color w:val="auto"/>
          <w:szCs w:val="21"/>
          <w:highlight w:val="none"/>
        </w:rPr>
        <w:t>（二）应提供设备的技术白皮书，投标响应及参数数据应和设备的技术白皮书一致，在验收时发现不一致，合同自动终止，并追究其相应的法律责任。</w:t>
      </w:r>
    </w:p>
    <w:p>
      <w:pPr>
        <w:tabs>
          <w:tab w:val="left" w:pos="480"/>
        </w:tabs>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（三）符合国家有关规范要求，确保达到最佳运行状态。</w:t>
      </w:r>
    </w:p>
    <w:p>
      <w:pPr>
        <w:tabs>
          <w:tab w:val="left" w:pos="480"/>
        </w:tabs>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（四）具有良好的外观，适合安装场所的使用。</w:t>
      </w:r>
    </w:p>
    <w:p>
      <w:pPr>
        <w:tabs>
          <w:tab w:val="left" w:pos="480"/>
        </w:tabs>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（五）自安装、调试正常运行并验收合格之日起：</w:t>
      </w:r>
    </w:p>
    <w:p>
      <w:pPr>
        <w:tabs>
          <w:tab w:val="left" w:pos="480"/>
        </w:tabs>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1、设备主机及所配探头原厂质保</w:t>
      </w:r>
      <w:r>
        <w:rPr>
          <w:rFonts w:hint="eastAsia" w:ascii="宋体" w:hAnsi="宋体" w:cs="宋体"/>
          <w:b/>
          <w:bCs/>
          <w:color w:val="auto"/>
          <w:szCs w:val="21"/>
          <w:highlight w:val="none"/>
          <w:lang w:val="zh-CN"/>
        </w:rPr>
        <w:t>XX</w:t>
      </w:r>
      <w:r>
        <w:rPr>
          <w:rFonts w:hint="eastAsia" w:ascii="宋体" w:hAnsi="宋体" w:cs="宋体"/>
          <w:color w:val="auto"/>
          <w:szCs w:val="21"/>
          <w:highlight w:val="none"/>
        </w:rPr>
        <w:t>年（非人为损坏，质保期内主机及探头损坏可免费维修或更换），设备所配附件质保</w:t>
      </w:r>
      <w:r>
        <w:rPr>
          <w:rFonts w:hint="eastAsia" w:ascii="宋体" w:hAnsi="宋体" w:cs="宋体"/>
          <w:b/>
          <w:bCs/>
          <w:color w:val="auto"/>
          <w:szCs w:val="21"/>
          <w:highlight w:val="none"/>
          <w:lang w:val="zh-CN"/>
        </w:rPr>
        <w:t>XX</w:t>
      </w:r>
      <w:r>
        <w:rPr>
          <w:rFonts w:hint="eastAsia" w:ascii="宋体" w:hAnsi="宋体" w:cs="宋体"/>
          <w:color w:val="auto"/>
          <w:szCs w:val="21"/>
          <w:highlight w:val="none"/>
        </w:rPr>
        <w:t>年，终身维修（只收取相应的材料成本费用）。质保期内，设备出现故障时，乙方在接到故障报告后</w:t>
      </w:r>
      <w:r>
        <w:rPr>
          <w:rFonts w:hint="eastAsia" w:ascii="宋体" w:hAnsi="宋体" w:cs="宋体"/>
          <w:b/>
          <w:bCs/>
          <w:color w:val="auto"/>
          <w:szCs w:val="21"/>
          <w:highlight w:val="none"/>
          <w:lang w:val="zh-CN"/>
        </w:rPr>
        <w:t>XX</w:t>
      </w:r>
      <w:r>
        <w:rPr>
          <w:rFonts w:hint="eastAsia" w:ascii="宋体" w:hAnsi="宋体" w:cs="宋体"/>
          <w:color w:val="auto"/>
          <w:szCs w:val="21"/>
          <w:highlight w:val="none"/>
        </w:rPr>
        <w:t>分钟内响应，</w:t>
      </w:r>
      <w:r>
        <w:rPr>
          <w:rFonts w:hint="eastAsia" w:ascii="宋体" w:hAnsi="宋体" w:cs="宋体"/>
          <w:b/>
          <w:bCs/>
          <w:color w:val="auto"/>
          <w:szCs w:val="21"/>
          <w:highlight w:val="none"/>
          <w:lang w:val="zh-CN"/>
        </w:rPr>
        <w:t>XX</w:t>
      </w:r>
      <w:r>
        <w:rPr>
          <w:rFonts w:hint="eastAsia" w:ascii="宋体" w:hAnsi="宋体" w:cs="宋体"/>
          <w:color w:val="auto"/>
          <w:szCs w:val="21"/>
          <w:highlight w:val="none"/>
        </w:rPr>
        <w:t>小时内给出解决方案，</w:t>
      </w:r>
      <w:r>
        <w:rPr>
          <w:rFonts w:hint="eastAsia" w:ascii="宋体" w:hAnsi="宋体" w:cs="宋体"/>
          <w:b/>
          <w:bCs/>
          <w:color w:val="auto"/>
          <w:szCs w:val="21"/>
          <w:highlight w:val="none"/>
          <w:lang w:val="zh-CN"/>
        </w:rPr>
        <w:t>XX</w:t>
      </w:r>
      <w:r>
        <w:rPr>
          <w:rFonts w:hint="eastAsia" w:ascii="宋体" w:hAnsi="宋体" w:cs="宋体"/>
          <w:color w:val="auto"/>
          <w:szCs w:val="21"/>
          <w:highlight w:val="none"/>
        </w:rPr>
        <w:t>小时到达现场，如乙方未及时到场维修，甲方有权委托第三方予以维修，由此产生的一切费用由乙方承担，甲方有权在应付款项中或履约保函中直接扣除，乙方无任何异议；质保期内，同一主要部件出现质量问题经过两次维修后仍无法正常使用，乙方免费更换同型号、同规格的产品。</w:t>
      </w:r>
    </w:p>
    <w:p>
      <w:pPr>
        <w:tabs>
          <w:tab w:val="left" w:pos="480"/>
        </w:tabs>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2、自安装、调试正常运行并验收合格之日起，</w:t>
      </w:r>
      <w:r>
        <w:rPr>
          <w:rFonts w:hint="eastAsia" w:ascii="宋体" w:hAnsi="宋体" w:cs="宋体"/>
          <w:b/>
          <w:bCs/>
          <w:color w:val="auto"/>
          <w:szCs w:val="21"/>
          <w:highlight w:val="none"/>
          <w:lang w:val="zh-CN"/>
        </w:rPr>
        <w:t>XX</w:t>
      </w:r>
      <w:r>
        <w:rPr>
          <w:rFonts w:hint="eastAsia" w:ascii="宋体" w:hAnsi="宋体" w:cs="宋体"/>
          <w:color w:val="auto"/>
          <w:szCs w:val="21"/>
          <w:highlight w:val="none"/>
        </w:rPr>
        <w:t>个工作日内，如出现质量问题，甲方有权要求乙方换货或退货，乙方无条件接受，如不换货、退货的，甲方有权直接退回乙方，并自行采购，</w:t>
      </w:r>
      <w:r>
        <w:rPr>
          <w:rFonts w:hint="eastAsia" w:ascii="宋体" w:hAnsi="宋体" w:cs="宋体"/>
          <w:color w:val="auto"/>
          <w:szCs w:val="21"/>
          <w:highlight w:val="none"/>
        </w:rPr>
        <w:t>并要求其承担合同总价款30%的违约金</w:t>
      </w:r>
      <w:r>
        <w:rPr>
          <w:rFonts w:hint="eastAsia" w:ascii="宋体" w:hAnsi="宋体" w:cs="宋体"/>
          <w:color w:val="auto"/>
          <w:szCs w:val="21"/>
          <w:highlight w:val="none"/>
        </w:rPr>
        <w:t>。</w:t>
      </w:r>
    </w:p>
    <w:p>
      <w:pPr>
        <w:tabs>
          <w:tab w:val="left" w:pos="480"/>
        </w:tabs>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w:t>
      </w:r>
      <w:r>
        <w:rPr>
          <w:rFonts w:hint="eastAsia" w:ascii="宋体" w:hAnsi="宋体" w:cs="宋体"/>
          <w:color w:val="auto"/>
          <w:szCs w:val="21"/>
          <w:highlight w:val="none"/>
        </w:rPr>
        <w:t>不得对设备设置密码，否则要求其承担合同总价款的30%的违约金</w:t>
      </w:r>
      <w:r>
        <w:rPr>
          <w:rFonts w:hint="eastAsia" w:ascii="宋体" w:hAnsi="宋体" w:cs="宋体"/>
          <w:color w:val="auto"/>
          <w:szCs w:val="21"/>
          <w:highlight w:val="none"/>
        </w:rPr>
        <w:t>。</w:t>
      </w:r>
    </w:p>
    <w:p>
      <w:pPr>
        <w:tabs>
          <w:tab w:val="left" w:pos="480"/>
        </w:tabs>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4、附设备清单及质保期后保养维修报价清单。</w:t>
      </w:r>
    </w:p>
    <w:p>
      <w:pPr>
        <w:tabs>
          <w:tab w:val="left" w:pos="480"/>
        </w:tabs>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5、保证设备连续正常运行叁年，所需各种易损件、备品备件和专用维修工具等所产生费用由乙方自行承担，并免费安装、调试。</w:t>
      </w:r>
    </w:p>
    <w:p>
      <w:pPr>
        <w:tabs>
          <w:tab w:val="left" w:pos="480"/>
        </w:tabs>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6、免费提供软件升级和更新。</w:t>
      </w:r>
    </w:p>
    <w:p>
      <w:pPr>
        <w:tabs>
          <w:tab w:val="left" w:pos="480"/>
        </w:tabs>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六）乙方保证所供货物是全新的、出厂≤12个月，未使用过的，并完全符合合同规定的质量、规格、技术指标(包括合同附件)等要求。乙方应保证其货物在正确安装、正常使用和保养条件下，在其使用寿命内应具有满意的性能。在货物最终验收后的质量保证期内，乙方应对由于设计、工艺或材料的缺陷而产生的故障负责。质保期满后如出现此类问题亦应负责，并免费进行退、换、修等直至故障消除。乙方承诺不因质保期届满而拒绝处理。</w:t>
      </w:r>
    </w:p>
    <w:p>
      <w:pPr>
        <w:tabs>
          <w:tab w:val="left" w:pos="480"/>
        </w:tabs>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（七）在质保期内，如果货物的质量、规格、技术指标等与合同有任何一项不符，甲方应尽快以书面形式向乙方提出索赔，乙方应及时响应并解决。</w:t>
      </w:r>
    </w:p>
    <w:p>
      <w:pPr>
        <w:snapToGrid w:val="0"/>
        <w:spacing w:line="360" w:lineRule="auto"/>
        <w:ind w:firstLine="211" w:firstLineChars="100"/>
        <w:rPr>
          <w:rFonts w:ascii="宋体" w:hAnsi="宋体" w:cs="宋体"/>
          <w:b/>
          <w:color w:val="auto"/>
          <w:szCs w:val="21"/>
          <w:highlight w:val="none"/>
        </w:rPr>
      </w:pPr>
      <w:r>
        <w:rPr>
          <w:rFonts w:hint="eastAsia" w:ascii="宋体" w:hAnsi="宋体" w:cs="宋体"/>
          <w:b/>
          <w:color w:val="auto"/>
          <w:szCs w:val="21"/>
          <w:highlight w:val="none"/>
        </w:rPr>
        <w:t>八、售后服务</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乙方所供货物提供以下售后服务：</w:t>
      </w:r>
    </w:p>
    <w:p>
      <w:pPr>
        <w:numPr>
          <w:ilvl w:val="0"/>
          <w:numId w:val="4"/>
        </w:num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质保期内：</w:t>
      </w:r>
    </w:p>
    <w:p>
      <w:pPr>
        <w:snapToGrid w:val="0"/>
        <w:spacing w:line="360" w:lineRule="auto"/>
        <w:ind w:left="420"/>
        <w:rPr>
          <w:rFonts w:ascii="宋体" w:hAnsi="宋体" w:cs="宋体"/>
          <w:color w:val="auto"/>
          <w:szCs w:val="21"/>
          <w:highlight w:val="none"/>
        </w:rPr>
      </w:pPr>
      <w:r>
        <w:rPr>
          <w:rFonts w:hint="eastAsia" w:ascii="宋体" w:hAnsi="宋体" w:cs="宋体"/>
          <w:color w:val="auto"/>
          <w:szCs w:val="21"/>
          <w:highlight w:val="none"/>
        </w:rPr>
        <w:t>1、质保期为</w:t>
      </w:r>
      <w:r>
        <w:rPr>
          <w:rFonts w:hint="eastAsia" w:ascii="宋体" w:hAnsi="宋体" w:cs="宋体"/>
          <w:b/>
          <w:bCs/>
          <w:color w:val="auto"/>
          <w:szCs w:val="21"/>
          <w:highlight w:val="none"/>
          <w:lang w:val="zh-CN"/>
        </w:rPr>
        <w:t>XX</w:t>
      </w:r>
      <w:r>
        <w:rPr>
          <w:rFonts w:hint="eastAsia" w:ascii="宋体" w:hAnsi="宋体" w:cs="宋体"/>
          <w:color w:val="auto"/>
          <w:szCs w:val="21"/>
          <w:highlight w:val="none"/>
        </w:rPr>
        <w:t>年；</w:t>
      </w:r>
    </w:p>
    <w:p>
      <w:pPr>
        <w:snapToGrid w:val="0"/>
        <w:spacing w:line="360" w:lineRule="auto"/>
        <w:ind w:left="420"/>
        <w:rPr>
          <w:rFonts w:ascii="宋体" w:hAnsi="宋体" w:cs="宋体"/>
          <w:color w:val="auto"/>
          <w:szCs w:val="21"/>
          <w:highlight w:val="none"/>
        </w:rPr>
      </w:pPr>
      <w:r>
        <w:rPr>
          <w:rFonts w:hint="eastAsia" w:ascii="宋体" w:hAnsi="宋体" w:cs="宋体"/>
          <w:color w:val="auto"/>
          <w:szCs w:val="21"/>
          <w:highlight w:val="none"/>
        </w:rPr>
        <w:t>2、发生质量（包括软件部分）问题，接到甲方通知后，应于当日派出专业的维修人员到现场进行检测维修。发生的全部费用由乙方承担，若需送回生产厂，乙方承担往返费用；</w:t>
      </w:r>
    </w:p>
    <w:p>
      <w:pPr>
        <w:snapToGrid w:val="0"/>
        <w:spacing w:line="360" w:lineRule="auto"/>
        <w:ind w:left="420"/>
        <w:rPr>
          <w:rFonts w:ascii="宋体" w:hAnsi="宋体" w:cs="宋体"/>
          <w:color w:val="auto"/>
          <w:szCs w:val="21"/>
          <w:highlight w:val="none"/>
        </w:rPr>
      </w:pPr>
      <w:r>
        <w:rPr>
          <w:rFonts w:hint="eastAsia" w:ascii="宋体" w:hAnsi="宋体" w:cs="宋体"/>
          <w:color w:val="auto"/>
          <w:szCs w:val="21"/>
          <w:highlight w:val="none"/>
        </w:rPr>
        <w:t>3、每月派技术人员到现场走访，给予检查维护；</w:t>
      </w:r>
    </w:p>
    <w:p>
      <w:pPr>
        <w:snapToGrid w:val="0"/>
        <w:spacing w:line="360" w:lineRule="auto"/>
        <w:ind w:left="420"/>
        <w:rPr>
          <w:rFonts w:ascii="宋体" w:hAnsi="宋体" w:cs="宋体"/>
          <w:color w:val="auto"/>
          <w:szCs w:val="21"/>
          <w:highlight w:val="none"/>
        </w:rPr>
      </w:pPr>
      <w:r>
        <w:rPr>
          <w:rFonts w:hint="eastAsia" w:ascii="宋体" w:hAnsi="宋体" w:cs="宋体"/>
          <w:color w:val="auto"/>
          <w:szCs w:val="21"/>
          <w:highlight w:val="none"/>
        </w:rPr>
        <w:t>4、排除故障的期限不得超过</w:t>
      </w:r>
      <w:r>
        <w:rPr>
          <w:rFonts w:hint="eastAsia" w:ascii="宋体" w:hAnsi="宋体" w:cs="宋体"/>
          <w:b/>
          <w:bCs/>
          <w:color w:val="auto"/>
          <w:szCs w:val="21"/>
          <w:highlight w:val="none"/>
          <w:lang w:val="zh-CN"/>
        </w:rPr>
        <w:t>XX</w:t>
      </w:r>
      <w:r>
        <w:rPr>
          <w:rFonts w:hint="eastAsia" w:ascii="宋体" w:hAnsi="宋体" w:cs="宋体"/>
          <w:color w:val="auto"/>
          <w:szCs w:val="21"/>
          <w:highlight w:val="none"/>
        </w:rPr>
        <w:t>小时。否则甲方有权指定第三方维修，维修费用由乙方承担。甲方可在货款和其他应付乙方款项中、乙方提供履约保函中扣除。</w:t>
      </w:r>
    </w:p>
    <w:p>
      <w:pPr>
        <w:snapToGrid w:val="0"/>
        <w:spacing w:line="360" w:lineRule="auto"/>
        <w:ind w:left="420"/>
        <w:rPr>
          <w:rFonts w:ascii="宋体" w:hAnsi="宋体" w:cs="宋体"/>
          <w:color w:val="auto"/>
          <w:szCs w:val="21"/>
          <w:highlight w:val="none"/>
        </w:rPr>
      </w:pPr>
      <w:r>
        <w:rPr>
          <w:rFonts w:hint="eastAsia" w:ascii="宋体" w:hAnsi="宋体" w:cs="宋体"/>
          <w:color w:val="auto"/>
          <w:szCs w:val="21"/>
          <w:highlight w:val="none"/>
        </w:rPr>
        <w:t>5、如因乙方物品质量问题，导致甲方损失，乙方应予以赔偿。</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（二）质保期结束前，进行系统测试，全面保养维护，确保正常运行。</w:t>
      </w:r>
    </w:p>
    <w:p>
      <w:pPr>
        <w:tabs>
          <w:tab w:val="left" w:pos="480"/>
        </w:tabs>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（三）质保期结束后，厂家对设备终身维护，维修只能按市场最低价收取配件费，人工服务费全免，并提供技术支持。</w:t>
      </w:r>
    </w:p>
    <w:p>
      <w:pPr>
        <w:tabs>
          <w:tab w:val="left" w:pos="480"/>
        </w:tabs>
        <w:snapToGrid w:val="0"/>
        <w:spacing w:line="360" w:lineRule="auto"/>
        <w:ind w:firstLine="422" w:firstLineChars="200"/>
        <w:rPr>
          <w:rFonts w:ascii="宋体" w:hAnsi="宋体" w:cs="宋体"/>
          <w:b/>
          <w:color w:val="auto"/>
          <w:szCs w:val="21"/>
          <w:highlight w:val="none"/>
        </w:rPr>
      </w:pPr>
      <w:r>
        <w:rPr>
          <w:rFonts w:hint="eastAsia" w:ascii="宋体" w:hAnsi="宋体" w:cs="宋体"/>
          <w:b/>
          <w:color w:val="auto"/>
          <w:szCs w:val="21"/>
          <w:highlight w:val="none"/>
        </w:rPr>
        <w:t>九、技术与服务</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（一）技术资料：</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1、货物使用说明书（中文对照）；</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2、检验测试报告；</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3、货物使用次数：不少于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次，并提供相关资料；</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4、其它资料</w:t>
      </w:r>
      <w:r>
        <w:rPr>
          <w:rFonts w:hint="eastAsia" w:ascii="宋体" w:hAnsi="宋体" w:cs="宋体"/>
          <w:color w:val="auto"/>
          <w:szCs w:val="21"/>
          <w:highlight w:val="none"/>
        </w:rPr>
        <w:t>。</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（二）服务承诺：以谈判响应文件、澄清表（函）、合同和随货物的相关文件为准。</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（三）伴随服务</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1.乙方应随同每套货物提供相应的每一套设备和仪器的中文的技术文件。例如：产品目录、图纸、操作手册、使用说明、维护手册或服务指南等；</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2.对于合同附件中有要求的货物，乙方还应提供下列服务：</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1）货物的现场安装、调试和启动监督；</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2）提供货物组装和维修所需的工具，提供货物调试所需的耗材等。</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3）在双方商定的一定期限内对所供货物实施运行监督、维修，但前提条件是该服务并不能免除乙方在质量保证期应承担的义务。</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4）在厂家或在项目现场就货物的安装、启动、运营、维护对甲方人员进行培训。</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3.伴随服务的费用已含在合同价中，不单独进行支付。</w:t>
      </w:r>
    </w:p>
    <w:p>
      <w:pPr>
        <w:tabs>
          <w:tab w:val="left" w:pos="480"/>
        </w:tabs>
        <w:snapToGrid w:val="0"/>
        <w:spacing w:line="360" w:lineRule="auto"/>
        <w:ind w:firstLine="422" w:firstLineChars="200"/>
        <w:rPr>
          <w:rFonts w:ascii="宋体" w:hAnsi="宋体" w:cs="宋体"/>
          <w:b/>
          <w:color w:val="auto"/>
          <w:szCs w:val="21"/>
          <w:highlight w:val="none"/>
        </w:rPr>
      </w:pPr>
      <w:r>
        <w:rPr>
          <w:rFonts w:hint="eastAsia" w:ascii="宋体" w:hAnsi="宋体" w:cs="宋体"/>
          <w:b/>
          <w:color w:val="auto"/>
          <w:szCs w:val="21"/>
          <w:highlight w:val="none"/>
        </w:rPr>
        <w:t>十、培训</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全程由乙方提供专业临床医生现场培训操作，地点在当地或者省会中心城市，保证使用人员正常操作设备。包括设备操作、日常维护及保养、简单的故障排查与维修等内容，受培训人员不限，以受培训人员熟练掌握技术并能开展工作为原则，乙方应当随时响应甲方使用人员咨询；乙方提供国内知名三甲医院核医学科培训</w:t>
      </w:r>
      <w:r>
        <w:rPr>
          <w:rFonts w:hint="eastAsia" w:ascii="宋体" w:hAnsi="宋体" w:cs="宋体"/>
          <w:b/>
          <w:bCs/>
          <w:color w:val="auto"/>
          <w:szCs w:val="21"/>
          <w:highlight w:val="none"/>
          <w:lang w:val="zh-CN"/>
        </w:rPr>
        <w:t>XX</w:t>
      </w:r>
      <w:r>
        <w:rPr>
          <w:rFonts w:hint="eastAsia" w:ascii="宋体" w:hAnsi="宋体" w:cs="宋体"/>
          <w:color w:val="auto"/>
          <w:szCs w:val="21"/>
          <w:highlight w:val="none"/>
        </w:rPr>
        <w:t>人次，培训时间不小于</w:t>
      </w:r>
      <w:r>
        <w:rPr>
          <w:rFonts w:hint="eastAsia" w:ascii="宋体" w:hAnsi="宋体" w:cs="宋体"/>
          <w:b/>
          <w:bCs/>
          <w:color w:val="auto"/>
          <w:szCs w:val="21"/>
          <w:highlight w:val="none"/>
          <w:lang w:val="zh-CN"/>
        </w:rPr>
        <w:t>XX</w:t>
      </w:r>
      <w:r>
        <w:rPr>
          <w:rFonts w:hint="eastAsia" w:ascii="宋体" w:hAnsi="宋体" w:cs="宋体"/>
          <w:color w:val="auto"/>
          <w:szCs w:val="21"/>
          <w:highlight w:val="none"/>
        </w:rPr>
        <w:t>个月/人次，甲方要求乙方提供培训的，乙方应当优先安排，所有费用由乙方承担。</w:t>
      </w:r>
    </w:p>
    <w:p>
      <w:pPr>
        <w:tabs>
          <w:tab w:val="left" w:pos="480"/>
        </w:tabs>
        <w:snapToGrid w:val="0"/>
        <w:spacing w:line="360" w:lineRule="auto"/>
        <w:ind w:firstLine="420" w:firstLineChars="199"/>
        <w:rPr>
          <w:rFonts w:ascii="宋体" w:hAnsi="宋体" w:cs="宋体"/>
          <w:b/>
          <w:color w:val="auto"/>
          <w:szCs w:val="21"/>
          <w:highlight w:val="none"/>
        </w:rPr>
      </w:pPr>
      <w:r>
        <w:rPr>
          <w:rFonts w:hint="eastAsia" w:ascii="宋体" w:hAnsi="宋体" w:cs="宋体"/>
          <w:b/>
          <w:color w:val="auto"/>
          <w:szCs w:val="21"/>
          <w:highlight w:val="none"/>
        </w:rPr>
        <w:t>十一、验收</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（一）货物到达甲方指定地点后，甲方根据合同要求，</w:t>
      </w:r>
      <w:r>
        <w:rPr>
          <w:rFonts w:hint="eastAsia" w:ascii="宋体" w:hAnsi="宋体" w:cs="宋体"/>
          <w:color w:val="auto"/>
          <w:szCs w:val="21"/>
          <w:highlight w:val="none"/>
        </w:rPr>
        <w:t>甲乙双方共同进行外观验收</w:t>
      </w:r>
      <w:r>
        <w:rPr>
          <w:rFonts w:hint="eastAsia" w:ascii="宋体" w:hAnsi="宋体" w:cs="宋体"/>
          <w:color w:val="auto"/>
          <w:szCs w:val="21"/>
          <w:highlight w:val="none"/>
        </w:rPr>
        <w:t>，确认产地、规格、型号和数量。外观验收，不作为付款条件也不免除乙方在本协议项下应承担的义务和责任，甲方保留对设备提出异议的权利。</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（二）货物安装、调试并正常运行后，由乙方进行自检，合格后，准备验收文件，并书面通知甲方。</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（三）甲方确认乙方的自检内容后，组织乙方（必要时请有关专家）进行系统验收，验收合格后，填写设备验收单（一式四份）作为对货物的最终认可。</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（四）乙方向甲方提交货物实施过程中的所有资料，以便甲方日后管理和维护。</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（五）验收依据：</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1、投标文件、投标响应文件；</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2、本合同及附件文本；</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3、国家、行业相应的标准、规范。</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（六）检验：</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1、在交货前，制造商应对设备的质量、规格、数量等进行准确而全面的检验，并出具合格证、产品说明书等材料，随设备共同交甲方。</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rPr>
        <w:t>设备到货后，由甲方根据合同要求进行本条约定的验收事宜。验收完成后，填写政府采购设备验收单，并由甲、乙、鉴证方加盖公章确认，以便办理结算手续</w:t>
      </w:r>
      <w:r>
        <w:rPr>
          <w:rFonts w:hint="eastAsia" w:ascii="宋体" w:hAnsi="宋体" w:cs="宋体"/>
          <w:color w:val="auto"/>
          <w:szCs w:val="21"/>
          <w:highlight w:val="none"/>
        </w:rPr>
        <w:t>。</w:t>
      </w:r>
    </w:p>
    <w:p>
      <w:pPr>
        <w:tabs>
          <w:tab w:val="left" w:pos="480"/>
        </w:tabs>
        <w:snapToGrid w:val="0"/>
        <w:spacing w:line="360" w:lineRule="auto"/>
        <w:ind w:left="1111" w:leftChars="228" w:hanging="632" w:hangingChars="300"/>
        <w:rPr>
          <w:rFonts w:ascii="宋体" w:hAnsi="宋体" w:cs="宋体"/>
          <w:b/>
          <w:color w:val="auto"/>
          <w:szCs w:val="21"/>
          <w:highlight w:val="none"/>
        </w:rPr>
      </w:pPr>
      <w:r>
        <w:rPr>
          <w:rFonts w:hint="eastAsia" w:ascii="宋体" w:hAnsi="宋体" w:cs="宋体"/>
          <w:b/>
          <w:color w:val="auto"/>
          <w:szCs w:val="21"/>
          <w:highlight w:val="none"/>
        </w:rPr>
        <w:t>十二、乙方履约延误</w:t>
      </w:r>
    </w:p>
    <w:p>
      <w:pPr>
        <w:numPr>
          <w:ilvl w:val="0"/>
          <w:numId w:val="5"/>
        </w:numPr>
        <w:snapToGrid w:val="0"/>
        <w:spacing w:line="360" w:lineRule="auto"/>
        <w:rPr>
          <w:rFonts w:ascii="宋体" w:hAnsi="宋体" w:cs="宋体"/>
          <w:color w:val="auto"/>
          <w:szCs w:val="21"/>
          <w:highlight w:val="none"/>
        </w:rPr>
      </w:pPr>
      <w:r>
        <w:rPr>
          <w:rFonts w:hint="eastAsia" w:ascii="宋体" w:hAnsi="宋体" w:cs="宋体"/>
          <w:color w:val="auto"/>
          <w:szCs w:val="21"/>
          <w:highlight w:val="none"/>
        </w:rPr>
        <w:t>如乙方事先未征得甲方同意并得到甲方的谅解而单方面延迟交货，将按违约终止合同。</w:t>
      </w:r>
    </w:p>
    <w:p>
      <w:pPr>
        <w:numPr>
          <w:ilvl w:val="0"/>
          <w:numId w:val="5"/>
        </w:numPr>
        <w:snapToGrid w:val="0"/>
        <w:spacing w:line="360" w:lineRule="auto"/>
        <w:rPr>
          <w:rFonts w:ascii="宋体" w:hAnsi="宋体" w:cs="宋体"/>
          <w:color w:val="auto"/>
          <w:szCs w:val="21"/>
          <w:highlight w:val="none"/>
        </w:rPr>
      </w:pPr>
      <w:r>
        <w:rPr>
          <w:rFonts w:hint="eastAsia" w:ascii="宋体" w:hAnsi="宋体" w:cs="宋体"/>
          <w:color w:val="auto"/>
          <w:szCs w:val="21"/>
          <w:highlight w:val="none"/>
        </w:rPr>
        <w:t>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误期赔偿金以每日5 ‰计</w:t>
      </w:r>
      <w:r>
        <w:rPr>
          <w:rFonts w:hint="eastAsia" w:ascii="宋体" w:hAnsi="宋体" w:cs="宋体"/>
          <w:color w:val="auto"/>
          <w:szCs w:val="21"/>
          <w:highlight w:val="none"/>
        </w:rPr>
        <w:t>。</w:t>
      </w:r>
    </w:p>
    <w:p>
      <w:pPr>
        <w:tabs>
          <w:tab w:val="left" w:pos="480"/>
        </w:tabs>
        <w:snapToGrid w:val="0"/>
        <w:spacing w:line="360" w:lineRule="auto"/>
        <w:ind w:firstLine="422" w:firstLineChars="200"/>
        <w:rPr>
          <w:rFonts w:ascii="宋体" w:hAnsi="宋体" w:cs="宋体"/>
          <w:b/>
          <w:color w:val="auto"/>
          <w:szCs w:val="21"/>
          <w:highlight w:val="none"/>
        </w:rPr>
      </w:pPr>
      <w:r>
        <w:rPr>
          <w:rFonts w:hint="eastAsia" w:ascii="宋体" w:hAnsi="宋体" w:cs="宋体"/>
          <w:b/>
          <w:color w:val="auto"/>
          <w:szCs w:val="21"/>
          <w:highlight w:val="none"/>
        </w:rPr>
        <w:t>十三、违约责任</w:t>
      </w:r>
    </w:p>
    <w:p>
      <w:pPr>
        <w:numPr>
          <w:ilvl w:val="0"/>
          <w:numId w:val="6"/>
        </w:numPr>
        <w:snapToGrid w:val="0"/>
        <w:spacing w:line="360" w:lineRule="auto"/>
        <w:rPr>
          <w:rFonts w:ascii="宋体" w:hAnsi="宋体" w:cs="宋体"/>
          <w:color w:val="auto"/>
          <w:szCs w:val="21"/>
          <w:highlight w:val="none"/>
        </w:rPr>
      </w:pPr>
      <w:r>
        <w:rPr>
          <w:rFonts w:hint="eastAsia" w:ascii="宋体" w:hAnsi="宋体" w:cs="宋体"/>
          <w:color w:val="auto"/>
          <w:szCs w:val="21"/>
          <w:highlight w:val="none"/>
        </w:rPr>
        <w:t>按《政府采购法》、《民法典》中的相关条款执行。</w:t>
      </w:r>
    </w:p>
    <w:p>
      <w:pPr>
        <w:numPr>
          <w:ilvl w:val="0"/>
          <w:numId w:val="6"/>
        </w:numPr>
        <w:snapToGrid w:val="0"/>
        <w:spacing w:line="360" w:lineRule="auto"/>
        <w:rPr>
          <w:rFonts w:ascii="宋体" w:hAnsi="宋体" w:cs="宋体"/>
          <w:color w:val="auto"/>
          <w:szCs w:val="21"/>
          <w:highlight w:val="none"/>
        </w:rPr>
      </w:pPr>
      <w:r>
        <w:rPr>
          <w:rFonts w:hint="eastAsia" w:ascii="宋体" w:hAnsi="宋体" w:cs="宋体"/>
          <w:color w:val="auto"/>
          <w:szCs w:val="21"/>
          <w:highlight w:val="none"/>
        </w:rPr>
        <w:t>供方的违约责任：</w:t>
      </w:r>
    </w:p>
    <w:p>
      <w:pPr>
        <w:snapToGrid w:val="0"/>
        <w:spacing w:line="360" w:lineRule="auto"/>
        <w:ind w:left="420"/>
        <w:rPr>
          <w:rFonts w:ascii="宋体" w:hAnsi="宋体" w:cs="宋体"/>
          <w:color w:val="auto"/>
          <w:szCs w:val="21"/>
          <w:highlight w:val="none"/>
        </w:rPr>
      </w:pPr>
      <w:r>
        <w:rPr>
          <w:rFonts w:hint="eastAsia" w:ascii="宋体" w:hAnsi="宋体" w:cs="宋体"/>
          <w:color w:val="auto"/>
          <w:szCs w:val="21"/>
          <w:highlight w:val="none"/>
        </w:rPr>
        <w:t>1、未按合同要求提供货物或质量不能满足谈判技术要求，乙方必须无条件更换，提高技术，完善质量，否则，甲方有权终止合同，并要求其承担30%的违约金及其他损失，并对乙方的违约行为报监管机构进行相应的处罚。</w:t>
      </w:r>
    </w:p>
    <w:p>
      <w:pPr>
        <w:snapToGrid w:val="0"/>
        <w:spacing w:line="360" w:lineRule="auto"/>
        <w:ind w:left="420"/>
        <w:rPr>
          <w:rFonts w:ascii="宋体" w:hAnsi="宋体" w:cs="宋体"/>
          <w:color w:val="auto"/>
          <w:szCs w:val="21"/>
          <w:highlight w:val="none"/>
        </w:rPr>
      </w:pPr>
      <w:r>
        <w:rPr>
          <w:rFonts w:hint="eastAsia" w:ascii="宋体" w:hAnsi="宋体" w:cs="宋体"/>
          <w:color w:val="auto"/>
          <w:szCs w:val="21"/>
          <w:highlight w:val="none"/>
        </w:rPr>
        <w:t>2、乙方逾期交货，逾期一日需向甲方支付合同总价款5 ‰的违约金；迟延交货15天以上的，甲方有权解除合同，拒收设备，同时，乙方应向甲方退还已经支付的全部款项，并支付合同总价款30%违约金，并赔偿由此造成甲方的全部损失。</w:t>
      </w:r>
    </w:p>
    <w:p>
      <w:pPr>
        <w:snapToGrid w:val="0"/>
        <w:spacing w:line="360" w:lineRule="auto"/>
        <w:ind w:left="420"/>
        <w:rPr>
          <w:rFonts w:ascii="宋体" w:hAnsi="宋体" w:cs="宋体"/>
          <w:color w:val="auto"/>
          <w:szCs w:val="21"/>
          <w:highlight w:val="none"/>
        </w:rPr>
      </w:pPr>
      <w:r>
        <w:rPr>
          <w:rFonts w:hint="eastAsia" w:ascii="宋体" w:hAnsi="宋体" w:cs="宋体"/>
          <w:color w:val="auto"/>
          <w:szCs w:val="21"/>
          <w:highlight w:val="none"/>
        </w:rPr>
        <w:t>3、如乙方拒绝履行合同义务，怠于履行合同义务，或履行不合格的，经甲方催告仍未完成，乙方除应向甲方支付合同总额30%违约金外，</w:t>
      </w:r>
      <w:r>
        <w:rPr>
          <w:rFonts w:hint="eastAsia" w:ascii="宋体" w:hAnsi="宋体" w:cs="宋体"/>
          <w:color w:val="auto"/>
          <w:szCs w:val="21"/>
          <w:highlight w:val="none"/>
        </w:rPr>
        <w:t>甲方有权解除合同</w:t>
      </w:r>
      <w:r>
        <w:rPr>
          <w:rFonts w:hint="eastAsia" w:ascii="宋体" w:hAnsi="宋体" w:cs="宋体"/>
          <w:color w:val="auto"/>
          <w:szCs w:val="21"/>
          <w:highlight w:val="none"/>
        </w:rPr>
        <w:t>。由此产生的相关费用（包括但不限于诉讼费、保全费、保全保险费、律师费等）及全部损失均由乙方承担。</w:t>
      </w:r>
    </w:p>
    <w:p>
      <w:pPr>
        <w:snapToGrid w:val="0"/>
        <w:spacing w:line="360" w:lineRule="auto"/>
        <w:ind w:left="420"/>
        <w:rPr>
          <w:ins w:id="0" w:author="任思璇" w:date="2022-08-17T16:14:00Z"/>
          <w:rFonts w:ascii="宋体" w:hAnsi="宋体" w:cs="宋体"/>
          <w:color w:val="auto"/>
          <w:szCs w:val="21"/>
          <w:highlight w:val="none"/>
        </w:rPr>
      </w:pPr>
      <w:r>
        <w:rPr>
          <w:rFonts w:hint="eastAsia" w:ascii="宋体" w:hAnsi="宋体" w:cs="宋体"/>
          <w:color w:val="auto"/>
          <w:szCs w:val="21"/>
          <w:highlight w:val="none"/>
        </w:rPr>
        <w:t>4、乙方违反本协议约定的情形构成违约的情况下，甲方报告西安市政府采购管理处后，有权终止合同。同时甲方有权要求乙方除应支付合同总额30%违约金外，由此产生的相关费用（包括但不限于诉讼费、保全费、保全保险费、律师费等）及全部损失均由乙方承担。</w:t>
      </w:r>
    </w:p>
    <w:p>
      <w:pPr>
        <w:tabs>
          <w:tab w:val="left" w:pos="480"/>
        </w:tabs>
        <w:snapToGrid w:val="0"/>
        <w:spacing w:line="360" w:lineRule="auto"/>
        <w:ind w:firstLine="422" w:firstLineChars="200"/>
        <w:rPr>
          <w:rFonts w:ascii="宋体" w:hAnsi="宋体" w:cs="宋体"/>
          <w:b/>
          <w:color w:val="auto"/>
          <w:szCs w:val="21"/>
          <w:highlight w:val="none"/>
        </w:rPr>
      </w:pPr>
      <w:r>
        <w:rPr>
          <w:rFonts w:hint="eastAsia" w:ascii="宋体" w:hAnsi="宋体" w:cs="宋体"/>
          <w:b/>
          <w:color w:val="auto"/>
          <w:szCs w:val="21"/>
          <w:highlight w:val="none"/>
        </w:rPr>
        <w:t>十四、合同争议解决的方式</w:t>
      </w:r>
    </w:p>
    <w:p>
      <w:pPr>
        <w:tabs>
          <w:tab w:val="left" w:pos="480"/>
        </w:tabs>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本合同在履行过程中发生的争议，由甲、乙双方当事人协商解决，协商不成的按下列第二种方式解决：</w:t>
      </w:r>
    </w:p>
    <w:p>
      <w:pPr>
        <w:tabs>
          <w:tab w:val="left" w:pos="480"/>
        </w:tabs>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（一）提交</w:t>
      </w:r>
      <w:r>
        <w:rPr>
          <w:rFonts w:hint="eastAsia" w:ascii="宋体" w:hAnsi="宋体" w:cs="宋体"/>
          <w:color w:val="auto"/>
          <w:szCs w:val="21"/>
          <w:highlight w:val="none"/>
        </w:rPr>
        <w:softHyphen/>
      </w:r>
      <w:r>
        <w:rPr>
          <w:rFonts w:hint="eastAsia" w:ascii="宋体" w:hAnsi="宋体" w:cs="宋体"/>
          <w:color w:val="auto"/>
          <w:szCs w:val="21"/>
          <w:highlight w:val="none"/>
        </w:rPr>
        <w:softHyphen/>
      </w:r>
      <w:r>
        <w:rPr>
          <w:rFonts w:hint="eastAsia" w:ascii="宋体" w:hAnsi="宋体" w:cs="宋体"/>
          <w:color w:val="auto"/>
          <w:szCs w:val="21"/>
          <w:highlight w:val="none"/>
        </w:rPr>
        <w:softHyphen/>
      </w:r>
      <w:r>
        <w:rPr>
          <w:rFonts w:hint="eastAsia" w:ascii="宋体" w:hAnsi="宋体" w:cs="宋体"/>
          <w:color w:val="auto"/>
          <w:szCs w:val="21"/>
          <w:highlight w:val="none"/>
        </w:rPr>
        <w:t>西安仲裁委员会仲裁；</w:t>
      </w:r>
    </w:p>
    <w:p>
      <w:pPr>
        <w:tabs>
          <w:tab w:val="left" w:pos="480"/>
        </w:tabs>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（二）依法向甲方所在地人民法院起诉。</w:t>
      </w:r>
    </w:p>
    <w:p>
      <w:pPr>
        <w:tabs>
          <w:tab w:val="left" w:pos="480"/>
        </w:tabs>
        <w:snapToGrid w:val="0"/>
        <w:spacing w:line="360" w:lineRule="auto"/>
        <w:ind w:firstLine="413" w:firstLineChars="196"/>
        <w:rPr>
          <w:rFonts w:ascii="宋体" w:hAnsi="宋体" w:cs="宋体"/>
          <w:b/>
          <w:color w:val="auto"/>
          <w:szCs w:val="21"/>
          <w:highlight w:val="none"/>
        </w:rPr>
      </w:pPr>
      <w:r>
        <w:rPr>
          <w:rFonts w:hint="eastAsia" w:ascii="宋体" w:hAnsi="宋体" w:cs="宋体"/>
          <w:b/>
          <w:color w:val="auto"/>
          <w:szCs w:val="21"/>
          <w:highlight w:val="none"/>
        </w:rPr>
        <w:t>十五、合同生效</w:t>
      </w:r>
    </w:p>
    <w:p>
      <w:pPr>
        <w:snapToGrid w:val="0"/>
        <w:spacing w:line="360" w:lineRule="auto"/>
        <w:ind w:firstLine="411" w:firstLineChars="196"/>
        <w:rPr>
          <w:rFonts w:ascii="宋体" w:hAnsi="宋体" w:cs="宋体"/>
          <w:bCs/>
          <w:color w:val="auto"/>
          <w:szCs w:val="21"/>
          <w:highlight w:val="none"/>
        </w:rPr>
      </w:pPr>
      <w:r>
        <w:rPr>
          <w:rFonts w:hint="eastAsia" w:ascii="宋体" w:hAnsi="宋体" w:cs="宋体"/>
          <w:bCs/>
          <w:color w:val="auto"/>
          <w:szCs w:val="21"/>
          <w:highlight w:val="none"/>
        </w:rPr>
        <w:t>本合同一式柒份，甲方肆份、乙方壹份、鉴证方壹份，西安市财政局政府采购管理科备案壹份，本合同甲、乙、鉴定方各方签字盖章后生效，合同执行完毕后，自动失效（合同的服务承诺则长期有效）。</w:t>
      </w:r>
    </w:p>
    <w:p>
      <w:pPr>
        <w:snapToGrid w:val="0"/>
        <w:spacing w:line="360" w:lineRule="auto"/>
        <w:ind w:firstLine="413" w:firstLineChars="196"/>
        <w:rPr>
          <w:rFonts w:ascii="宋体" w:hAnsi="宋体" w:cs="宋体"/>
          <w:b/>
          <w:color w:val="auto"/>
          <w:szCs w:val="21"/>
          <w:highlight w:val="none"/>
        </w:rPr>
      </w:pPr>
      <w:r>
        <w:rPr>
          <w:rFonts w:hint="eastAsia" w:ascii="宋体" w:hAnsi="宋体" w:cs="宋体"/>
          <w:b/>
          <w:color w:val="auto"/>
          <w:szCs w:val="21"/>
          <w:highlight w:val="none"/>
        </w:rPr>
        <w:t>十六、其他事项</w:t>
      </w:r>
    </w:p>
    <w:p>
      <w:pPr>
        <w:tabs>
          <w:tab w:val="left" w:pos="480"/>
        </w:tabs>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（一）鉴证方作为部门集中采购代理机构对合同进行确认。</w:t>
      </w:r>
    </w:p>
    <w:p>
      <w:pPr>
        <w:tabs>
          <w:tab w:val="left" w:pos="480"/>
        </w:tabs>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（二）西安市财政局政府采购管理处在合同的履行期间以及履行期后，可以随时检查项目的执行情况，对采购内容、标准进行调查核实，并对发现的问题进行处理。</w:t>
      </w:r>
    </w:p>
    <w:p>
      <w:pPr>
        <w:tabs>
          <w:tab w:val="left" w:pos="480"/>
        </w:tabs>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（三）投标文件、投标响应文件、中标通知书、合同附件均成为合同不可分割的部分。</w:t>
      </w:r>
    </w:p>
    <w:p>
      <w:pPr>
        <w:tabs>
          <w:tab w:val="left" w:pos="480"/>
        </w:tabs>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（四）合同未尽事宜，由甲、乙双方协商，经鉴证方确认后，作为合同补充，与原合同具有同等法律效力。</w:t>
      </w:r>
    </w:p>
    <w:p>
      <w:pPr>
        <w:tabs>
          <w:tab w:val="left" w:pos="480"/>
        </w:tabs>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（五）合同一经签订，不得擅自变更、中止或终止合同。对确需变更、调整或中止、终止合同的，应按规定履行相应的手续。</w:t>
      </w:r>
    </w:p>
    <w:p>
      <w:pPr>
        <w:tabs>
          <w:tab w:val="left" w:pos="480"/>
        </w:tabs>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（六）本合同按照中华人民共和国的现行法律进行解释。</w:t>
      </w:r>
    </w:p>
    <w:p>
      <w:pPr>
        <w:snapToGrid w:val="0"/>
        <w:spacing w:line="360" w:lineRule="auto"/>
        <w:ind w:firstLine="413" w:firstLineChars="196"/>
        <w:rPr>
          <w:rFonts w:ascii="宋体" w:hAnsi="宋体" w:cs="宋体"/>
          <w:b/>
          <w:color w:val="auto"/>
          <w:szCs w:val="21"/>
          <w:highlight w:val="none"/>
        </w:rPr>
      </w:pPr>
      <w:r>
        <w:rPr>
          <w:rFonts w:hint="eastAsia" w:ascii="宋体" w:hAnsi="宋体" w:cs="宋体"/>
          <w:b/>
          <w:color w:val="auto"/>
          <w:szCs w:val="21"/>
          <w:highlight w:val="none"/>
        </w:rPr>
        <w:t>十七、不可抗力</w:t>
      </w:r>
    </w:p>
    <w:p>
      <w:pPr>
        <w:snapToGrid w:val="0"/>
        <w:spacing w:line="360" w:lineRule="auto"/>
        <w:ind w:firstLine="411" w:firstLineChars="196"/>
        <w:rPr>
          <w:rFonts w:ascii="宋体" w:hAnsi="宋体" w:cs="宋体"/>
          <w:color w:val="auto"/>
          <w:szCs w:val="21"/>
          <w:highlight w:val="none"/>
        </w:rPr>
      </w:pPr>
      <w:r>
        <w:rPr>
          <w:rFonts w:hint="eastAsia" w:ascii="宋体" w:hAnsi="宋体" w:cs="宋体"/>
          <w:color w:val="auto"/>
          <w:szCs w:val="21"/>
          <w:highlight w:val="none"/>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于承担违约责任。</w:t>
      </w:r>
    </w:p>
    <w:p>
      <w:pPr>
        <w:snapToGrid w:val="0"/>
        <w:spacing w:line="360" w:lineRule="auto"/>
        <w:ind w:firstLine="413" w:firstLineChars="196"/>
        <w:rPr>
          <w:rFonts w:ascii="宋体" w:hAnsi="宋体" w:cs="宋体"/>
          <w:b/>
          <w:color w:val="auto"/>
          <w:szCs w:val="21"/>
          <w:highlight w:val="none"/>
        </w:rPr>
      </w:pPr>
      <w:r>
        <w:rPr>
          <w:rFonts w:hint="eastAsia" w:ascii="宋体" w:hAnsi="宋体" w:cs="宋体"/>
          <w:b/>
          <w:color w:val="auto"/>
          <w:szCs w:val="21"/>
          <w:highlight w:val="none"/>
        </w:rPr>
        <w:t>十八、监督和管理</w:t>
      </w:r>
    </w:p>
    <w:p>
      <w:pPr>
        <w:numPr>
          <w:ilvl w:val="0"/>
          <w:numId w:val="7"/>
        </w:numPr>
        <w:tabs>
          <w:tab w:val="left" w:pos="480"/>
        </w:tabs>
        <w:snapToGrid w:val="0"/>
        <w:spacing w:line="360" w:lineRule="auto"/>
        <w:rPr>
          <w:rFonts w:ascii="宋体" w:hAnsi="宋体" w:cs="宋体"/>
          <w:color w:val="auto"/>
          <w:szCs w:val="21"/>
          <w:highlight w:val="none"/>
        </w:rPr>
      </w:pPr>
      <w:r>
        <w:rPr>
          <w:rFonts w:hint="eastAsia" w:ascii="宋体" w:hAnsi="宋体" w:cs="宋体"/>
          <w:color w:val="auto"/>
          <w:szCs w:val="21"/>
          <w:highlight w:val="none"/>
        </w:rPr>
        <w:t>合同订立后，双方协商一致需变更合同实质性条款或订立补充合同的，应先征得政府采购监督部门同意并送其备案。</w:t>
      </w:r>
    </w:p>
    <w:p>
      <w:pPr>
        <w:numPr>
          <w:ilvl w:val="0"/>
          <w:numId w:val="7"/>
        </w:numPr>
        <w:tabs>
          <w:tab w:val="left" w:pos="480"/>
        </w:tabs>
        <w:snapToGrid w:val="0"/>
        <w:spacing w:line="360" w:lineRule="auto"/>
        <w:rPr>
          <w:rFonts w:ascii="宋体" w:hAnsi="宋体" w:cs="宋体"/>
          <w:color w:val="auto"/>
          <w:szCs w:val="21"/>
          <w:highlight w:val="none"/>
        </w:rPr>
      </w:pPr>
      <w:r>
        <w:rPr>
          <w:rFonts w:hint="eastAsia" w:ascii="宋体" w:hAnsi="宋体" w:cs="宋体"/>
          <w:color w:val="auto"/>
          <w:szCs w:val="21"/>
          <w:highlight w:val="none"/>
        </w:rPr>
        <w:t>甲乙双方均应自觉配合有关监督管理部门对合同履行情况监督检查，如实反映情况，提供有关资料，否则将对有关单位、当事人按有关规定予以处罚。</w:t>
      </w:r>
    </w:p>
    <w:p>
      <w:pPr>
        <w:snapToGrid w:val="0"/>
        <w:spacing w:line="360" w:lineRule="auto"/>
        <w:ind w:firstLine="413" w:firstLineChars="196"/>
        <w:rPr>
          <w:rFonts w:ascii="宋体" w:hAnsi="宋体" w:cs="宋体"/>
          <w:b/>
          <w:color w:val="auto"/>
          <w:szCs w:val="21"/>
          <w:highlight w:val="none"/>
        </w:rPr>
      </w:pPr>
      <w:r>
        <w:rPr>
          <w:rFonts w:hint="eastAsia" w:ascii="宋体" w:hAnsi="宋体" w:cs="宋体"/>
          <w:b/>
          <w:color w:val="auto"/>
          <w:szCs w:val="21"/>
          <w:highlight w:val="none"/>
        </w:rPr>
        <w:t>十九、无效合同</w:t>
      </w:r>
    </w:p>
    <w:p>
      <w:pPr>
        <w:snapToGrid w:val="0"/>
        <w:spacing w:line="360" w:lineRule="auto"/>
        <w:ind w:left="412" w:leftChars="196"/>
        <w:rPr>
          <w:rFonts w:ascii="宋体" w:hAnsi="宋体" w:cs="宋体"/>
          <w:color w:val="auto"/>
          <w:szCs w:val="21"/>
          <w:highlight w:val="none"/>
        </w:rPr>
      </w:pPr>
      <w:r>
        <w:rPr>
          <w:rFonts w:hint="eastAsia" w:ascii="宋体" w:hAnsi="宋体" w:cs="宋体"/>
          <w:color w:val="auto"/>
          <w:szCs w:val="21"/>
          <w:highlight w:val="none"/>
        </w:rPr>
        <w:t>甲乙双方如因违反政府采购法相关法律法规的规定，被宣告合同无效的一切责任概由过错方自行承担</w:t>
      </w:r>
      <w:r>
        <w:rPr>
          <w:rFonts w:hint="eastAsia" w:ascii="宋体" w:hAnsi="宋体" w:cs="宋体"/>
          <w:color w:val="auto"/>
          <w:szCs w:val="21"/>
          <w:highlight w:val="none"/>
        </w:rPr>
        <w:t>。</w:t>
      </w:r>
    </w:p>
    <w:p>
      <w:pPr>
        <w:tabs>
          <w:tab w:val="left" w:pos="480"/>
        </w:tabs>
        <w:snapToGrid w:val="0"/>
        <w:spacing w:line="360" w:lineRule="auto"/>
        <w:ind w:firstLine="735" w:firstLineChars="350"/>
        <w:rPr>
          <w:rFonts w:ascii="宋体" w:hAnsi="宋体" w:cs="宋体"/>
          <w:color w:val="auto"/>
          <w:szCs w:val="21"/>
          <w:highlight w:val="none"/>
        </w:rPr>
      </w:pPr>
    </w:p>
    <w:p>
      <w:pPr>
        <w:tabs>
          <w:tab w:val="left" w:pos="480"/>
        </w:tabs>
        <w:snapToGrid w:val="0"/>
        <w:spacing w:line="48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甲  方（法人公章）                     乙  方（法人公章）</w:t>
      </w:r>
    </w:p>
    <w:p>
      <w:pPr>
        <w:tabs>
          <w:tab w:val="left" w:pos="480"/>
        </w:tabs>
        <w:snapToGrid w:val="0"/>
        <w:spacing w:line="48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单位名称：西安市胸科医院               单位名称：</w:t>
      </w:r>
    </w:p>
    <w:p>
      <w:pPr>
        <w:tabs>
          <w:tab w:val="left" w:pos="480"/>
        </w:tabs>
        <w:snapToGrid w:val="0"/>
        <w:spacing w:line="48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地  址：西安市长安区航天大道东段       地  址： </w:t>
      </w:r>
    </w:p>
    <w:p>
      <w:pPr>
        <w:tabs>
          <w:tab w:val="left" w:pos="480"/>
        </w:tabs>
        <w:snapToGrid w:val="0"/>
        <w:spacing w:line="48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法定代表人签字：                       法定代表人签字：</w:t>
      </w:r>
    </w:p>
    <w:p>
      <w:pPr>
        <w:tabs>
          <w:tab w:val="left" w:pos="480"/>
        </w:tabs>
        <w:snapToGrid w:val="0"/>
        <w:spacing w:line="48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代理人签字：                           代理人签字：</w:t>
      </w:r>
    </w:p>
    <w:p>
      <w:pPr>
        <w:tabs>
          <w:tab w:val="left" w:pos="480"/>
        </w:tabs>
        <w:snapToGrid w:val="0"/>
        <w:spacing w:line="48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项目主管部门负责人：                   联系电话：</w:t>
      </w:r>
    </w:p>
    <w:p>
      <w:pPr>
        <w:tabs>
          <w:tab w:val="left" w:pos="480"/>
        </w:tabs>
        <w:snapToGrid w:val="0"/>
        <w:spacing w:line="48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招采办负责人：                         开户银行：</w:t>
      </w:r>
    </w:p>
    <w:p>
      <w:pPr>
        <w:tabs>
          <w:tab w:val="left" w:pos="480"/>
        </w:tabs>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联系电话：029-6250115                  账  号：                                                                                                   </w:t>
      </w:r>
    </w:p>
    <w:p>
      <w:pPr>
        <w:tabs>
          <w:tab w:val="left" w:pos="480"/>
        </w:tabs>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签订日期：2024年   月   日             签订日期：2024年   月   日</w:t>
      </w:r>
    </w:p>
    <w:p>
      <w:pPr>
        <w:tabs>
          <w:tab w:val="left" w:pos="480"/>
        </w:tabs>
        <w:snapToGrid w:val="0"/>
        <w:spacing w:line="360" w:lineRule="auto"/>
        <w:ind w:firstLine="420" w:firstLineChars="200"/>
        <w:rPr>
          <w:rFonts w:ascii="宋体" w:hAnsi="宋体" w:cs="宋体"/>
          <w:color w:val="auto"/>
          <w:szCs w:val="21"/>
          <w:highlight w:val="none"/>
        </w:rPr>
      </w:pPr>
    </w:p>
    <w:p>
      <w:pPr>
        <w:tabs>
          <w:tab w:val="left" w:pos="480"/>
        </w:tabs>
        <w:snapToGrid w:val="0"/>
        <w:spacing w:line="480" w:lineRule="auto"/>
        <w:ind w:firstLine="420" w:firstLineChars="200"/>
        <w:rPr>
          <w:rFonts w:ascii="宋体" w:hAnsi="宋体" w:cs="宋体"/>
          <w:color w:val="auto"/>
          <w:szCs w:val="21"/>
          <w:highlight w:val="none"/>
        </w:rPr>
      </w:pPr>
    </w:p>
    <w:p>
      <w:pPr>
        <w:tabs>
          <w:tab w:val="left" w:pos="480"/>
        </w:tabs>
        <w:snapToGrid w:val="0"/>
        <w:spacing w:line="48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鉴证方（业务专用章）</w:t>
      </w:r>
    </w:p>
    <w:p>
      <w:pPr>
        <w:tabs>
          <w:tab w:val="left" w:pos="480"/>
        </w:tabs>
        <w:snapToGrid w:val="0"/>
        <w:spacing w:line="48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单位名称：</w:t>
      </w:r>
    </w:p>
    <w:p>
      <w:pPr>
        <w:tabs>
          <w:tab w:val="left" w:pos="480"/>
        </w:tabs>
        <w:snapToGrid w:val="0"/>
        <w:spacing w:line="48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地  址：</w:t>
      </w:r>
    </w:p>
    <w:p>
      <w:pPr>
        <w:tabs>
          <w:tab w:val="left" w:pos="480"/>
        </w:tabs>
        <w:snapToGrid w:val="0"/>
        <w:spacing w:line="48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法定代表人签字：</w:t>
      </w:r>
    </w:p>
    <w:p>
      <w:pPr>
        <w:tabs>
          <w:tab w:val="left" w:pos="480"/>
        </w:tabs>
        <w:snapToGrid w:val="0"/>
        <w:spacing w:line="48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代理人：（签字）</w:t>
      </w:r>
    </w:p>
    <w:p>
      <w:pPr>
        <w:tabs>
          <w:tab w:val="left" w:pos="480"/>
        </w:tabs>
        <w:snapToGrid w:val="0"/>
        <w:spacing w:line="48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联系电话：</w:t>
      </w:r>
    </w:p>
    <w:p>
      <w:pPr>
        <w:tabs>
          <w:tab w:val="left" w:pos="480"/>
        </w:tabs>
        <w:snapToGrid w:val="0"/>
        <w:spacing w:line="48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签订日期：2024年  月   日</w:t>
      </w:r>
    </w:p>
    <w:p>
      <w:pPr>
        <w:rPr>
          <w:color w:val="auto"/>
          <w:highlight w:val="none"/>
        </w:rPr>
      </w:pPr>
      <w:r>
        <w:rPr>
          <w:color w:val="auto"/>
          <w:highlight w:val="none"/>
        </w:rPr>
        <w:t xml:space="preserve"> </w:t>
      </w:r>
      <w:r>
        <w:rPr>
          <w:color w:val="auto"/>
          <w:highlight w:val="none"/>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C7C0B5"/>
    <w:multiLevelType w:val="singleLevel"/>
    <w:tmpl w:val="82C7C0B5"/>
    <w:lvl w:ilvl="0" w:tentative="0">
      <w:start w:val="1"/>
      <w:numFmt w:val="chineseCounting"/>
      <w:suff w:val="nothing"/>
      <w:lvlText w:val="（%1）"/>
      <w:lvlJc w:val="left"/>
      <w:pPr>
        <w:ind w:left="0" w:firstLine="420"/>
      </w:pPr>
      <w:rPr>
        <w:rFonts w:hint="eastAsia"/>
      </w:rPr>
    </w:lvl>
  </w:abstractNum>
  <w:abstractNum w:abstractNumId="1">
    <w:nsid w:val="A96FE1FE"/>
    <w:multiLevelType w:val="singleLevel"/>
    <w:tmpl w:val="A96FE1FE"/>
    <w:lvl w:ilvl="0" w:tentative="0">
      <w:start w:val="1"/>
      <w:numFmt w:val="chineseCounting"/>
      <w:suff w:val="nothing"/>
      <w:lvlText w:val="（%1）"/>
      <w:lvlJc w:val="left"/>
      <w:pPr>
        <w:ind w:left="0" w:firstLine="420"/>
      </w:pPr>
      <w:rPr>
        <w:rFonts w:hint="eastAsia"/>
      </w:rPr>
    </w:lvl>
  </w:abstractNum>
  <w:abstractNum w:abstractNumId="2">
    <w:nsid w:val="CC2797C5"/>
    <w:multiLevelType w:val="singleLevel"/>
    <w:tmpl w:val="CC2797C5"/>
    <w:lvl w:ilvl="0" w:tentative="0">
      <w:start w:val="1"/>
      <w:numFmt w:val="chineseCounting"/>
      <w:suff w:val="nothing"/>
      <w:lvlText w:val="（%1）"/>
      <w:lvlJc w:val="left"/>
      <w:rPr>
        <w:rFonts w:hint="eastAsia"/>
      </w:rPr>
    </w:lvl>
  </w:abstractNum>
  <w:abstractNum w:abstractNumId="3">
    <w:nsid w:val="0BA9EB24"/>
    <w:multiLevelType w:val="singleLevel"/>
    <w:tmpl w:val="0BA9EB24"/>
    <w:lvl w:ilvl="0" w:tentative="0">
      <w:start w:val="1"/>
      <w:numFmt w:val="chineseCounting"/>
      <w:suff w:val="nothing"/>
      <w:lvlText w:val="（%1）"/>
      <w:lvlJc w:val="left"/>
      <w:pPr>
        <w:ind w:left="0" w:firstLine="420"/>
      </w:pPr>
      <w:rPr>
        <w:rFonts w:hint="eastAsia"/>
      </w:rPr>
    </w:lvl>
  </w:abstractNum>
  <w:abstractNum w:abstractNumId="4">
    <w:nsid w:val="0D975ACA"/>
    <w:multiLevelType w:val="singleLevel"/>
    <w:tmpl w:val="0D975ACA"/>
    <w:lvl w:ilvl="0" w:tentative="0">
      <w:start w:val="1"/>
      <w:numFmt w:val="chineseCounting"/>
      <w:suff w:val="nothing"/>
      <w:lvlText w:val="（%1）"/>
      <w:lvlJc w:val="left"/>
      <w:pPr>
        <w:ind w:left="0" w:firstLine="420"/>
      </w:pPr>
      <w:rPr>
        <w:rFonts w:hint="eastAsia"/>
      </w:rPr>
    </w:lvl>
  </w:abstractNum>
  <w:abstractNum w:abstractNumId="5">
    <w:nsid w:val="42F33213"/>
    <w:multiLevelType w:val="multilevel"/>
    <w:tmpl w:val="42F33213"/>
    <w:lvl w:ilvl="0" w:tentative="0">
      <w:start w:val="3"/>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54E79DB2"/>
    <w:multiLevelType w:val="singleLevel"/>
    <w:tmpl w:val="54E79DB2"/>
    <w:lvl w:ilvl="0" w:tentative="0">
      <w:start w:val="1"/>
      <w:numFmt w:val="chineseCounting"/>
      <w:suff w:val="nothing"/>
      <w:lvlText w:val="（%1）"/>
      <w:lvlJc w:val="left"/>
      <w:pPr>
        <w:ind w:left="0" w:firstLine="420"/>
      </w:pPr>
      <w:rPr>
        <w:rFonts w:hint="eastAsia"/>
      </w:rPr>
    </w:lvl>
  </w:abstractNum>
  <w:num w:numId="1">
    <w:abstractNumId w:val="0"/>
  </w:num>
  <w:num w:numId="2">
    <w:abstractNumId w:val="5"/>
  </w:num>
  <w:num w:numId="3">
    <w:abstractNumId w:val="6"/>
  </w:num>
  <w:num w:numId="4">
    <w:abstractNumId w:val="2"/>
  </w:num>
  <w:num w:numId="5">
    <w:abstractNumId w:val="3"/>
  </w:num>
  <w:num w:numId="6">
    <w:abstractNumId w:val="1"/>
  </w:num>
  <w:num w:numId="7">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任思璇">
    <w15:presenceInfo w15:providerId="None" w15:userId="任思璇"/>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xYTI2Y2RkZmIzMmUzNWRmNTkyNmZkZGJiZmEwMTQifQ=="/>
  </w:docVars>
  <w:rsids>
    <w:rsidRoot w:val="6AE10C84"/>
    <w:rsid w:val="6AE10C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2024-11-05T07:41:00Z</dcterms:created>
  <dc:creator>豆豆</dc:creator>
  <cp:lastModifiedBy>豆豆</cp:lastModifiedBy>
  <dcterms:modified xsi:type="dcterms:W3CDTF">2024-11-05T07:42:31Z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23F8B1BC722044CD9BF28CCAF7DA4222_11</vt:lpwstr>
  </property>
</Properties>
</file>