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专家服务卫生保洁项目</w:t>
      </w:r>
    </w:p>
    <w:p>
      <w:pPr>
        <w:pStyle w:val="null3"/>
        <w:jc w:val="center"/>
        <w:outlineLvl w:val="2"/>
      </w:pPr>
      <w:r>
        <w:rPr>
          <w:sz w:val="28"/>
          <w:b/>
        </w:rPr>
        <w:t>采购项目编号：</w:t>
      </w:r>
      <w:r>
        <w:rPr>
          <w:sz w:val="28"/>
          <w:b/>
        </w:rPr>
        <w:t>SAJ-2024-1016</w:t>
      </w:r>
      <w:r>
        <w:br/>
      </w:r>
      <w:r>
        <w:br/>
      </w:r>
      <w:r>
        <w:br/>
      </w:r>
    </w:p>
    <w:p>
      <w:pPr>
        <w:pStyle w:val="null3"/>
        <w:jc w:val="center"/>
        <w:outlineLvl w:val="2"/>
      </w:pPr>
      <w:r>
        <w:rPr>
          <w:sz w:val="28"/>
          <w:b/>
        </w:rPr>
        <w:t>西安市公共资源交易中心</w:t>
      </w:r>
    </w:p>
    <w:p>
      <w:pPr>
        <w:pStyle w:val="null3"/>
        <w:jc w:val="center"/>
        <w:outlineLvl w:val="2"/>
      </w:pPr>
      <w:r>
        <w:rPr>
          <w:sz w:val="28"/>
          <w:b/>
        </w:rPr>
        <w:t>陕西安信杰科项目咨询管理有限公司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陕西安信杰科项目咨询管理有限公司</w:t>
      </w:r>
      <w:r>
        <w:rPr/>
        <w:t>（以下简称“代理机构”）受</w:t>
      </w:r>
      <w:r>
        <w:rPr/>
        <w:t>西安市公共资源交易中心</w:t>
      </w:r>
      <w:r>
        <w:rPr/>
        <w:t>委托，拟对</w:t>
      </w:r>
      <w:r>
        <w:rPr/>
        <w:t>专家服务卫生保洁项目</w:t>
      </w:r>
      <w:r>
        <w:rPr/>
        <w:t>采用竞争性磋商采购方式进行采购，兹邀请供应商参加本项目的竞争性磋商。</w:t>
      </w:r>
    </w:p>
    <w:p>
      <w:pPr>
        <w:pStyle w:val="null3"/>
        <w:outlineLvl w:val="2"/>
      </w:pPr>
      <w:r>
        <w:rPr>
          <w:sz w:val="28"/>
          <w:b/>
        </w:rPr>
        <w:t>一、项目编号：</w:t>
      </w:r>
      <w:r>
        <w:rPr>
          <w:sz w:val="28"/>
          <w:b/>
        </w:rPr>
        <w:t>SAJ-2024-1016</w:t>
      </w:r>
    </w:p>
    <w:p>
      <w:pPr>
        <w:pStyle w:val="null3"/>
        <w:outlineLvl w:val="2"/>
      </w:pPr>
      <w:r>
        <w:rPr>
          <w:sz w:val="28"/>
          <w:b/>
        </w:rPr>
        <w:t>二、项目名称：</w:t>
      </w:r>
      <w:r>
        <w:rPr>
          <w:sz w:val="28"/>
          <w:b/>
        </w:rPr>
        <w:t>专家服务卫生保洁项目</w:t>
      </w:r>
    </w:p>
    <w:p>
      <w:pPr>
        <w:pStyle w:val="null3"/>
        <w:outlineLvl w:val="2"/>
      </w:pPr>
      <w:r>
        <w:rPr>
          <w:sz w:val="28"/>
          <w:b/>
        </w:rPr>
        <w:t>三、磋商项目简介</w:t>
      </w:r>
    </w:p>
    <w:p>
      <w:pPr>
        <w:pStyle w:val="null3"/>
        <w:ind w:firstLine="480"/>
      </w:pPr>
      <w:r>
        <w:rPr/>
        <w:t>西安市公共资源交易中心作为全市公共资源交易平台的运行服务机构，交易领域包括建设工程招投标、政府采购、国有产股权交易、土地拍卖等方面，各方交易主体包括政府机构、企事业单位、全国各地投标供应商，每年组织交易活动4000余项,接待专家约20000人次。专家在评标过程中一直处于保密封闭区，根据相关规定，中心工作人员不得进入专家评标保密封闭区，专家在评标过程中需要服务人员随时进行保障。开展隔夜评标项目时，为了保证评标内容的保密性，隔夜标专家休息时不得与外界接触，处于保密封闭状态，为了保密性以及专家的安全，需要服务人员24小时值班服务。交易中心每天交易项目多，交易活动参与人员开标、评标、就餐、休息都在交易中心场所内进行，开标室、评标室、公共休息区处于不间断使用中，需要随时进行保洁消毒以及更换开评标办公用品。为了确保我市公共资源交易过程中专家服务的保密性、安全性，做好调整评标室、安排专家隔夜休息室以及24小时服务专家等评标全过程保密工作，保证各项交易活动顺利进行，为办事企业和评标专家提供优质的服务，对外展示我市公共资源交易良好形象，本次采购专家服务卫生保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采购包1（专家服务卫生保洁）：属于专门面向中小企业采购。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 中法定代表人直接参加投标的，须出具法定代 表人身份证，并与营业执照上信息一致。法定 代表人授权代表参加投标的，须出具法定代表 人授权书及授权代表身份证；</w:t>
      </w:r>
    </w:p>
    <w:p>
      <w:pPr>
        <w:pStyle w:val="null3"/>
      </w:pPr>
      <w:r>
        <w:rPr/>
        <w:t>2、本项目不接受联合体投标：本项目不接受联合体投标，单位负责人为同一 人或者存在直接控股、管理关系的不同单位， 不得参加同一项下的政府采购活动。对列入失 信被执行人、政府采购严重违法失信行为记录 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西安市公共资源交易中心</w:t>
      </w:r>
    </w:p>
    <w:p>
      <w:pPr>
        <w:pStyle w:val="null3"/>
      </w:pPr>
      <w:r>
        <w:rPr/>
        <w:t xml:space="preserve"> 地址： </w:t>
      </w:r>
      <w:r>
        <w:rPr/>
        <w:t>西安经济技术开发区文景路（中段）16号白桦林国际B座1-11层</w:t>
      </w:r>
    </w:p>
    <w:p>
      <w:pPr>
        <w:pStyle w:val="null3"/>
      </w:pPr>
      <w:r>
        <w:rPr/>
        <w:t xml:space="preserve"> 邮编： </w:t>
      </w:r>
      <w:r>
        <w:rPr/>
        <w:t>710000</w:t>
      </w:r>
    </w:p>
    <w:p>
      <w:pPr>
        <w:pStyle w:val="null3"/>
      </w:pPr>
      <w:r>
        <w:rPr/>
        <w:t xml:space="preserve"> 联系人： </w:t>
      </w:r>
      <w:r>
        <w:rPr/>
        <w:t>贾老师</w:t>
      </w:r>
    </w:p>
    <w:p>
      <w:pPr>
        <w:pStyle w:val="null3"/>
      </w:pPr>
      <w:r>
        <w:rPr/>
        <w:t xml:space="preserve"> 联系电话： </w:t>
      </w:r>
      <w:r>
        <w:rPr/>
        <w:t>029-86510029</w:t>
      </w:r>
    </w:p>
    <w:p>
      <w:pPr>
        <w:pStyle w:val="null3"/>
        <w:outlineLvl w:val="3"/>
      </w:pPr>
      <w:r>
        <w:rPr>
          <w:sz w:val="24"/>
          <w:b/>
        </w:rPr>
        <w:t>代理机构：</w:t>
      </w:r>
      <w:r>
        <w:rPr>
          <w:sz w:val="24"/>
          <w:b/>
        </w:rPr>
        <w:t>陕西安信杰科项目咨询管理有限公司</w:t>
      </w:r>
    </w:p>
    <w:p>
      <w:pPr>
        <w:pStyle w:val="null3"/>
      </w:pPr>
      <w:r>
        <w:rPr/>
        <w:t xml:space="preserve"> 地址： </w:t>
      </w:r>
      <w:r>
        <w:rPr/>
        <w:t>陕西省西安市莲湖区陕西省西安市高新区高新四路1号高科广场A座0503室</w:t>
      </w:r>
    </w:p>
    <w:p>
      <w:pPr>
        <w:pStyle w:val="null3"/>
      </w:pPr>
      <w:r>
        <w:rPr/>
        <w:t xml:space="preserve"> 邮编： </w:t>
      </w:r>
      <w:r>
        <w:rPr/>
        <w:t>710000</w:t>
      </w:r>
    </w:p>
    <w:p>
      <w:pPr>
        <w:pStyle w:val="null3"/>
      </w:pPr>
      <w:r>
        <w:rPr/>
        <w:t xml:space="preserve"> 联系人： </w:t>
      </w:r>
      <w:r>
        <w:rPr/>
        <w:t>张钧溢</w:t>
      </w:r>
    </w:p>
    <w:p>
      <w:pPr>
        <w:pStyle w:val="null3"/>
      </w:pPr>
      <w:r>
        <w:rPr/>
        <w:t xml:space="preserve"> 联系电话： </w:t>
      </w:r>
      <w:r>
        <w:rPr/>
        <w:t>029-87304127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说明：1、本合同签订之日起三个工作日内，供应商向以下账户交纳合同总价款的5%作为履约保证金。 户 名：西安市公共资源交易中心保证金户 账 号：9558853700001663468 开户行：中国工商银行股份有限公司西安曲江支行 2、本合同维保服务期满后，供应商持项目合格验收单到采购人处办理履约保证金退还手续，五个工作日内无息退还。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收取参见国家计委颁布的《招标代理服务收费管理暂行办法》（计价格〔2002〕1980号）和（发改办价格〔2003〕857号）收费标准。此采购代理服务费应计入投标中，但不需要单独开列。 开户名称：陕西安信杰科项目咨询管理有限公司 开户行名称：中国工商银行股份有限公司西安高新技术开发区支行 账 号：3700 0246 0920 0648 818 转账事由： (编号后四位）项目招标代理服务费 咨询电话：029-88364979-810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西安市公共资源交易中心</w:t>
      </w:r>
      <w:r>
        <w:rPr/>
        <w:t>和</w:t>
      </w:r>
      <w:r>
        <w:rPr/>
        <w:t>陕西安信杰科项目咨询管理有限公司</w:t>
      </w:r>
      <w:r>
        <w:rPr/>
        <w:t>享有。对磋商文件中供应商参加本次政府采购活动应当具备的条件，磋商项目技术、服务、商务及其他要求，评审细则及标准由</w:t>
      </w:r>
      <w:r>
        <w:rPr/>
        <w:t>西安市公共资源交易中心</w:t>
      </w:r>
      <w:r>
        <w:rPr/>
        <w:t>负责解释。除上述磋商文件内容，其他内容由</w:t>
      </w:r>
      <w:r>
        <w:rPr/>
        <w:t>陕西安信杰科项目咨询管理有限公司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西安市公共资源交易中心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陕西安信杰科项目咨询管理有限公司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详见采购内容及要求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陕西安信杰科项目咨询管理有限公司</w:t>
      </w:r>
      <w:r>
        <w:rPr/>
        <w:t xml:space="preserve"> 负责答复；供应商对除采购需求外的采购文件的询问、质疑由</w:t>
      </w:r>
      <w:r>
        <w:rPr/>
        <w:t>陕西安信杰科项目咨询管理有限公司</w:t>
      </w:r>
      <w:r>
        <w:rPr/>
        <w:t xml:space="preserve"> 负责答复；供应商对采购过程、采购结果的询问、质疑由 </w:t>
      </w:r>
      <w:r>
        <w:rPr/>
        <w:t>陕西安信杰科项目咨询管理有限公司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联系人：郝经理</w:t>
      </w:r>
    </w:p>
    <w:p>
      <w:pPr>
        <w:pStyle w:val="null3"/>
      </w:pPr>
      <w:r>
        <w:rPr/>
        <w:t>联系电话：029-87304127</w:t>
      </w:r>
    </w:p>
    <w:p>
      <w:pPr>
        <w:pStyle w:val="null3"/>
      </w:pPr>
      <w:r>
        <w:rPr/>
        <w:t>地址：陕西省西安市高新区丈八街办高新四路1号高科广场A座0503室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公共资源交易中心作为全市公共资源交易平台的运行服务机构，交易领域包括建设工程招投标、政府采购、国有产股权交易、土地拍卖等方面，各方交易主体包括政府机构、企事业单位、全国各地投标供应商，每年组织交易活动4000余项,接待专家约20000人次。专家在评标过程中一直处于保密封闭区，根据相关规定，中心工作人员不得进入专家评标保密封闭区，专家在评标过程中需要服务人员随时进行保障。开展隔夜评标项目时，为了保证评标内容的保密性，隔夜标专家休息时不得与外界接触，处于保密封闭状态，为了保密性以及专家的安全，需要服务人员24小时值班服务。交易中心每天交易项目多，交易活动参与人员开标、评标、就餐、休息都在交易中心场所内进行，开标室、评标室、公共休息区处于不间断使用中，需要随时进行保洁消毒以及更换开评标办公用品。为了确保我市公共资源交易过程中专家服务的保密性、安全性，做好调整评标室、安排专家隔夜休息室以及24小时服务专家等评标全过程保密工作，保证各项交易活动顺利进行，为办事企业和评标专家提供优质的服务，对外展示我市公共资源交易良好形象，本次采购专家服务卫生保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专家服务卫生保洁</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标的名称：专家服务卫生保洁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w:t>
            </w:r>
            <w:r>
              <w:rPr>
                <w:rFonts w:ascii="宋体" w:hAnsi="宋体" w:cs="宋体" w:eastAsia="宋体"/>
              </w:rPr>
              <w:t>、服务内容</w:t>
            </w:r>
          </w:p>
          <w:p>
            <w:pPr>
              <w:pStyle w:val="null3"/>
            </w:pPr>
            <w:r>
              <w:rPr>
                <w:rFonts w:ascii="宋体" w:hAnsi="宋体" w:cs="宋体" w:eastAsia="宋体"/>
              </w:rPr>
              <w:t>专家服务</w:t>
            </w:r>
          </w:p>
          <w:p>
            <w:pPr>
              <w:pStyle w:val="null3"/>
            </w:pPr>
            <w:r>
              <w:rPr>
                <w:rFonts w:ascii="calibri" w:hAnsi="calibri" w:cs="calibri" w:eastAsia="calibri"/>
              </w:rPr>
              <w:t>1</w:t>
            </w:r>
            <w:r>
              <w:rPr>
                <w:rFonts w:ascii="宋体" w:hAnsi="宋体" w:cs="宋体" w:eastAsia="宋体"/>
              </w:rPr>
              <w:t>、评标保障服务：根据中心规定以及评标需要，向专家提供或更换评标所需办公用品。</w:t>
            </w:r>
          </w:p>
          <w:p>
            <w:pPr>
              <w:pStyle w:val="null3"/>
            </w:pPr>
            <w:r>
              <w:rPr>
                <w:rFonts w:ascii="calibri" w:hAnsi="calibri" w:cs="calibri" w:eastAsia="calibri"/>
              </w:rPr>
              <w:t>2</w:t>
            </w:r>
            <w:r>
              <w:rPr>
                <w:rFonts w:ascii="宋体" w:hAnsi="宋体" w:cs="宋体" w:eastAsia="宋体"/>
              </w:rPr>
              <w:t>、隔夜标服务：根据交易项目具体情况，为隔夜标专家提供</w:t>
            </w:r>
            <w:r>
              <w:rPr>
                <w:rFonts w:ascii="calibri" w:hAnsi="calibri" w:cs="calibri" w:eastAsia="calibri"/>
              </w:rPr>
              <w:t>24</w:t>
            </w:r>
            <w:r>
              <w:rPr>
                <w:rFonts w:ascii="宋体" w:hAnsi="宋体" w:cs="宋体" w:eastAsia="宋体"/>
              </w:rPr>
              <w:t>小时保障服务，包括用餐、休息、提供指定通讯设备与家人通话，以及突发事件的应急处理。隔夜标服务应根据中心有关规定最好安全保密工作。</w:t>
            </w:r>
          </w:p>
          <w:p>
            <w:pPr>
              <w:pStyle w:val="null3"/>
            </w:pPr>
            <w:r>
              <w:rPr>
                <w:rFonts w:ascii="宋体" w:hAnsi="宋体" w:cs="宋体" w:eastAsia="宋体"/>
              </w:rPr>
              <w:t>卫生保洁</w:t>
            </w:r>
          </w:p>
          <w:p>
            <w:pPr>
              <w:pStyle w:val="null3"/>
            </w:pPr>
            <w:r>
              <w:rPr>
                <w:rFonts w:ascii="calibri" w:hAnsi="calibri" w:cs="calibri" w:eastAsia="calibri"/>
              </w:rPr>
              <w:t>1</w:t>
            </w:r>
            <w:r>
              <w:rPr>
                <w:rFonts w:ascii="宋体" w:hAnsi="宋体" w:cs="宋体" w:eastAsia="宋体"/>
              </w:rPr>
              <w:t>、保洁范围：中心</w:t>
            </w:r>
            <w:r>
              <w:rPr>
                <w:rFonts w:ascii="calibri" w:hAnsi="calibri" w:cs="calibri" w:eastAsia="calibri"/>
              </w:rPr>
              <w:t>1-11</w:t>
            </w:r>
            <w:r>
              <w:rPr>
                <w:rFonts w:ascii="宋体" w:hAnsi="宋体" w:cs="宋体" w:eastAsia="宋体"/>
              </w:rPr>
              <w:t>层区域，包括接待大厅、开标室、封闭区评标室、封闭区隔夜标专家休息室、办公区，面积约</w:t>
            </w:r>
            <w:r>
              <w:rPr>
                <w:rFonts w:ascii="calibri" w:hAnsi="calibri" w:cs="calibri" w:eastAsia="calibri"/>
              </w:rPr>
              <w:t>20000</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保洁要求：对办公区、专家休息室每日定时进行保洁，对接待大厅、评标室、开标室根据需要随时进行卫生保洁。包括墙面、地面、门窗等，以及以上区域内的灯具、电器、标志牌、指示牌、装饰性陈列物和其它设施设备的清洁卫生工作。定期进行消毒杀菌和虫害防治，包括墙面、地面消毒、室内空气消毒、家具等设施设备的擦拭消毒、保洁用具的消毒。消灭蚊蝇工作应按照市爱国卫生委员会有关标准执行，确保室内蚊蝇率达标。</w:t>
            </w:r>
          </w:p>
          <w:p>
            <w:pPr>
              <w:pStyle w:val="null3"/>
            </w:pPr>
            <w:r>
              <w:rPr>
                <w:rFonts w:ascii="宋体" w:hAnsi="宋体" w:cs="宋体" w:eastAsia="宋体"/>
              </w:rPr>
              <w:t>二</w:t>
            </w:r>
            <w:r>
              <w:rPr>
                <w:rFonts w:ascii="宋体" w:hAnsi="宋体" w:cs="宋体" w:eastAsia="宋体"/>
              </w:rPr>
              <w:t>、服务要求</w:t>
            </w:r>
          </w:p>
          <w:p>
            <w:pPr>
              <w:pStyle w:val="null3"/>
            </w:pPr>
            <w:r>
              <w:rPr>
                <w:rFonts w:ascii="宋体" w:hAnsi="宋体" w:cs="宋体" w:eastAsia="宋体"/>
              </w:rPr>
              <w:t>服务要求</w:t>
            </w:r>
          </w:p>
          <w:p>
            <w:pPr>
              <w:pStyle w:val="null3"/>
            </w:pPr>
            <w:r>
              <w:rPr>
                <w:rFonts w:ascii="calibri" w:hAnsi="calibri" w:cs="calibri" w:eastAsia="calibri"/>
              </w:rPr>
              <w:t>1</w:t>
            </w:r>
            <w:r>
              <w:rPr>
                <w:rFonts w:ascii="宋体" w:hAnsi="宋体" w:cs="宋体" w:eastAsia="宋体"/>
              </w:rPr>
              <w:t>、服务人员身体健康、吃苦耐劳，具有良好的职业道德素养。</w:t>
            </w:r>
          </w:p>
          <w:p>
            <w:pPr>
              <w:pStyle w:val="null3"/>
            </w:pPr>
            <w:r>
              <w:rPr>
                <w:rFonts w:ascii="calibri" w:hAnsi="calibri" w:cs="calibri" w:eastAsia="calibri"/>
              </w:rPr>
              <w:t>2</w:t>
            </w:r>
            <w:r>
              <w:rPr>
                <w:rFonts w:ascii="宋体" w:hAnsi="宋体" w:cs="宋体" w:eastAsia="宋体"/>
              </w:rPr>
              <w:t>、服务人员应能够尽快熟悉并适应市交易中心专家服务相关工作规定和服务要求。</w:t>
            </w:r>
          </w:p>
          <w:p>
            <w:pPr>
              <w:pStyle w:val="null3"/>
            </w:pPr>
            <w:r>
              <w:rPr>
                <w:rFonts w:ascii="calibri" w:hAnsi="calibri" w:cs="calibri" w:eastAsia="calibri"/>
              </w:rPr>
              <w:t>3</w:t>
            </w:r>
            <w:r>
              <w:rPr>
                <w:rFonts w:ascii="宋体" w:hAnsi="宋体" w:cs="宋体" w:eastAsia="宋体"/>
              </w:rPr>
              <w:t>、按照相关政策、法律规定，以及西安市公共资源交易中心管理要求，严格执行相关保密制度。</w:t>
            </w:r>
          </w:p>
          <w:p>
            <w:pPr>
              <w:pStyle w:val="null3"/>
            </w:pPr>
            <w:r>
              <w:rPr>
                <w:rFonts w:ascii="宋体" w:hAnsi="宋体" w:cs="宋体" w:eastAsia="宋体"/>
              </w:rPr>
              <w:t>人员配置</w:t>
            </w:r>
          </w:p>
          <w:p>
            <w:pPr>
              <w:pStyle w:val="null3"/>
            </w:pPr>
            <w:r>
              <w:rPr>
                <w:rFonts w:ascii="宋体" w:hAnsi="宋体" w:cs="宋体" w:eastAsia="宋体"/>
              </w:rPr>
              <w:t>提供专家服务卫生保洁人员不</w:t>
            </w:r>
            <w:r>
              <w:rPr>
                <w:rFonts w:ascii="宋体" w:hAnsi="宋体" w:cs="宋体" w:eastAsia="宋体"/>
              </w:rPr>
              <w:t>少于</w:t>
            </w:r>
            <w:r>
              <w:rPr>
                <w:rFonts w:ascii="calibri" w:hAnsi="calibri" w:cs="calibri" w:eastAsia="calibri"/>
              </w:rPr>
              <w:t>21</w:t>
            </w:r>
            <w:r>
              <w:rPr>
                <w:rFonts w:ascii="宋体" w:hAnsi="宋体" w:cs="宋体" w:eastAsia="宋体"/>
              </w:rPr>
              <w:t>人，年龄</w:t>
            </w:r>
            <w:r>
              <w:rPr>
                <w:rFonts w:ascii="calibri" w:hAnsi="calibri" w:cs="calibri" w:eastAsia="calibri"/>
              </w:rPr>
              <w:t>55</w:t>
            </w:r>
            <w:r>
              <w:rPr>
                <w:rFonts w:ascii="宋体" w:hAnsi="宋体" w:cs="宋体" w:eastAsia="宋体"/>
              </w:rPr>
              <w:t>岁以下，主管</w:t>
            </w:r>
            <w:r>
              <w:rPr>
                <w:rFonts w:ascii="calibri" w:hAnsi="calibri" w:cs="calibri" w:eastAsia="calibri"/>
              </w:rPr>
              <w:t>1</w:t>
            </w:r>
            <w:r>
              <w:rPr>
                <w:rFonts w:ascii="宋体" w:hAnsi="宋体" w:cs="宋体" w:eastAsia="宋体"/>
              </w:rPr>
              <w:t>人，工作人员不少于</w:t>
            </w:r>
            <w:r>
              <w:rPr>
                <w:rFonts w:ascii="calibri" w:hAnsi="calibri" w:cs="calibri" w:eastAsia="calibri"/>
              </w:rPr>
              <w:t>20</w:t>
            </w:r>
            <w:r>
              <w:rPr>
                <w:rFonts w:ascii="宋体" w:hAnsi="宋体" w:cs="宋体" w:eastAsia="宋体"/>
              </w:rPr>
              <w:t>人，其中：</w:t>
            </w:r>
            <w:r>
              <w:rPr>
                <w:rFonts w:ascii="calibri" w:hAnsi="calibri" w:cs="calibri" w:eastAsia="calibri"/>
              </w:rPr>
              <w:t>1</w:t>
            </w:r>
            <w:r>
              <w:rPr>
                <w:rFonts w:ascii="宋体" w:hAnsi="宋体" w:cs="宋体" w:eastAsia="宋体"/>
              </w:rPr>
              <w:t>楼大厅</w:t>
            </w:r>
            <w:r>
              <w:rPr>
                <w:rFonts w:ascii="calibri" w:hAnsi="calibri" w:cs="calibri" w:eastAsia="calibri"/>
              </w:rPr>
              <w:t>1</w:t>
            </w:r>
            <w:r>
              <w:rPr>
                <w:rFonts w:ascii="宋体" w:hAnsi="宋体" w:cs="宋体" w:eastAsia="宋体"/>
              </w:rPr>
              <w:t>人，</w:t>
            </w:r>
            <w:r>
              <w:rPr>
                <w:rFonts w:ascii="calibri" w:hAnsi="calibri" w:cs="calibri" w:eastAsia="calibri"/>
              </w:rPr>
              <w:t>2</w:t>
            </w:r>
            <w:r>
              <w:rPr>
                <w:rFonts w:ascii="宋体" w:hAnsi="宋体" w:cs="宋体" w:eastAsia="宋体"/>
              </w:rPr>
              <w:t>楼开标室</w:t>
            </w:r>
            <w:r>
              <w:rPr>
                <w:rFonts w:ascii="calibri" w:hAnsi="calibri" w:cs="calibri" w:eastAsia="calibri"/>
              </w:rPr>
              <w:t>2</w:t>
            </w:r>
            <w:r>
              <w:rPr>
                <w:rFonts w:ascii="宋体" w:hAnsi="宋体" w:cs="宋体" w:eastAsia="宋体"/>
              </w:rPr>
              <w:t>人，</w:t>
            </w:r>
            <w:r>
              <w:rPr>
                <w:rFonts w:ascii="calibri" w:hAnsi="calibri" w:cs="calibri" w:eastAsia="calibri"/>
              </w:rPr>
              <w:t>3</w:t>
            </w:r>
            <w:r>
              <w:rPr>
                <w:rFonts w:ascii="宋体" w:hAnsi="宋体" w:cs="宋体" w:eastAsia="宋体"/>
              </w:rPr>
              <w:t>楼开标室</w:t>
            </w:r>
            <w:r>
              <w:rPr>
                <w:rFonts w:ascii="calibri" w:hAnsi="calibri" w:cs="calibri" w:eastAsia="calibri"/>
              </w:rPr>
              <w:t>2</w:t>
            </w:r>
            <w:r>
              <w:rPr>
                <w:rFonts w:ascii="宋体" w:hAnsi="宋体" w:cs="宋体" w:eastAsia="宋体"/>
              </w:rPr>
              <w:t>人，</w:t>
            </w:r>
            <w:r>
              <w:rPr>
                <w:rFonts w:ascii="calibri" w:hAnsi="calibri" w:cs="calibri" w:eastAsia="calibri"/>
              </w:rPr>
              <w:t>5</w:t>
            </w:r>
            <w:r>
              <w:rPr>
                <w:rFonts w:ascii="宋体" w:hAnsi="宋体" w:cs="宋体" w:eastAsia="宋体"/>
              </w:rPr>
              <w:t>楼开标室</w:t>
            </w:r>
            <w:r>
              <w:rPr>
                <w:rFonts w:ascii="calibri" w:hAnsi="calibri" w:cs="calibri" w:eastAsia="calibri"/>
              </w:rPr>
              <w:t>2</w:t>
            </w:r>
            <w:r>
              <w:rPr>
                <w:rFonts w:ascii="宋体" w:hAnsi="宋体" w:cs="宋体" w:eastAsia="宋体"/>
              </w:rPr>
              <w:t>人，</w:t>
            </w:r>
            <w:r>
              <w:rPr>
                <w:rFonts w:ascii="calibri" w:hAnsi="calibri" w:cs="calibri" w:eastAsia="calibri"/>
              </w:rPr>
              <w:t>6</w:t>
            </w:r>
            <w:r>
              <w:rPr>
                <w:rFonts w:ascii="宋体" w:hAnsi="宋体" w:cs="宋体" w:eastAsia="宋体"/>
              </w:rPr>
              <w:t>楼开（评）室</w:t>
            </w:r>
            <w:r>
              <w:rPr>
                <w:rFonts w:ascii="calibri" w:hAnsi="calibri" w:cs="calibri" w:eastAsia="calibri"/>
              </w:rPr>
              <w:t>2</w:t>
            </w:r>
            <w:r>
              <w:rPr>
                <w:rFonts w:ascii="宋体" w:hAnsi="宋体" w:cs="宋体" w:eastAsia="宋体"/>
              </w:rPr>
              <w:t>人，</w:t>
            </w:r>
            <w:r>
              <w:rPr>
                <w:rFonts w:ascii="calibri" w:hAnsi="calibri" w:cs="calibri" w:eastAsia="calibri"/>
              </w:rPr>
              <w:t>7</w:t>
            </w:r>
            <w:r>
              <w:rPr>
                <w:rFonts w:ascii="宋体" w:hAnsi="宋体" w:cs="宋体" w:eastAsia="宋体"/>
              </w:rPr>
              <w:t>楼办公区</w:t>
            </w:r>
            <w:r>
              <w:rPr>
                <w:rFonts w:ascii="calibri" w:hAnsi="calibri" w:cs="calibri" w:eastAsia="calibri"/>
              </w:rPr>
              <w:t>2</w:t>
            </w:r>
            <w:r>
              <w:rPr>
                <w:rFonts w:ascii="宋体" w:hAnsi="宋体" w:cs="宋体" w:eastAsia="宋体"/>
              </w:rPr>
              <w:t>人，</w:t>
            </w:r>
            <w:r>
              <w:rPr>
                <w:rFonts w:ascii="calibri" w:hAnsi="calibri" w:cs="calibri" w:eastAsia="calibri"/>
              </w:rPr>
              <w:t>8</w:t>
            </w:r>
            <w:r>
              <w:rPr>
                <w:rFonts w:ascii="宋体" w:hAnsi="宋体" w:cs="宋体" w:eastAsia="宋体"/>
              </w:rPr>
              <w:t>楼办公区</w:t>
            </w:r>
            <w:r>
              <w:rPr>
                <w:rFonts w:ascii="calibri" w:hAnsi="calibri" w:cs="calibri" w:eastAsia="calibri"/>
              </w:rPr>
              <w:t>2</w:t>
            </w:r>
            <w:r>
              <w:rPr>
                <w:rFonts w:ascii="宋体" w:hAnsi="宋体" w:cs="宋体" w:eastAsia="宋体"/>
              </w:rPr>
              <w:t>人，</w:t>
            </w:r>
            <w:r>
              <w:rPr>
                <w:rFonts w:ascii="calibri" w:hAnsi="calibri" w:cs="calibri" w:eastAsia="calibri"/>
              </w:rPr>
              <w:t>9</w:t>
            </w:r>
            <w:r>
              <w:rPr>
                <w:rFonts w:ascii="宋体" w:hAnsi="宋体" w:cs="宋体" w:eastAsia="宋体"/>
              </w:rPr>
              <w:t>楼评标室</w:t>
            </w:r>
            <w:r>
              <w:rPr>
                <w:rFonts w:ascii="calibri" w:hAnsi="calibri" w:cs="calibri" w:eastAsia="calibri"/>
              </w:rPr>
              <w:t>2</w:t>
            </w:r>
            <w:r>
              <w:rPr>
                <w:rFonts w:ascii="宋体" w:hAnsi="宋体" w:cs="宋体" w:eastAsia="宋体"/>
              </w:rPr>
              <w:t>人，</w:t>
            </w:r>
            <w:r>
              <w:rPr>
                <w:rFonts w:ascii="calibri" w:hAnsi="calibri" w:cs="calibri" w:eastAsia="calibri"/>
              </w:rPr>
              <w:t>10</w:t>
            </w:r>
            <w:r>
              <w:rPr>
                <w:rFonts w:ascii="宋体" w:hAnsi="宋体" w:cs="宋体" w:eastAsia="宋体"/>
              </w:rPr>
              <w:t>楼评标室</w:t>
            </w:r>
            <w:r>
              <w:rPr>
                <w:rFonts w:ascii="calibri" w:hAnsi="calibri" w:cs="calibri" w:eastAsia="calibri"/>
              </w:rPr>
              <w:t>2</w:t>
            </w:r>
            <w:r>
              <w:rPr>
                <w:rFonts w:ascii="宋体" w:hAnsi="宋体" w:cs="宋体" w:eastAsia="宋体"/>
              </w:rPr>
              <w:t>人，</w:t>
            </w:r>
            <w:r>
              <w:rPr>
                <w:rFonts w:ascii="calibri" w:hAnsi="calibri" w:cs="calibri" w:eastAsia="calibri"/>
              </w:rPr>
              <w:t>11</w:t>
            </w:r>
            <w:r>
              <w:rPr>
                <w:rFonts w:ascii="宋体" w:hAnsi="宋体" w:cs="宋体" w:eastAsia="宋体"/>
              </w:rPr>
              <w:t>楼评标室及专家休息区</w:t>
            </w:r>
            <w:r>
              <w:rPr>
                <w:rFonts w:ascii="calibri" w:hAnsi="calibri" w:cs="calibri" w:eastAsia="calibri"/>
              </w:rPr>
              <w:t>2</w:t>
            </w:r>
            <w:r>
              <w:rPr>
                <w:rFonts w:ascii="宋体" w:hAnsi="宋体" w:cs="宋体" w:eastAsia="宋体"/>
              </w:rPr>
              <w:t>人，隔夜标专家服务</w:t>
            </w:r>
            <w:r>
              <w:rPr>
                <w:rFonts w:ascii="calibri" w:hAnsi="calibri" w:cs="calibri" w:eastAsia="calibri"/>
              </w:rPr>
              <w:t>1</w:t>
            </w:r>
            <w:r>
              <w:rPr>
                <w:rFonts w:ascii="宋体" w:hAnsi="宋体" w:cs="宋体" w:eastAsia="宋体"/>
              </w:rPr>
              <w:t>人。</w:t>
            </w:r>
          </w:p>
          <w:p>
            <w:pPr>
              <w:pStyle w:val="null3"/>
            </w:pPr>
            <w:r>
              <w:rPr>
                <w:rFonts w:ascii="宋体" w:hAnsi="宋体" w:cs="宋体" w:eastAsia="宋体"/>
              </w:rPr>
              <w:t>违反保密制度处罚</w:t>
            </w:r>
          </w:p>
          <w:p>
            <w:pPr>
              <w:pStyle w:val="null3"/>
            </w:pPr>
            <w:r>
              <w:rPr>
                <w:rFonts w:ascii="calibri" w:hAnsi="calibri" w:cs="calibri" w:eastAsia="calibri"/>
              </w:rPr>
              <w:t>1</w:t>
            </w:r>
            <w:r>
              <w:rPr>
                <w:rFonts w:ascii="宋体" w:hAnsi="宋体" w:cs="宋体" w:eastAsia="宋体"/>
              </w:rPr>
              <w:t>、供应商工作人员违反相关保密制度未造成严重不良后果的，对供应商第一次罚款</w:t>
            </w:r>
            <w:r>
              <w:rPr>
                <w:rFonts w:ascii="calibri" w:hAnsi="calibri" w:cs="calibri" w:eastAsia="calibri"/>
              </w:rPr>
              <w:t>50000-100000</w:t>
            </w:r>
            <w:r>
              <w:rPr>
                <w:rFonts w:ascii="宋体" w:hAnsi="宋体" w:cs="宋体" w:eastAsia="宋体"/>
              </w:rPr>
              <w:t>元，第二次采购人可以单方无条件解除合同，不再支付供应商解除合同之日以后服务期费用，处以供应商已提供服务期费用</w:t>
            </w:r>
            <w:r>
              <w:rPr>
                <w:rFonts w:ascii="calibri" w:hAnsi="calibri" w:cs="calibri" w:eastAsia="calibri"/>
              </w:rPr>
              <w:t>50%</w:t>
            </w:r>
            <w:r>
              <w:rPr>
                <w:rFonts w:ascii="宋体" w:hAnsi="宋体" w:cs="宋体" w:eastAsia="宋体"/>
              </w:rPr>
              <w:t>的罚款，并保留追究供应商及相关人员法律责任的权利。</w:t>
            </w:r>
          </w:p>
          <w:p>
            <w:pPr>
              <w:pStyle w:val="null3"/>
              <w:jc w:val="both"/>
            </w:pPr>
            <w:r>
              <w:rPr>
                <w:rFonts w:ascii="calibri" w:hAnsi="calibri" w:cs="calibri" w:eastAsia="calibri"/>
                <w:sz w:val="21"/>
              </w:rPr>
              <w:t>2</w:t>
            </w:r>
            <w:r>
              <w:rPr>
                <w:rFonts w:ascii="宋体" w:hAnsi="宋体" w:cs="宋体" w:eastAsia="宋体"/>
                <w:sz w:val="21"/>
              </w:rPr>
              <w:t>、供应商工作人员违反相关保密制度造成严重不良后果的，采购人可以单方无条件立即解除合同，不再支付供应商解除合同之日以后服务期费用，对供应商处以已提供服务期费用</w:t>
            </w:r>
            <w:r>
              <w:rPr>
                <w:rFonts w:ascii="calibri" w:hAnsi="calibri" w:cs="calibri" w:eastAsia="calibri"/>
                <w:sz w:val="21"/>
              </w:rPr>
              <w:t>100%</w:t>
            </w:r>
            <w:r>
              <w:rPr>
                <w:rFonts w:ascii="宋体" w:hAnsi="宋体" w:cs="宋体" w:eastAsia="宋体"/>
                <w:sz w:val="21"/>
              </w:rPr>
              <w:t>的罚款，并保留追究供应商及相关人员法律责任的权利。</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西安市公共资源交易中心</w:t>
      </w:r>
    </w:p>
    <w:p>
      <w:pPr>
        <w:pStyle w:val="null3"/>
        <w:outlineLvl w:val="3"/>
      </w:pPr>
      <w:r>
        <w:rPr>
          <w:sz w:val="24"/>
          <w:b/>
        </w:rPr>
        <w:t>3.3.3考核（验收）标准和方法</w:t>
      </w:r>
    </w:p>
    <w:p>
      <w:pPr>
        <w:pStyle w:val="null3"/>
      </w:pPr>
      <w:r>
        <w:rPr/>
        <w:t>采购包1：</w:t>
      </w:r>
    </w:p>
    <w:p>
      <w:pPr>
        <w:pStyle w:val="null3"/>
      </w:pPr>
      <w:r>
        <w:rPr/>
        <w:t>1、运维服务期满后，采购人、供应商双方根据合同约定共同进行验收（必要时可邀请有关专家进行系统验收）。 2、验收依据： （1）磋商文件、响应文件及合同文本。 （2）国家和行业制定的相应标准和规范。 （3）供应商出具的运维服务自检报告。 3、验收合格后，采购人、供应商双方填写项目验收单作为对运维服务的最终认可。 4、供应商向采购人提交运维服务实施过程中的所有资料，以便采购人日后管理和维护。</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详见采购内容及要求</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 《投标函》完成承诺并进行电子签章。 1、具有 独立承担民事责任的能力（企业法人应提供统 一社会信用代码的营业执照；事业法人应提供 事业单位法人证、组织机构代码证等证明文件 ；其他组织应提供合法证明文件；自然人提供 身份证明文件）； 2、具有良好的商业信誉和健 全的财务会计制度，提供2023年度经审计完整 的财务审计报告（成立时间至提交响应文件截 止时间不足一年的可提供成立后任意时段的资 产负债表），或其开标前12个月内银行出具的 资信证明，或财政部门认可的政府采购专业担 保机构出具的投标担保函； 3、具有履行合同所 必需的设备和专业技术能力的书面声明（格式 详见附件）； 4、有依法缴纳税收和社会保障资 金的良好记录（提供开标前12个月内任一月份 的社保和缴纳税收的证明，依法不需要缴纳社 会保障资金、免税或无须缴纳税款的供应商， 应提供相关证明文件)； 5、参加政府采购活动 前 3 年内在经营活动中没有重大违法记录的书 面声明（格式详见附件）。</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 相应证明文件并进行电子签章。 具有良好的商 业信誉和健全的财务会计制度，提供2023年度 经审计完整的财务审计报告（成立时间至提交 响应文件截止时间不足一年的可提供成立后任 意时段的资产负债表），或其开标前12个月内 银行出具的资信证明，或财政部门认可的政府 采购专业担保机构出具的投标担保函。</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 《投标函》完成承诺并进行电子签章、提供直 接控股和直接管理关系清单。若与其他投标人 存在单位负责人为同一人或者存在直接控股、 管理关系的，则投标无效。</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资格响应表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 中法定代表人直接参加投标的，须出具法定代 表人身份证，并与营业执照上信息一致。法定 代表人授权代表参加投标的，须出具法定代表 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 人或者存在直接控股、管理关系的不同单位， 不得参加同一项下的政府采购活动。对列入失 信被执行人、政府采购严重违法失信行为记录 名单的供应商，拒绝参与本项目政府采购活动</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响应文件封面 商务偏离表 标的清单 报价表 响应函 报价表及分项报价表</w:t>
            </w:r>
          </w:p>
        </w:tc>
      </w:tr>
      <w:tr>
        <w:tc>
          <w:tcPr>
            <w:tcW w:type="dxa" w:w="831"/>
          </w:tcPr>
          <w:p>
            <w:pPr>
              <w:pStyle w:val="null3"/>
            </w:pPr>
            <w:r>
              <w:rPr/>
              <w:t>3</w:t>
            </w:r>
          </w:p>
        </w:tc>
        <w:tc>
          <w:tcPr>
            <w:tcW w:type="dxa" w:w="2492"/>
          </w:tcPr>
          <w:p>
            <w:pPr>
              <w:pStyle w:val="null3"/>
            </w:pPr>
            <w:r>
              <w:rPr/>
              <w:t>磋商文件规定的其他情形</w:t>
            </w:r>
          </w:p>
        </w:tc>
        <w:tc>
          <w:tcPr>
            <w:tcW w:type="dxa" w:w="3322"/>
          </w:tcPr>
          <w:p>
            <w:pPr>
              <w:pStyle w:val="null3"/>
            </w:pPr>
            <w:r>
              <w:rPr/>
              <w:t>符合磋商文件要求</w:t>
            </w:r>
          </w:p>
        </w:tc>
        <w:tc>
          <w:tcPr>
            <w:tcW w:type="dxa" w:w="1661"/>
          </w:tcPr>
          <w:p>
            <w:pPr>
              <w:pStyle w:val="null3"/>
            </w:pPr>
            <w:r>
              <w:rPr/>
              <w:t>响应文件封面 服务偏差表 商务偏离表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服务方案-1总体管理方案</w:t>
            </w:r>
          </w:p>
        </w:tc>
        <w:tc>
          <w:tcPr>
            <w:tcW w:type="dxa" w:w="2492"/>
          </w:tcPr>
          <w:p>
            <w:pPr>
              <w:pStyle w:val="null3"/>
            </w:pPr>
            <w:r>
              <w:rPr/>
              <w:t>提供针对本项目的总体管理方案（包括但不限于服务管理工作目标、定人定岗实施方案、岗位职责制度与考核办法、工作秩序等） （1）服务方案全面具体、针对性强，管理责任清晰，服务标准高，质量标准明确，且具有优秀的可操作性、及可行性计15分； （2）服务方案较为全面具体、针对性较好，管理责任较为清晰，服务标准较高，质量标准较为明确，且具有良好的可操作性、及可行性计10分； （3）服务方案笼统、欠缺针对性，服务标准较低，可操作性一般计5分。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服务方案-2.专家服务方案</w:t>
            </w:r>
          </w:p>
        </w:tc>
        <w:tc>
          <w:tcPr>
            <w:tcW w:type="dxa" w:w="2492"/>
          </w:tcPr>
          <w:p>
            <w:pPr>
              <w:pStyle w:val="null3"/>
            </w:pPr>
            <w:r>
              <w:rPr/>
              <w:t>针对不同的服务内容列出方案。根据方案的详细程度、合理性和全面性，按以下量化标准分别进行打分，并求出汇总分。 （1）方案详细全面、专业性强、合理性强、规范性强、可操作性强，具有较好的针对性计10分； （2）方案较为详细、较为全面、具有一定的专业性、合理性较好、规范性较好、可操作性较好计7分； （3）方案合理性一般、可操作性一般计3分。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服务方案-3.卫生保洁服务方案</w:t>
            </w:r>
          </w:p>
        </w:tc>
        <w:tc>
          <w:tcPr>
            <w:tcW w:type="dxa" w:w="2492"/>
          </w:tcPr>
          <w:p>
            <w:pPr>
              <w:pStyle w:val="null3"/>
            </w:pPr>
            <w:r>
              <w:rPr/>
              <w:t>针对不同的保洁服务区域列出保洁方案。根据方案的详细程度、合理性和全面性，按以下量化标准分别进行打分，并求出汇总分。 （1）方案详细全面、专业性强、合理性强、规范性强、可操作性强，具有较好的针对性计10分； （2）方案较为详细、较为全面、具有一定的专业性、合理性较好、规范性较好、可操作性较好计7分； （3）方案合理性一般、可操作性一般计3分。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服务方案-4 考核制度建设</w:t>
            </w:r>
          </w:p>
        </w:tc>
        <w:tc>
          <w:tcPr>
            <w:tcW w:type="dxa" w:w="2492"/>
          </w:tcPr>
          <w:p>
            <w:pPr>
              <w:pStyle w:val="null3"/>
            </w:pPr>
            <w:r>
              <w:rPr/>
              <w:t>提供针对本项目拟定的服务要求、工作职能；各岗位管理制度、工作职责；人员培训、日常教育计划；员工考核、奖惩、激励机制等。 （1）有明确的服务标准；各项管理制度规范完善、科学有效；工作流程科学完整，计10分； （2）有服务标准，工作流程完整，各类规章制度较健全，计7分； （3）服务标准或无工作流程的描述或不够完整、可行性一般计3分。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服务方案-5 人员配备情况</w:t>
            </w:r>
          </w:p>
        </w:tc>
        <w:tc>
          <w:tcPr>
            <w:tcW w:type="dxa" w:w="2492"/>
          </w:tcPr>
          <w:p>
            <w:pPr>
              <w:pStyle w:val="null3"/>
            </w:pPr>
            <w:r>
              <w:rPr/>
              <w:t>1、主要管理人员（共5分）： 拟派的主要管理人员具有3年及以上物业管理层工作经验，提供职业能力等级、业务能力、从业经历等证明材料等证明文件，计5分，未按要求提供不得分。 2、其他服务人员（共10分） 服务人员及普通保洁人员配备人数满足采购方需求，根据服务人员及保洁人员的年龄和性别配置、员工数量、从业经验、专业资格/技能能力等情况进行综合评审。人数、年龄和性别配置、从业经验、专业资格/技能能力优于且满足采购方需求计10分；人数、年龄和性别配置、从业经验、专业资格/技能能力较好且满足采购方需求计7分；人数、年龄和性别配置、从业经验、专业资格/技能能力一般且满足采购方需求计3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项目团队</w:t>
            </w:r>
          </w:p>
        </w:tc>
      </w:tr>
      <w:tr>
        <w:tc>
          <w:tcPr>
            <w:tcW w:type="dxa" w:w="831"/>
            <w:vMerge/>
          </w:tcPr>
          <w:p/>
        </w:tc>
        <w:tc>
          <w:tcPr>
            <w:tcW w:type="dxa" w:w="1661"/>
          </w:tcPr>
          <w:p>
            <w:pPr>
              <w:pStyle w:val="null3"/>
            </w:pPr>
            <w:r>
              <w:rPr/>
              <w:t>服务方案-6.保洁设备配备</w:t>
            </w:r>
          </w:p>
        </w:tc>
        <w:tc>
          <w:tcPr>
            <w:tcW w:type="dxa" w:w="2492"/>
          </w:tcPr>
          <w:p>
            <w:pPr>
              <w:pStyle w:val="null3"/>
            </w:pPr>
            <w:r>
              <w:rPr/>
              <w:t>办公、人员服装、清洁保洁、绿化养护等设备、机具、装备、用具、易耗品品目内容分列详细、配备合理，规格档次满足使用要求。 （1）物资配备合理、齐全，物资投入计划合理，能够满足服务期内保洁服务需要，计10分； （2）物资配备较为合理、齐全，基本满足服务期内保洁服务需要计7分； （3）物资配备合理性一般、不够齐全计3分。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服务方案-7特色管理服务及服务优化方案</w:t>
            </w:r>
          </w:p>
        </w:tc>
        <w:tc>
          <w:tcPr>
            <w:tcW w:type="dxa" w:w="2492"/>
          </w:tcPr>
          <w:p>
            <w:pPr>
              <w:pStyle w:val="null3"/>
            </w:pPr>
            <w:r>
              <w:rPr/>
              <w:t>提供具有特色的保洁管理服务思路和措施、增值服务等，方案内容详细全面计4分；方案内容一般计2分。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提供2021年1月1日以来（以合同签订日期为准）类似项目的业绩证明文件，评审时以响应文件中的合同复印件或扫描件加盖公章为计分依据，每份有效业绩得2分，满分10分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企业综合实力</w:t>
            </w:r>
          </w:p>
        </w:tc>
        <w:tc>
          <w:tcPr>
            <w:tcW w:type="dxa" w:w="2492"/>
          </w:tcPr>
          <w:p>
            <w:pPr>
              <w:pStyle w:val="null3"/>
            </w:pPr>
            <w:r>
              <w:rPr/>
              <w:t>提供有效的质量管理体系认证证书、环境管理体系认证证书、职业健康安全管理体系认证证书印件或扫描件加盖公章，每提供一个得2分，满分6分。未提供不得分。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满足磋商文件要求且磋商报价最低的供应商的价格为磋商基准价，其价格分为满分。其他供应商的价格分统一按照下列公式计算： 磋商报价得分=（磋商基准价/磋商报价）×价格权值×100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详见附件：服务方案</w:t>
      </w:r>
    </w:p>
    <w:p>
      <w:pPr>
        <w:pStyle w:val="null3"/>
        <w:ind w:firstLine="960"/>
      </w:pPr>
      <w:r>
        <w:rPr/>
        <w:t>详见附件：服务偏差表</w:t>
      </w:r>
    </w:p>
    <w:p>
      <w:pPr>
        <w:pStyle w:val="null3"/>
        <w:ind w:firstLine="960"/>
      </w:pPr>
      <w:r>
        <w:rPr/>
        <w:t>详见附件：商务偏离表</w:t>
      </w:r>
    </w:p>
    <w:p>
      <w:pPr>
        <w:pStyle w:val="null3"/>
        <w:ind w:firstLine="960"/>
      </w:pPr>
      <w:r>
        <w:rPr/>
        <w:t>详见附件：项目团队</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