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西安市智慧防汛平台（方案编制）项目</w:t>
      </w:r>
    </w:p>
    <w:p>
      <w:pPr>
        <w:pStyle w:val="null3"/>
        <w:jc w:val="center"/>
        <w:outlineLvl w:val="2"/>
      </w:pPr>
      <w:r>
        <w:rPr>
          <w:sz w:val="28"/>
          <w:b/>
        </w:rPr>
        <w:t>采购项目编号：</w:t>
      </w:r>
      <w:r>
        <w:rPr>
          <w:sz w:val="28"/>
          <w:b/>
        </w:rPr>
        <w:t>JCCG2024-10-02</w:t>
      </w:r>
      <w:r>
        <w:br/>
      </w:r>
      <w:r>
        <w:br/>
      </w:r>
      <w:r>
        <w:br/>
      </w:r>
    </w:p>
    <w:p>
      <w:pPr>
        <w:pStyle w:val="null3"/>
        <w:jc w:val="center"/>
        <w:outlineLvl w:val="2"/>
      </w:pPr>
      <w:r>
        <w:rPr>
          <w:sz w:val="28"/>
          <w:b/>
        </w:rPr>
        <w:t>西安市水务建设与发展中心</w:t>
      </w:r>
    </w:p>
    <w:p>
      <w:pPr>
        <w:pStyle w:val="null3"/>
        <w:jc w:val="center"/>
        <w:outlineLvl w:val="2"/>
      </w:pPr>
      <w:r>
        <w:rPr>
          <w:sz w:val="28"/>
          <w:b/>
        </w:rPr>
        <w:t>陕西建诚工程造价咨询有限公司</w:t>
      </w:r>
      <w:r>
        <w:rPr>
          <w:sz w:val="28"/>
          <w:b/>
        </w:rPr>
        <w:t>共同编制</w:t>
      </w:r>
    </w:p>
    <w:p>
      <w:pPr>
        <w:pStyle w:val="null3"/>
        <w:jc w:val="center"/>
        <w:outlineLvl w:val="2"/>
      </w:pPr>
      <w:r>
        <w:rPr>
          <w:sz w:val="28"/>
          <w:b/>
        </w:rPr>
        <w:t>2024年10月28日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陕西建诚工程造价咨询有限公司</w:t>
      </w:r>
      <w:r>
        <w:rPr/>
        <w:t>（以下简称“代理机构”）受</w:t>
      </w:r>
      <w:r>
        <w:rPr/>
        <w:t>西安市水务建设与发展中心</w:t>
      </w:r>
      <w:r>
        <w:rPr/>
        <w:t>委托，拟对</w:t>
      </w:r>
      <w:r>
        <w:rPr/>
        <w:t>西安市智慧防汛平台（方案编制）项目</w:t>
      </w:r>
      <w:r>
        <w:rPr/>
        <w:t>采用竞争性磋商采购方式进行采购，兹邀请供应商参加本项目的竞争性磋商。</w:t>
      </w:r>
    </w:p>
    <w:p>
      <w:pPr>
        <w:pStyle w:val="null3"/>
        <w:outlineLvl w:val="2"/>
      </w:pPr>
      <w:r>
        <w:rPr>
          <w:sz w:val="28"/>
          <w:b/>
        </w:rPr>
        <w:t>一、项目编号：</w:t>
      </w:r>
      <w:r>
        <w:rPr>
          <w:sz w:val="28"/>
          <w:b/>
        </w:rPr>
        <w:t>JCCG2024-10-02</w:t>
      </w:r>
    </w:p>
    <w:p>
      <w:pPr>
        <w:pStyle w:val="null3"/>
        <w:outlineLvl w:val="2"/>
      </w:pPr>
      <w:r>
        <w:rPr>
          <w:sz w:val="28"/>
          <w:b/>
        </w:rPr>
        <w:t>二、项目名称：</w:t>
      </w:r>
      <w:r>
        <w:rPr>
          <w:sz w:val="28"/>
          <w:b/>
        </w:rPr>
        <w:t>西安市智慧防汛平台（方案编制）项目</w:t>
      </w:r>
    </w:p>
    <w:p>
      <w:pPr>
        <w:pStyle w:val="null3"/>
        <w:outlineLvl w:val="2"/>
      </w:pPr>
      <w:r>
        <w:rPr>
          <w:sz w:val="28"/>
          <w:b/>
        </w:rPr>
        <w:t>三、磋商项目简介</w:t>
      </w:r>
    </w:p>
    <w:p>
      <w:pPr>
        <w:pStyle w:val="null3"/>
        <w:ind w:firstLine="480"/>
      </w:pPr>
      <w:r>
        <w:rPr/>
        <w:t>坚持“需求牵引、应用至上、数字赋能、提升能力”总要求，聚焦短时强降雨、中小河流洪水、山洪灾害防御、水库防洪调度、城市排水防涝等防汛重点领域，以发现、防范、化解、管控水灾害重大风险为主线，利用物联网、大数据、人工智能、GIS+BIM数字孪生等新一代信息技术，通过补充前端监测感知设施，整合现有防汛数据资源，打造全市统一防汛数据底座，开发城市内涝分析模型，强化“能监测、会预警、快处置”三大功能，建成西安市智慧防汛平台1.0版，实现西安市全域防汛“三全三化”，即数据资源全整合、动态变化全感知、日常工作全贯通，预报预警自动化、调度决策智慧化、应急指挥协同化，为西安市新阶段防汛工作提供有力支撑和强力驱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1、具备独立承担民事责任的能力，具有法人、事业法人、其它组织或自然人的营业执照等证明文件：具备独立承担民事责任的能力，具有法人、事业法人、其它组织或自然人的营业执照等证明文件，合法有效</w:t>
      </w:r>
    </w:p>
    <w:p>
      <w:pPr>
        <w:pStyle w:val="null3"/>
      </w:pPr>
      <w:r>
        <w:rPr/>
        <w:t>2、法定代表人授权书及被授权人身份证复印件加盖公章；(法定代表人参加只需提供身份证原件及复印件)：法定代表人授权书及被授权人身份证复印件加盖公章；(法定代表人参加只需提供身份证原件及复印件)，合法有效</w:t>
      </w:r>
    </w:p>
    <w:p>
      <w:pPr>
        <w:pStyle w:val="null3"/>
      </w:pPr>
      <w:r>
        <w:rPr/>
        <w:t>3、具有电子通信广电行业(电子系统工程)乙级及以上资质，或电子通信广电行业(有线通信、无线通信)乙级及以上资质，或电子通信广电行业通信工程类专业(有线通信、无线工程)乙级及以上资质：具有电子通信广电行业(电子系统工程)乙级及以上资质，或电子通信广电行业(有线通信、无线通信)乙级及以上资质，或电子通信广电行业通信工程类专业(有线通信、无线工程)乙级及以上资质，合法有效</w:t>
      </w:r>
    </w:p>
    <w:p>
      <w:pPr>
        <w:pStyle w:val="null3"/>
      </w:pPr>
      <w:r>
        <w:rPr/>
        <w:t>4、财务状况报告：提供2021年度或2022年度或2023年度经审计的财务报告（成立时间至提交磋商响应文件截止时间不足一年的可提供成立任意时段的资产负债表），或2024年6月1日至开标时间前其基本存款账户开户银行出具的资信证明及基本存款账户开户许可证（基本账户信息表）：财务状况报告：提供2021年度或2022年度或2023年度经审计的财务报告（成立时间至提交磋商响应文件截止时间不足一年的可提供成立任意时段的资产负债表），或2024年6月1日至开标时间前其基本存款账户开户银行出具的资信证明及基本存款账户开户许可证（基本账户信息表），真实有效</w:t>
      </w:r>
    </w:p>
    <w:p>
      <w:pPr>
        <w:pStyle w:val="null3"/>
      </w:pPr>
      <w:r>
        <w:rPr/>
        <w:t>5、税收缴纳证明：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税收缴纳证明：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真实有效</w:t>
      </w:r>
    </w:p>
    <w:p>
      <w:pPr>
        <w:pStyle w:val="null3"/>
      </w:pPr>
      <w:r>
        <w:rPr/>
        <w:t>6、社会保障资金缴纳证明：提供2024年6月1日至开标时间前已缴存的至少一个月的社会保障资金缴存单据或社保机构开具的社会保险参保缴费情况证明，依法不需要缴纳社会保障资金的单位应提供相关证明材料；：社会保障资金缴纳证明：提供2024年6月1日至开标时间前已缴存的至少一个月的社会保障资金缴存单据或社保机构开具的社会保险参保缴费情况证明，依法不需要缴纳社会保障资金的单位应提供相关证明材料，真实有效</w:t>
      </w:r>
    </w:p>
    <w:p>
      <w:pPr>
        <w:pStyle w:val="null3"/>
      </w:pPr>
      <w:r>
        <w:rPr/>
        <w:t>7、提供具有履行合同所必需的设备和专业技术能力的书面声明：提供具有履行合同所必需的设备和专业技术能力的书面声明，真实有效</w:t>
      </w:r>
    </w:p>
    <w:p>
      <w:pPr>
        <w:pStyle w:val="null3"/>
      </w:pPr>
      <w:r>
        <w:rPr/>
        <w:t>8、供应商不得为“信用中国”网站（www.creditchina.gov.cn）中列入失信被执行人和重大税收违法失信主体，不得为中国政府采购网（www.ccgp.gov.cn）政府采购严重违法失信行为记录名单中被财政部门禁止参加政府采购活动的供应商：供应商不得为“信用中国”网站（www.creditchina.gov.cn）中列入失信被执行人和重大税收违法失信主体，不得为中国政府采购网（www.ccgp.gov.cn）政府采购严重违法失信行为记录名单中被财政部门禁止参加政府采购活动的供应商，真实有效</w:t>
      </w:r>
    </w:p>
    <w:p>
      <w:pPr>
        <w:pStyle w:val="null3"/>
      </w:pPr>
      <w:r>
        <w:rPr/>
        <w:t>9、单位负责人为同一人或者存在控股、管理关系的不同单位不得同时投标：单位负责人为同一人或者存在控股、管理关系的不同单位不得同时投标，真实有效</w:t>
      </w:r>
    </w:p>
    <w:p>
      <w:pPr>
        <w:pStyle w:val="null3"/>
      </w:pPr>
      <w:r>
        <w:rPr/>
        <w:t>10、本项目不接受联合体投标：本项目不接受联合体投标，出具非联合体承诺书，真实有效</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西安市水务建设与发展中心</w:t>
      </w:r>
    </w:p>
    <w:p>
      <w:pPr>
        <w:pStyle w:val="null3"/>
      </w:pPr>
      <w:r>
        <w:rPr/>
        <w:t xml:space="preserve"> 地址： </w:t>
      </w:r>
      <w:r>
        <w:rPr/>
        <w:t>西安市凤锦路58号沣惠综合服务大楼10楼</w:t>
      </w:r>
    </w:p>
    <w:p>
      <w:pPr>
        <w:pStyle w:val="null3"/>
      </w:pPr>
      <w:r>
        <w:rPr/>
        <w:t xml:space="preserve"> 邮编： </w:t>
      </w:r>
      <w:r>
        <w:rPr/>
        <w:t>710021</w:t>
      </w:r>
    </w:p>
    <w:p>
      <w:pPr>
        <w:pStyle w:val="null3"/>
      </w:pPr>
      <w:r>
        <w:rPr/>
        <w:t xml:space="preserve"> 联系人： </w:t>
      </w:r>
      <w:r>
        <w:rPr/>
        <w:t>杨老师</w:t>
      </w:r>
    </w:p>
    <w:p>
      <w:pPr>
        <w:pStyle w:val="null3"/>
      </w:pPr>
      <w:r>
        <w:rPr/>
        <w:t xml:space="preserve"> 联系电话： </w:t>
      </w:r>
      <w:r>
        <w:rPr/>
        <w:t>029-86685246</w:t>
      </w:r>
    </w:p>
    <w:p>
      <w:pPr>
        <w:pStyle w:val="null3"/>
        <w:outlineLvl w:val="3"/>
      </w:pPr>
      <w:r>
        <w:rPr>
          <w:sz w:val="24"/>
          <w:b/>
        </w:rPr>
        <w:t>代理机构：</w:t>
      </w:r>
      <w:r>
        <w:rPr>
          <w:sz w:val="24"/>
          <w:b/>
        </w:rPr>
        <w:t>陕西建诚工程造价咨询有限公司</w:t>
      </w:r>
    </w:p>
    <w:p>
      <w:pPr>
        <w:pStyle w:val="null3"/>
      </w:pPr>
      <w:r>
        <w:rPr/>
        <w:t xml:space="preserve"> 地址： </w:t>
      </w:r>
      <w:r>
        <w:rPr/>
        <w:t>陕西省西安市市本级西安市经济技术开发区未央路赛高国际D座6层3号</w:t>
      </w:r>
    </w:p>
    <w:p>
      <w:pPr>
        <w:pStyle w:val="null3"/>
      </w:pPr>
      <w:r>
        <w:rPr/>
        <w:t xml:space="preserve"> 邮编： </w:t>
      </w:r>
      <w:r>
        <w:rPr/>
        <w:t>710021</w:t>
      </w:r>
    </w:p>
    <w:p>
      <w:pPr>
        <w:pStyle w:val="null3"/>
      </w:pPr>
      <w:r>
        <w:rPr/>
        <w:t xml:space="preserve"> 联系人： </w:t>
      </w:r>
      <w:r>
        <w:rPr/>
        <w:t>陈洪雅、王战茹</w:t>
      </w:r>
    </w:p>
    <w:p>
      <w:pPr>
        <w:pStyle w:val="null3"/>
      </w:pPr>
      <w:r>
        <w:rPr/>
        <w:t xml:space="preserve"> 联系电话： </w:t>
      </w:r>
      <w:r>
        <w:rPr/>
        <w:t>029-86518197</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采购包1：571,600.00元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领取成交通知书时，由成交供应商按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采购招标代理机构一次支付采购代理服务费，招标代理费用不足捌仟元（￥：8000元）时按捌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西安市水务建设与发展中心</w:t>
      </w:r>
      <w:r>
        <w:rPr/>
        <w:t>和</w:t>
      </w:r>
      <w:r>
        <w:rPr/>
        <w:t>陕西建诚工程造价咨询有限公司</w:t>
      </w:r>
      <w:r>
        <w:rPr/>
        <w:t>享有。对磋商文件中供应商参加本次政府采购活动应当具备的条件，磋商项目技术、服务、商务及其他要求，评审细则及标准由</w:t>
      </w:r>
      <w:r>
        <w:rPr/>
        <w:t>西安市水务建设与发展中心</w:t>
      </w:r>
      <w:r>
        <w:rPr/>
        <w:t>负责解释。除上述磋商文件内容，其他内容由</w:t>
      </w:r>
      <w:r>
        <w:rPr/>
        <w:t>陕西建诚工程造价咨询有限公司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西安市水务建设与发展中心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陕西建诚工程造价咨询有限公司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以相关文件约定为准，包括但不限于合同、磋商文件、磋商响应文件等。</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陕西建诚工程造价咨询有限公司</w:t>
      </w:r>
      <w:r>
        <w:rPr/>
        <w:t xml:space="preserve"> 负责答复；供应商对除采购需求外的采购文件的询问、质疑由</w:t>
      </w:r>
      <w:r>
        <w:rPr/>
        <w:t>陕西建诚工程造价咨询有限公司</w:t>
      </w:r>
      <w:r>
        <w:rPr/>
        <w:t xml:space="preserve"> 负责答复；供应商对采购过程、采购结果的询问、质疑由 </w:t>
      </w:r>
      <w:r>
        <w:rPr/>
        <w:t>陕西建诚工程造价咨询有限公司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联系人：陈工、王工</w:t>
      </w:r>
    </w:p>
    <w:p>
      <w:pPr>
        <w:pStyle w:val="null3"/>
      </w:pPr>
      <w:r>
        <w:rPr/>
        <w:t>联系电话：029-86518197</w:t>
      </w:r>
    </w:p>
    <w:p>
      <w:pPr>
        <w:pStyle w:val="null3"/>
      </w:pPr>
      <w:r>
        <w:rPr/>
        <w:t>地址：陕西省西安市市辖区西安市经济技术开发区未央路赛高国际D座6层3号</w:t>
      </w:r>
    </w:p>
    <w:p>
      <w:pPr>
        <w:pStyle w:val="null3"/>
      </w:pPr>
      <w:r>
        <w:rPr/>
        <w:t>邮编：710021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坚持“需求牵引、应用至上、数字赋能、提升能力”总要求，聚焦短时强降雨、中小河流洪水、山洪灾害防御、水库防洪调度、城市排水防涝等防汛重点领域，以发现、防范、化解、管控水灾害重大风险为主线，利用物联网、大数据、人工智能、GIS+BIM数字孪生等新一代信息技术，通过补充前端监测感知设施，整合现有防汛数据资源，打造全市统一防汛数据底座，开发城市内涝分析模型，强化“能监测、会预警、快处置”三大功能，建成西安市智慧防汛平台1.0版，实现西安市全域防汛“三全三化”，即数据资源全整合、动态变化全感知、日常工作全贯通，预报预警自动化、调度决策智慧化、应急指挥协同化，为西安市新阶段防汛工作提供有力支撑和强力驱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571,600.00</w:t>
      </w:r>
    </w:p>
    <w:p>
      <w:pPr>
        <w:pStyle w:val="null3"/>
      </w:pPr>
      <w:r>
        <w:rPr/>
        <w:t>采购包最高限价（元）: 571,600.00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571600</w:t>
            </w:r>
          </w:p>
        </w:tc>
        <w:tc>
          <w:tcPr>
            <w:tcW w:type="dxa" w:w="831"/>
          </w:tcPr>
          <w:p>
            <w:pPr>
              <w:pStyle w:val="null3"/>
              <w:jc w:val="right"/>
            </w:pPr>
            <w:r>
              <w:rPr/>
              <w:t>1.00</w:t>
            </w:r>
          </w:p>
        </w:tc>
        <w:tc>
          <w:tcPr>
            <w:tcW w:type="dxa" w:w="831"/>
          </w:tcPr>
          <w:p>
            <w:pPr>
              <w:pStyle w:val="null3"/>
              <w:jc w:val="right"/>
            </w:pPr>
            <w:r>
              <w:rPr/>
              <w:t>571,600.00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标的名称：571600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项目概况：</w:t>
            </w:r>
            <w:r>
              <w:rPr>
                <w:rFonts w:ascii="宋体" w:hAnsi="宋体" w:cs="宋体" w:eastAsia="宋体"/>
                <w:sz w:val="21"/>
              </w:rPr>
              <w:t>坚持</w:t>
            </w:r>
            <w:r>
              <w:rPr>
                <w:rFonts w:ascii="宋体" w:hAnsi="宋体" w:cs="宋体" w:eastAsia="宋体"/>
                <w:sz w:val="21"/>
              </w:rPr>
              <w:t>“需求牵引、应用至上、数字赋能、提升能力”总要求，聚焦短时强降雨、中小河流洪水、山洪灾害防御、水库防洪调度、城市排水防涝等防汛重点领域，以发现、防范、化解、管控水灾害重大风险为主线，利用物联网、大数据、人工智能、</w:t>
            </w:r>
            <w:r>
              <w:rPr>
                <w:rFonts w:ascii="times new roman, times, serif" w:hAnsi="times new roman, times, serif" w:cs="times new roman, times, serif" w:eastAsia="times new roman, times, serif"/>
                <w:sz w:val="21"/>
              </w:rPr>
              <w:t>GIS+BIM</w:t>
            </w:r>
            <w:r>
              <w:rPr>
                <w:rFonts w:ascii="宋体" w:hAnsi="宋体" w:cs="宋体" w:eastAsia="宋体"/>
                <w:sz w:val="21"/>
              </w:rPr>
              <w:t>数字孪生等新一代信息技术，通过补充前端监测感知设施，整合现有防汛数据资源，打造全市统一防汛数据底座，开发城市内涝分析模型，强化“能监测、会预警、快处置”三大功能，建成西安市智慧防汛平台</w:t>
            </w:r>
            <w:r>
              <w:rPr>
                <w:rFonts w:ascii="times new roman, times, serif" w:hAnsi="times new roman, times, serif" w:cs="times new roman, times, serif" w:eastAsia="times new roman, times, serif"/>
                <w:sz w:val="21"/>
              </w:rPr>
              <w:t>1.0</w:t>
            </w:r>
            <w:r>
              <w:rPr>
                <w:rFonts w:ascii="宋体" w:hAnsi="宋体" w:cs="宋体" w:eastAsia="宋体"/>
                <w:sz w:val="21"/>
              </w:rPr>
              <w:t>版，实现西安市全域防汛“三全三化”，</w:t>
            </w:r>
            <w:r>
              <w:rPr>
                <w:rFonts w:ascii="宋体" w:hAnsi="宋体" w:cs="宋体" w:eastAsia="宋体"/>
                <w:sz w:val="21"/>
              </w:rPr>
              <w:t>即</w:t>
            </w:r>
            <w:r>
              <w:rPr>
                <w:rFonts w:ascii="宋体" w:hAnsi="宋体" w:cs="宋体" w:eastAsia="宋体"/>
                <w:sz w:val="21"/>
              </w:rPr>
              <w:t>数据</w:t>
            </w:r>
            <w:r>
              <w:rPr>
                <w:rFonts w:ascii="宋体" w:hAnsi="宋体" w:cs="宋体" w:eastAsia="宋体"/>
                <w:sz w:val="21"/>
              </w:rPr>
              <w:t>资源全整合、动态变化全感知、日常工作全贯通，预报预警自动化、调度决策智慧化、应急指挥协同化，为西安市新阶段防汛工作提供有力支撑和强力驱动。</w:t>
            </w:r>
          </w:p>
        </w:tc>
      </w:tr>
      <w:tr>
        <w:tc>
          <w:tcPr>
            <w:tcW w:type="dxa" w:w="2769"/>
          </w:tcPr>
          <w:p/>
        </w:tc>
        <w:tc>
          <w:tcPr>
            <w:tcW w:type="dxa" w:w="2769"/>
          </w:tcPr>
          <w:p>
            <w:pPr>
              <w:pStyle w:val="null3"/>
            </w:pPr>
            <w:r>
              <w:rPr/>
              <w:t>2</w:t>
            </w:r>
          </w:p>
        </w:tc>
        <w:tc>
          <w:tcPr>
            <w:tcW w:type="dxa" w:w="2769"/>
          </w:tcPr>
          <w:p>
            <w:pPr>
              <w:pStyle w:val="null3"/>
              <w:jc w:val="left"/>
            </w:pPr>
            <w:r>
              <w:rPr>
                <w:rFonts w:ascii="宋体" w:hAnsi="宋体" w:cs="宋体" w:eastAsia="宋体"/>
                <w:sz w:val="20"/>
              </w:rPr>
              <w:t>设计内容：</w:t>
            </w:r>
            <w:r>
              <w:rPr>
                <w:rFonts w:ascii="宋体" w:hAnsi="宋体" w:cs="宋体" w:eastAsia="宋体"/>
                <w:sz w:val="20"/>
              </w:rPr>
              <w:t>本次项目建设按照市委主要领导在《西安市应急管理局关于健全完善西安市智慧防汛平台工作思路的报告》中</w:t>
            </w:r>
            <w:r>
              <w:rPr>
                <w:rFonts w:ascii="宋体" w:hAnsi="宋体" w:cs="宋体" w:eastAsia="宋体"/>
                <w:sz w:val="20"/>
              </w:rPr>
              <w:t>“形成一个</w:t>
            </w:r>
            <w:r>
              <w:rPr>
                <w:rFonts w:ascii="calibri" w:hAnsi="calibri" w:cs="calibri" w:eastAsia="calibri"/>
                <w:sz w:val="20"/>
              </w:rPr>
              <w:t>AI</w:t>
            </w:r>
            <w:r>
              <w:rPr>
                <w:rFonts w:ascii="宋体" w:hAnsi="宋体" w:cs="宋体" w:eastAsia="宋体"/>
                <w:sz w:val="20"/>
              </w:rPr>
              <w:t>应用场景和示范”、市政府主要领导“统一底座，完善功能、发挥实战作用”的批示要求，以“</w:t>
            </w:r>
            <w:r>
              <w:rPr>
                <w:rFonts w:ascii="calibri" w:hAnsi="calibri" w:cs="calibri" w:eastAsia="calibri"/>
                <w:sz w:val="20"/>
              </w:rPr>
              <w:t>1+1+1+2</w:t>
            </w:r>
            <w:r>
              <w:rPr>
                <w:rFonts w:ascii="宋体" w:hAnsi="宋体" w:cs="宋体" w:eastAsia="宋体"/>
                <w:sz w:val="20"/>
              </w:rPr>
              <w:t>”（</w:t>
            </w:r>
            <w:r>
              <w:rPr>
                <w:rFonts w:ascii="calibri" w:hAnsi="calibri" w:cs="calibri" w:eastAsia="calibri"/>
                <w:sz w:val="20"/>
              </w:rPr>
              <w:t>1</w:t>
            </w:r>
            <w:r>
              <w:rPr>
                <w:rFonts w:ascii="宋体" w:hAnsi="宋体" w:cs="宋体" w:eastAsia="宋体"/>
                <w:sz w:val="20"/>
              </w:rPr>
              <w:t>套标准规范、</w:t>
            </w:r>
            <w:r>
              <w:rPr>
                <w:rFonts w:ascii="calibri" w:hAnsi="calibri" w:cs="calibri" w:eastAsia="calibri"/>
                <w:sz w:val="20"/>
              </w:rPr>
              <w:t>1</w:t>
            </w:r>
            <w:r>
              <w:rPr>
                <w:rFonts w:ascii="宋体" w:hAnsi="宋体" w:cs="宋体" w:eastAsia="宋体"/>
                <w:sz w:val="20"/>
              </w:rPr>
              <w:t>个数据底座、</w:t>
            </w:r>
            <w:r>
              <w:rPr>
                <w:rFonts w:ascii="calibri" w:hAnsi="calibri" w:cs="calibri" w:eastAsia="calibri"/>
                <w:sz w:val="20"/>
              </w:rPr>
              <w:t>1</w:t>
            </w:r>
            <w:r>
              <w:rPr>
                <w:rFonts w:ascii="宋体" w:hAnsi="宋体" w:cs="宋体" w:eastAsia="宋体"/>
                <w:sz w:val="20"/>
              </w:rPr>
              <w:t>个智慧防汛平台、</w:t>
            </w:r>
            <w:r>
              <w:rPr>
                <w:rFonts w:ascii="calibri" w:hAnsi="calibri" w:cs="calibri" w:eastAsia="calibri"/>
                <w:sz w:val="20"/>
              </w:rPr>
              <w:t>2</w:t>
            </w:r>
            <w:r>
              <w:rPr>
                <w:rFonts w:ascii="宋体" w:hAnsi="宋体" w:cs="宋体" w:eastAsia="宋体"/>
                <w:sz w:val="20"/>
              </w:rPr>
              <w:t>个应用系统）的总体思路架构为依据进行初步设计代可行性研究报告的编制工作。方案编制内容包括：应用系统设计、数据底座设计、应用支撑系统设计、前端感知体系设计、城市内涝淹没模型分析设计、模型计算私有环境设计、系统备份设计、网络安全设计、项目边界与接口设计等章节内容；同时编制项目概算，内容包括软硬件设备清单，定制开发软件明细等内容；绘制项目需要的部署图、网络图、架构图等。并给出环保、节能、项目组织架构、实施进度等方面的实施建议。初步设计代可行性研究报告的具体内容为：</w:t>
            </w:r>
          </w:p>
          <w:p>
            <w:pPr>
              <w:pStyle w:val="null3"/>
              <w:jc w:val="left"/>
            </w:pPr>
            <w:r>
              <w:rPr>
                <w:rFonts w:ascii="宋体" w:hAnsi="宋体" w:cs="宋体" w:eastAsia="宋体"/>
                <w:sz w:val="20"/>
              </w:rPr>
              <w:t>应用系统设计</w:t>
            </w:r>
          </w:p>
          <w:p>
            <w:pPr>
              <w:pStyle w:val="null3"/>
              <w:ind w:firstLine="400"/>
              <w:jc w:val="left"/>
            </w:pPr>
            <w:r>
              <w:rPr>
                <w:rFonts w:ascii="宋体" w:hAnsi="宋体" w:cs="宋体" w:eastAsia="宋体"/>
                <w:sz w:val="20"/>
              </w:rPr>
              <w:t>城市内涝气象监测预警系统</w:t>
            </w:r>
          </w:p>
          <w:p>
            <w:pPr>
              <w:pStyle w:val="null3"/>
              <w:jc w:val="left"/>
            </w:pPr>
            <w:r>
              <w:rPr>
                <w:rFonts w:ascii="宋体" w:hAnsi="宋体" w:cs="宋体" w:eastAsia="宋体"/>
                <w:sz w:val="20"/>
              </w:rPr>
              <w:t>包括：城市产流水文模型、</w:t>
            </w:r>
            <w:r>
              <w:rPr>
                <w:rFonts w:ascii="宋体" w:hAnsi="宋体" w:cs="宋体" w:eastAsia="宋体"/>
                <w:sz w:val="20"/>
              </w:rPr>
              <w:t>基础数据收集处理及预处理</w:t>
            </w:r>
            <w:r>
              <w:rPr>
                <w:rFonts w:ascii="宋体" w:hAnsi="宋体" w:cs="宋体" w:eastAsia="宋体"/>
                <w:sz w:val="20"/>
              </w:rPr>
              <w:t>、城市产流水文模型构建、模型参数选取、模型参数率定、模型接口开发等模块设计。</w:t>
            </w:r>
          </w:p>
          <w:p>
            <w:pPr>
              <w:pStyle w:val="null3"/>
              <w:jc w:val="left"/>
            </w:pPr>
            <w:r>
              <w:rPr>
                <w:rFonts w:ascii="宋体" w:hAnsi="宋体" w:cs="宋体" w:eastAsia="宋体"/>
                <w:sz w:val="20"/>
              </w:rPr>
              <w:t>水灾害防御系统</w:t>
            </w:r>
            <w:r>
              <w:rPr>
                <w:rFonts w:ascii="宋体" w:hAnsi="宋体" w:cs="宋体" w:eastAsia="宋体"/>
                <w:sz w:val="20"/>
              </w:rPr>
              <w:t>（业务扩展）</w:t>
            </w:r>
          </w:p>
          <w:p>
            <w:pPr>
              <w:pStyle w:val="null3"/>
              <w:ind w:firstLine="400"/>
              <w:jc w:val="left"/>
            </w:pPr>
            <w:r>
              <w:rPr>
                <w:rFonts w:ascii="宋体" w:hAnsi="宋体" w:cs="宋体" w:eastAsia="宋体"/>
                <w:sz w:val="20"/>
              </w:rPr>
              <w:t>包括：大屏端、山洪灾害、卫星遥感监测、城市内涝、响应处置、措施保障、系统管理、</w:t>
            </w:r>
            <w:r>
              <w:rPr>
                <w:rFonts w:ascii="calibri" w:hAnsi="calibri" w:cs="calibri" w:eastAsia="calibri"/>
                <w:sz w:val="20"/>
              </w:rPr>
              <w:t>APP</w:t>
            </w:r>
            <w:r>
              <w:rPr>
                <w:rFonts w:ascii="宋体" w:hAnsi="宋体" w:cs="宋体" w:eastAsia="宋体"/>
                <w:sz w:val="20"/>
              </w:rPr>
              <w:t>等模块设计。</w:t>
            </w:r>
          </w:p>
          <w:p>
            <w:pPr>
              <w:pStyle w:val="null3"/>
              <w:jc w:val="left"/>
            </w:pPr>
            <w:r>
              <w:rPr>
                <w:rFonts w:ascii="宋体" w:hAnsi="宋体" w:cs="宋体" w:eastAsia="宋体"/>
                <w:sz w:val="20"/>
              </w:rPr>
              <w:t>西安市智慧防汛平台</w:t>
            </w:r>
          </w:p>
          <w:p>
            <w:pPr>
              <w:pStyle w:val="null3"/>
              <w:ind w:firstLine="400"/>
              <w:jc w:val="left"/>
            </w:pPr>
            <w:r>
              <w:rPr>
                <w:rFonts w:ascii="宋体" w:hAnsi="宋体" w:cs="宋体" w:eastAsia="宋体"/>
                <w:sz w:val="20"/>
              </w:rPr>
              <w:t>包括：智慧防汛一张图、监测预警、风险研判、预警响应、保障措施等模块设计。</w:t>
            </w:r>
          </w:p>
          <w:p>
            <w:pPr>
              <w:pStyle w:val="null3"/>
              <w:jc w:val="left"/>
            </w:pPr>
            <w:r>
              <w:rPr>
                <w:rFonts w:ascii="宋体" w:hAnsi="宋体" w:cs="宋体" w:eastAsia="宋体"/>
                <w:sz w:val="20"/>
              </w:rPr>
              <w:t>数据底座设计</w:t>
            </w:r>
          </w:p>
          <w:p>
            <w:pPr>
              <w:pStyle w:val="null3"/>
              <w:ind w:firstLine="400"/>
              <w:jc w:val="left"/>
            </w:pPr>
            <w:r>
              <w:rPr>
                <w:rFonts w:ascii="宋体" w:hAnsi="宋体" w:cs="宋体" w:eastAsia="宋体"/>
                <w:sz w:val="20"/>
              </w:rPr>
              <w:t>包括：数据处理设计、数据库设计、数据资源共享设计、信息资源共享流程、信息资源共享保障等。</w:t>
            </w:r>
          </w:p>
          <w:p>
            <w:pPr>
              <w:pStyle w:val="null3"/>
              <w:jc w:val="left"/>
            </w:pPr>
            <w:r>
              <w:rPr>
                <w:rFonts w:ascii="宋体" w:hAnsi="宋体" w:cs="宋体" w:eastAsia="宋体"/>
                <w:sz w:val="20"/>
              </w:rPr>
              <w:t>应用支撑系统设计</w:t>
            </w:r>
          </w:p>
          <w:p>
            <w:pPr>
              <w:pStyle w:val="null3"/>
              <w:ind w:firstLine="400"/>
              <w:jc w:val="left"/>
            </w:pPr>
            <w:r>
              <w:rPr>
                <w:rFonts w:ascii="宋体" w:hAnsi="宋体" w:cs="宋体" w:eastAsia="宋体"/>
                <w:sz w:val="20"/>
              </w:rPr>
              <w:t>包括：视频内联系统设计、地理空间信息系统设计、物联网平台设计、数据中台设计、融合通信平台设计、通信网络设计等。</w:t>
            </w:r>
          </w:p>
          <w:p>
            <w:pPr>
              <w:pStyle w:val="null3"/>
              <w:jc w:val="left"/>
            </w:pPr>
            <w:r>
              <w:rPr>
                <w:rFonts w:ascii="宋体" w:hAnsi="宋体" w:cs="宋体" w:eastAsia="宋体"/>
                <w:sz w:val="20"/>
              </w:rPr>
              <w:t>前端感知体系设计</w:t>
            </w:r>
          </w:p>
          <w:p>
            <w:pPr>
              <w:pStyle w:val="null3"/>
              <w:ind w:firstLine="400"/>
              <w:jc w:val="left"/>
            </w:pPr>
            <w:r>
              <w:rPr>
                <w:rFonts w:ascii="宋体" w:hAnsi="宋体" w:cs="宋体" w:eastAsia="宋体"/>
                <w:sz w:val="20"/>
              </w:rPr>
              <w:t>包括：积水点监测终端设计、排水口监测终端设计、调蓄湖池监测终端设计、山洪灾害监测站设计、河道水情监测站设计等。</w:t>
            </w:r>
          </w:p>
          <w:p>
            <w:pPr>
              <w:pStyle w:val="null3"/>
              <w:jc w:val="left"/>
            </w:pPr>
            <w:r>
              <w:rPr>
                <w:rFonts w:ascii="宋体" w:hAnsi="宋体" w:cs="宋体" w:eastAsia="宋体"/>
                <w:sz w:val="20"/>
              </w:rPr>
              <w:t>城市内涝淹没模型分析设计</w:t>
            </w:r>
          </w:p>
          <w:p>
            <w:pPr>
              <w:pStyle w:val="null3"/>
              <w:ind w:firstLine="400"/>
              <w:jc w:val="left"/>
            </w:pPr>
            <w:r>
              <w:rPr>
                <w:rFonts w:ascii="宋体" w:hAnsi="宋体" w:cs="宋体" w:eastAsia="宋体"/>
                <w:sz w:val="20"/>
              </w:rPr>
              <w:t>包括：城市地表水动力模型构建、基础数据收集处理及预处理、城市汇流水动力模型构建、城市管网水动力模型构建、二维地表与一维管网耦合模型构建、厂站网河联合调度模型构建、城市内涝过程快速预报模型构建、河道洪水过程快速预报模型构建等。</w:t>
            </w:r>
          </w:p>
          <w:p>
            <w:pPr>
              <w:pStyle w:val="null3"/>
              <w:jc w:val="left"/>
            </w:pPr>
            <w:r>
              <w:rPr>
                <w:rFonts w:ascii="宋体" w:hAnsi="宋体" w:cs="宋体" w:eastAsia="宋体"/>
                <w:sz w:val="20"/>
              </w:rPr>
              <w:t>模型计算私有环境设计</w:t>
            </w:r>
          </w:p>
          <w:p>
            <w:pPr>
              <w:pStyle w:val="null3"/>
              <w:ind w:firstLine="400"/>
              <w:jc w:val="left"/>
            </w:pPr>
            <w:r>
              <w:rPr>
                <w:rFonts w:ascii="宋体" w:hAnsi="宋体" w:cs="宋体" w:eastAsia="宋体"/>
                <w:sz w:val="20"/>
              </w:rPr>
              <w:t>包括：模型计算私有环境部署设计等。</w:t>
            </w:r>
          </w:p>
          <w:p>
            <w:pPr>
              <w:pStyle w:val="null3"/>
              <w:jc w:val="left"/>
            </w:pPr>
            <w:r>
              <w:rPr>
                <w:rFonts w:ascii="宋体" w:hAnsi="宋体" w:cs="宋体" w:eastAsia="宋体"/>
                <w:sz w:val="20"/>
              </w:rPr>
              <w:t>系统备份设计</w:t>
            </w:r>
          </w:p>
          <w:p>
            <w:pPr>
              <w:pStyle w:val="null3"/>
              <w:ind w:firstLine="400"/>
              <w:jc w:val="left"/>
            </w:pPr>
            <w:r>
              <w:rPr>
                <w:rFonts w:ascii="宋体" w:hAnsi="宋体" w:cs="宋体" w:eastAsia="宋体"/>
                <w:sz w:val="20"/>
              </w:rPr>
              <w:t>包括：系统备份设计、备份策略、恢复策略等。</w:t>
            </w:r>
          </w:p>
          <w:p>
            <w:pPr>
              <w:pStyle w:val="null3"/>
              <w:jc w:val="left"/>
            </w:pPr>
            <w:r>
              <w:rPr>
                <w:rFonts w:ascii="宋体" w:hAnsi="宋体" w:cs="宋体" w:eastAsia="宋体"/>
                <w:sz w:val="20"/>
              </w:rPr>
              <w:t>网络安全设计</w:t>
            </w:r>
          </w:p>
          <w:p>
            <w:pPr>
              <w:pStyle w:val="null3"/>
              <w:ind w:firstLine="400"/>
              <w:jc w:val="left"/>
            </w:pPr>
            <w:r>
              <w:rPr>
                <w:rFonts w:ascii="宋体" w:hAnsi="宋体" w:cs="宋体" w:eastAsia="宋体"/>
                <w:sz w:val="20"/>
              </w:rPr>
              <w:t>包括：信息系统安全等级定级、安全体系架构、信息安全监控、预警和应急处置、信息系统安全管理方案、信息安全设备选型、密码应用建设方案等。</w:t>
            </w:r>
          </w:p>
          <w:p>
            <w:pPr>
              <w:pStyle w:val="null3"/>
              <w:jc w:val="left"/>
            </w:pPr>
            <w:r>
              <w:rPr>
                <w:rFonts w:ascii="宋体" w:hAnsi="宋体" w:cs="宋体" w:eastAsia="宋体"/>
                <w:sz w:val="20"/>
              </w:rPr>
              <w:t>项目边界与接口设计</w:t>
            </w:r>
          </w:p>
          <w:p>
            <w:pPr>
              <w:pStyle w:val="null3"/>
              <w:jc w:val="both"/>
            </w:pPr>
            <w:r>
              <w:rPr>
                <w:rFonts w:ascii="宋体" w:hAnsi="宋体" w:cs="宋体" w:eastAsia="宋体"/>
                <w:sz w:val="20"/>
              </w:rPr>
              <w:t>包括：城市地表内涝模型适用接口开发、城市管网模型适用接口开发、河道洪水模型适用接口开发等。</w:t>
            </w:r>
          </w:p>
        </w:tc>
      </w:tr>
      <w:tr>
        <w:tc>
          <w:tcPr>
            <w:tcW w:type="dxa" w:w="2769"/>
          </w:tcPr>
          <w:p/>
        </w:tc>
        <w:tc>
          <w:tcPr>
            <w:tcW w:type="dxa" w:w="2769"/>
          </w:tcPr>
          <w:p>
            <w:pPr>
              <w:pStyle w:val="null3"/>
            </w:pPr>
            <w:r>
              <w:rPr/>
              <w:t>3</w:t>
            </w:r>
          </w:p>
        </w:tc>
        <w:tc>
          <w:tcPr>
            <w:tcW w:type="dxa" w:w="2769"/>
          </w:tcPr>
          <w:p>
            <w:pPr>
              <w:pStyle w:val="null3"/>
              <w:ind w:firstLine="400"/>
              <w:jc w:val="left"/>
            </w:pPr>
            <w:r>
              <w:rPr>
                <w:rFonts w:ascii="宋体" w:hAnsi="宋体" w:cs="宋体" w:eastAsia="宋体"/>
                <w:sz w:val="20"/>
              </w:rPr>
              <w:t>设计要求：</w:t>
            </w:r>
            <w:r>
              <w:rPr>
                <w:rFonts w:ascii="宋体" w:hAnsi="宋体" w:cs="宋体" w:eastAsia="宋体"/>
                <w:sz w:val="20"/>
              </w:rPr>
              <w:t>按照《西安市应急管理局关于健全完善西安市智慧防汛平台工作思路的报告》中市委、市政府主要领导批示要求，充分调研分析西安市防汛相关系统现状，根据市应急局、市水务局、市气象局、市资规局等防汛业务部门需求及上级文件、行业标准、国家规范，编制西安市智慧防汛平台初步设计代可行性研究报告。具体内容包括但不限于：</w:t>
            </w:r>
          </w:p>
          <w:p>
            <w:pPr>
              <w:pStyle w:val="null3"/>
              <w:ind w:firstLine="400"/>
              <w:jc w:val="left"/>
            </w:pPr>
            <w:r>
              <w:rPr>
                <w:rFonts w:ascii="宋体" w:hAnsi="宋体" w:cs="宋体" w:eastAsia="宋体"/>
                <w:sz w:val="20"/>
              </w:rPr>
              <w:t>项目建设的目标、任务、范围、工期；</w:t>
            </w:r>
          </w:p>
          <w:p>
            <w:pPr>
              <w:pStyle w:val="null3"/>
              <w:ind w:firstLine="400"/>
              <w:jc w:val="left"/>
            </w:pPr>
            <w:r>
              <w:rPr>
                <w:rFonts w:ascii="宋体" w:hAnsi="宋体" w:cs="宋体" w:eastAsia="宋体"/>
                <w:sz w:val="20"/>
              </w:rPr>
              <w:t>项目建设的必要性、需求分析；</w:t>
            </w:r>
          </w:p>
          <w:p>
            <w:pPr>
              <w:pStyle w:val="null3"/>
              <w:ind w:firstLine="400"/>
              <w:jc w:val="left"/>
            </w:pPr>
            <w:r>
              <w:rPr>
                <w:rFonts w:ascii="宋体" w:hAnsi="宋体" w:cs="宋体" w:eastAsia="宋体"/>
                <w:sz w:val="20"/>
              </w:rPr>
              <w:t>项目建设的设计原则和目标；</w:t>
            </w:r>
          </w:p>
          <w:p>
            <w:pPr>
              <w:pStyle w:val="null3"/>
              <w:ind w:firstLine="400"/>
              <w:jc w:val="left"/>
            </w:pPr>
            <w:r>
              <w:rPr>
                <w:rFonts w:ascii="宋体" w:hAnsi="宋体" w:cs="宋体" w:eastAsia="宋体"/>
                <w:sz w:val="20"/>
              </w:rPr>
              <w:t>设计项目总体架构，编绘系统架构图；</w:t>
            </w:r>
          </w:p>
          <w:p>
            <w:pPr>
              <w:pStyle w:val="null3"/>
              <w:ind w:firstLine="400"/>
              <w:jc w:val="left"/>
            </w:pPr>
            <w:r>
              <w:rPr>
                <w:rFonts w:ascii="宋体" w:hAnsi="宋体" w:cs="宋体" w:eastAsia="宋体"/>
                <w:sz w:val="20"/>
              </w:rPr>
              <w:t>项目具体建设内容（应用系统设计、数据底座设计、应用支撑设计、前端感知体系设计、城市内涝淹没模型分析设计、模型计算私有环境设计、系统备份设计、网络安全设计、项目边界与接口设计等）的初步设计代可行性研究报告方案；</w:t>
            </w:r>
          </w:p>
          <w:p>
            <w:pPr>
              <w:pStyle w:val="null3"/>
              <w:ind w:firstLine="400"/>
              <w:jc w:val="left"/>
            </w:pPr>
            <w:r>
              <w:rPr>
                <w:rFonts w:ascii="宋体" w:hAnsi="宋体" w:cs="宋体" w:eastAsia="宋体"/>
                <w:sz w:val="20"/>
              </w:rPr>
              <w:t>落实安全可靠要求的相关说明方案；</w:t>
            </w:r>
          </w:p>
          <w:p>
            <w:pPr>
              <w:pStyle w:val="null3"/>
              <w:ind w:firstLine="400"/>
              <w:jc w:val="left"/>
            </w:pPr>
            <w:r>
              <w:rPr>
                <w:rFonts w:ascii="宋体" w:hAnsi="宋体" w:cs="宋体" w:eastAsia="宋体"/>
                <w:sz w:val="20"/>
              </w:rPr>
              <w:t>项目建设管理方案；</w:t>
            </w:r>
          </w:p>
          <w:p>
            <w:pPr>
              <w:pStyle w:val="null3"/>
              <w:ind w:firstLine="400"/>
              <w:jc w:val="left"/>
            </w:pPr>
            <w:r>
              <w:rPr>
                <w:rFonts w:ascii="宋体" w:hAnsi="宋体" w:cs="宋体" w:eastAsia="宋体"/>
                <w:sz w:val="20"/>
              </w:rPr>
              <w:t>项目运维方案；</w:t>
            </w:r>
          </w:p>
          <w:p>
            <w:pPr>
              <w:pStyle w:val="null3"/>
              <w:ind w:firstLine="400"/>
              <w:jc w:val="left"/>
            </w:pPr>
            <w:r>
              <w:rPr>
                <w:rFonts w:ascii="宋体" w:hAnsi="宋体" w:cs="宋体" w:eastAsia="宋体"/>
                <w:sz w:val="20"/>
              </w:rPr>
              <w:t>项目投资概算和资金来源；</w:t>
            </w:r>
          </w:p>
          <w:p>
            <w:pPr>
              <w:pStyle w:val="null3"/>
              <w:ind w:firstLine="400"/>
              <w:jc w:val="left"/>
            </w:pPr>
            <w:r>
              <w:rPr>
                <w:rFonts w:ascii="宋体" w:hAnsi="宋体" w:cs="宋体" w:eastAsia="宋体"/>
                <w:sz w:val="20"/>
              </w:rPr>
              <w:t>项目风险与风险对策；</w:t>
            </w:r>
          </w:p>
          <w:p>
            <w:pPr>
              <w:pStyle w:val="null3"/>
              <w:jc w:val="both"/>
            </w:pPr>
            <w:r>
              <w:rPr>
                <w:rFonts w:ascii="宋体" w:hAnsi="宋体" w:cs="宋体" w:eastAsia="宋体"/>
                <w:sz w:val="20"/>
              </w:rPr>
              <w:t>在项目初步设计代可行性研究报告编制过程中，必须及时解决甲方提出的有关业务和技术的咨询问题。</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服务期：</w:t>
            </w:r>
            <w:r>
              <w:rPr>
                <w:rFonts w:ascii="宋体" w:hAnsi="宋体" w:cs="宋体" w:eastAsia="宋体"/>
                <w:sz w:val="20"/>
              </w:rPr>
              <w:t>设计服务期限：合同签订后</w:t>
            </w:r>
            <w:r>
              <w:rPr>
                <w:rFonts w:ascii="calibri" w:hAnsi="calibri" w:cs="calibri" w:eastAsia="calibri"/>
                <w:sz w:val="20"/>
              </w:rPr>
              <w:t xml:space="preserve">30 </w:t>
            </w:r>
            <w:r>
              <w:rPr>
                <w:rFonts w:ascii="宋体" w:hAnsi="宋体" w:cs="宋体" w:eastAsia="宋体"/>
                <w:sz w:val="20"/>
              </w:rPr>
              <w:t>天内提交全套初步设计代可行性研究报告文件，纸质版</w:t>
            </w:r>
            <w:r>
              <w:rPr>
                <w:rFonts w:ascii="calibri" w:hAnsi="calibri" w:cs="calibri" w:eastAsia="calibri"/>
                <w:sz w:val="20"/>
              </w:rPr>
              <w:t>8</w:t>
            </w:r>
            <w:r>
              <w:rPr>
                <w:rFonts w:ascii="宋体" w:hAnsi="宋体" w:cs="宋体" w:eastAsia="宋体"/>
                <w:sz w:val="20"/>
              </w:rPr>
              <w:t>份，电子版</w:t>
            </w:r>
            <w:r>
              <w:rPr>
                <w:rFonts w:ascii="calibri" w:hAnsi="calibri" w:cs="calibri" w:eastAsia="calibri"/>
                <w:sz w:val="20"/>
              </w:rPr>
              <w:t>2</w:t>
            </w:r>
            <w:r>
              <w:rPr>
                <w:rFonts w:ascii="宋体" w:hAnsi="宋体" w:cs="宋体" w:eastAsia="宋体"/>
                <w:sz w:val="20"/>
              </w:rPr>
              <w:t>份</w:t>
            </w:r>
            <w:r>
              <w:rPr>
                <w:rFonts w:ascii="calibri" w:hAnsi="calibri" w:cs="calibri" w:eastAsia="calibri"/>
                <w:sz w:val="20"/>
              </w:rPr>
              <w:t xml:space="preserve">(pdf </w:t>
            </w:r>
            <w:r>
              <w:rPr>
                <w:rFonts w:ascii="宋体" w:hAnsi="宋体" w:cs="宋体" w:eastAsia="宋体"/>
                <w:sz w:val="20"/>
              </w:rPr>
              <w:t>格式</w:t>
            </w:r>
            <w:r>
              <w:rPr>
                <w:rFonts w:ascii="calibri" w:hAnsi="calibri" w:cs="calibri" w:eastAsia="calibri"/>
                <w:sz w:val="20"/>
              </w:rPr>
              <w:t>1</w:t>
            </w:r>
            <w:r>
              <w:rPr>
                <w:rFonts w:ascii="宋体" w:hAnsi="宋体" w:cs="宋体" w:eastAsia="宋体"/>
                <w:sz w:val="20"/>
              </w:rPr>
              <w:t>份，</w:t>
            </w:r>
            <w:r>
              <w:rPr>
                <w:rFonts w:ascii="calibri" w:hAnsi="calibri" w:cs="calibri" w:eastAsia="calibri"/>
                <w:sz w:val="20"/>
              </w:rPr>
              <w:t xml:space="preserve">.doc </w:t>
            </w:r>
            <w:r>
              <w:rPr>
                <w:rFonts w:ascii="宋体" w:hAnsi="宋体" w:cs="宋体" w:eastAsia="宋体"/>
                <w:sz w:val="20"/>
              </w:rPr>
              <w:t>格式</w:t>
            </w:r>
            <w:r>
              <w:rPr>
                <w:rFonts w:ascii="calibri" w:hAnsi="calibri" w:cs="calibri" w:eastAsia="calibri"/>
                <w:sz w:val="20"/>
              </w:rPr>
              <w:t>1</w:t>
            </w:r>
            <w:r>
              <w:rPr>
                <w:rFonts w:ascii="宋体" w:hAnsi="宋体" w:cs="宋体" w:eastAsia="宋体"/>
                <w:sz w:val="20"/>
              </w:rPr>
              <w:t>份</w:t>
            </w:r>
            <w:r>
              <w:rPr>
                <w:rFonts w:ascii="calibri" w:hAnsi="calibri" w:cs="calibri" w:eastAsia="calibri"/>
                <w:sz w:val="20"/>
              </w:rPr>
              <w:t>)</w:t>
            </w:r>
            <w:r>
              <w:rPr>
                <w:rFonts w:ascii="宋体" w:hAnsi="宋体" w:cs="宋体" w:eastAsia="宋体"/>
                <w:sz w:val="20"/>
              </w:rPr>
              <w:t>。</w:t>
            </w:r>
          </w:p>
        </w:tc>
      </w:tr>
      <w:tr>
        <w:tc>
          <w:tcPr>
            <w:tcW w:type="dxa" w:w="2769"/>
          </w:tcPr>
          <w:p/>
        </w:tc>
        <w:tc>
          <w:tcPr>
            <w:tcW w:type="dxa" w:w="2769"/>
          </w:tcPr>
          <w:p>
            <w:pPr>
              <w:pStyle w:val="null3"/>
            </w:pPr>
            <w:r>
              <w:rPr/>
              <w:t>5</w:t>
            </w:r>
          </w:p>
        </w:tc>
        <w:tc>
          <w:tcPr>
            <w:tcW w:type="dxa" w:w="2769"/>
          </w:tcPr>
          <w:p>
            <w:pPr>
              <w:pStyle w:val="null3"/>
              <w:ind w:firstLine="400"/>
              <w:jc w:val="both"/>
            </w:pPr>
            <w:r>
              <w:rPr>
                <w:rFonts w:ascii="宋体" w:hAnsi="宋体" w:cs="宋体" w:eastAsia="宋体"/>
                <w:sz w:val="20"/>
              </w:rPr>
              <w:t>任务要求：</w:t>
            </w:r>
            <w:r>
              <w:rPr>
                <w:rFonts w:ascii="宋体" w:hAnsi="宋体" w:cs="宋体" w:eastAsia="宋体"/>
                <w:sz w:val="20"/>
              </w:rPr>
              <w:t>按进度要求完成设计服务，并通过合同履约验收和市数据局组织的专家评审。</w:t>
            </w:r>
          </w:p>
        </w:tc>
      </w:tr>
    </w:tbl>
    <w:p>
      <w:pPr>
        <w:pStyle w:val="null3"/>
        <w:outlineLvl w:val="2"/>
      </w:pPr>
      <w:r>
        <w:rPr>
          <w:sz w:val="28"/>
          <w:b/>
        </w:rPr>
        <w:t>3.2.3人员配置要求</w:t>
      </w:r>
    </w:p>
    <w:p>
      <w:pPr>
        <w:pStyle w:val="null3"/>
      </w:pPr>
      <w:r>
        <w:rPr/>
        <w:t>采购包1：</w:t>
      </w:r>
    </w:p>
    <w:p>
      <w:pPr>
        <w:pStyle w:val="null3"/>
      </w:pPr>
      <w:r>
        <w:rPr/>
        <w:t>满足项目所需人员要求</w:t>
      </w:r>
    </w:p>
    <w:p>
      <w:pPr>
        <w:pStyle w:val="null3"/>
        <w:outlineLvl w:val="2"/>
      </w:pPr>
      <w:r>
        <w:rPr>
          <w:sz w:val="28"/>
          <w:b/>
        </w:rPr>
        <w:t>3.2.4设施设备要求</w:t>
      </w:r>
    </w:p>
    <w:p>
      <w:pPr>
        <w:pStyle w:val="null3"/>
      </w:pPr>
      <w:r>
        <w:rPr/>
        <w:t>采购包1：</w:t>
      </w:r>
    </w:p>
    <w:p>
      <w:pPr>
        <w:pStyle w:val="null3"/>
      </w:pPr>
      <w:r>
        <w:rPr/>
        <w:t>满足项目所需设施设备要求</w:t>
      </w:r>
    </w:p>
    <w:p>
      <w:pPr>
        <w:pStyle w:val="null3"/>
        <w:outlineLvl w:val="2"/>
      </w:pPr>
      <w:r>
        <w:rPr>
          <w:sz w:val="28"/>
          <w:b/>
        </w:rPr>
        <w:t>3.2.5其他要求</w:t>
      </w:r>
    </w:p>
    <w:p>
      <w:pPr>
        <w:pStyle w:val="null3"/>
      </w:pPr>
      <w:r>
        <w:rPr/>
        <w:t>采购包1：</w:t>
      </w:r>
    </w:p>
    <w:p>
      <w:pPr>
        <w:pStyle w:val="null3"/>
      </w:pPr>
      <w:r>
        <w:rPr/>
        <w:t>1.符合竞争性磋商文件规定 2.最高限价：总预算：571600.00元 供应商采购包报价高于采购包采购预算的，其响应文件将按无效处理。</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 30 天内提交全套初步设计代可行性研究报告文件，纸质版8份，电子版2份(pdf 格式1份，.doc 格式1份)。</w:t>
      </w:r>
    </w:p>
    <w:p>
      <w:pPr>
        <w:pStyle w:val="null3"/>
        <w:outlineLvl w:val="3"/>
      </w:pPr>
      <w:r>
        <w:rPr>
          <w:sz w:val="24"/>
          <w:b/>
        </w:rPr>
        <w:t>3.3.2服务地点</w:t>
      </w:r>
    </w:p>
    <w:p>
      <w:pPr>
        <w:pStyle w:val="null3"/>
      </w:pPr>
      <w:r>
        <w:rPr/>
        <w:t>采购包1：</w:t>
      </w:r>
    </w:p>
    <w:p>
      <w:pPr>
        <w:pStyle w:val="null3"/>
      </w:pPr>
      <w:r>
        <w:rPr/>
        <w:t>以合同约定为准</w:t>
      </w:r>
    </w:p>
    <w:p>
      <w:pPr>
        <w:pStyle w:val="null3"/>
        <w:outlineLvl w:val="3"/>
      </w:pPr>
      <w:r>
        <w:rPr>
          <w:sz w:val="24"/>
          <w:b/>
        </w:rPr>
        <w:t>3.3.3考核（验收）标准和方法</w:t>
      </w:r>
    </w:p>
    <w:p>
      <w:pPr>
        <w:pStyle w:val="null3"/>
      </w:pPr>
      <w:r>
        <w:rPr/>
        <w:t>采购包1：</w:t>
      </w:r>
    </w:p>
    <w:p>
      <w:pPr>
        <w:pStyle w:val="null3"/>
      </w:pPr>
      <w:r>
        <w:rPr/>
        <w:t>以合同约定为准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初步设计代可行性研究报告编制项目完成合同履约验收，并通过市数据局组织的专家评审后，一次性支付合同全部价款。</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以合同约定为准</w:t>
      </w:r>
    </w:p>
    <w:p>
      <w:pPr>
        <w:pStyle w:val="null3"/>
        <w:outlineLvl w:val="2"/>
      </w:pPr>
      <w:r>
        <w:rPr>
          <w:sz w:val="28"/>
          <w:b/>
        </w:rPr>
        <w:t>3.4其他要求</w:t>
      </w:r>
    </w:p>
    <w:p>
      <w:pPr>
        <w:pStyle w:val="null3"/>
      </w:pPr>
      <w:r>
        <w:rPr/>
        <w:t>1、为保障政府采购电子化交易平台项目实施，供应商需要在线提交所有通过电子化交易平台实施的政府采购项目的响应文件，同时，中标单位在中标后应无偿线下递交响应文件正本壹套、副本贰套、电子版U盘贰套(U盘贰套标明供应商名称，单独密封）。若电子响应文件与纸质响应文件不一致的，以电子响应文件为准，若正本和副本不符，以正本为准。线上递交文件时间：详见本项目磋商公告响应文件递交截止时间：线下递交文件时间地点:具体递交时间以代理机构通知为准，地址：陕西省西安市市辖区西安市经济技术开发区未央路赛高国际D座6层3号。 2、如磋商文件中融资相关内容与新政策要求有出入，按照最新要求执行。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资格审查文件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具备独立承担民事责任的能力，具有法人、事业法人、其它组织或自然人的营业执照等证明文件</w:t>
            </w:r>
          </w:p>
        </w:tc>
        <w:tc>
          <w:tcPr>
            <w:tcW w:type="dxa" w:w="3322"/>
          </w:tcPr>
          <w:p>
            <w:pPr>
              <w:pStyle w:val="null3"/>
            </w:pPr>
            <w:r>
              <w:rPr/>
              <w:t>具备独立承担民事责任的能力，具有法人、事业法人、其它组织或自然人的营业执照等证明文件，合法有效</w:t>
            </w:r>
          </w:p>
        </w:tc>
        <w:tc>
          <w:tcPr>
            <w:tcW w:type="dxa" w:w="1661"/>
          </w:tcPr>
          <w:p>
            <w:pPr>
              <w:pStyle w:val="null3"/>
            </w:pPr>
            <w:r>
              <w:rPr/>
              <w:t>资格审查文件</w:t>
            </w:r>
          </w:p>
        </w:tc>
      </w:tr>
      <w:tr>
        <w:tc>
          <w:tcPr>
            <w:tcW w:type="dxa" w:w="831"/>
          </w:tcPr>
          <w:p>
            <w:pPr>
              <w:pStyle w:val="null3"/>
            </w:pPr>
            <w:r>
              <w:rPr/>
              <w:t>2</w:t>
            </w:r>
          </w:p>
        </w:tc>
        <w:tc>
          <w:tcPr>
            <w:tcW w:type="dxa" w:w="2492"/>
          </w:tcPr>
          <w:p>
            <w:pPr>
              <w:pStyle w:val="null3"/>
            </w:pPr>
            <w:r>
              <w:rPr/>
              <w:t>法定代表人授权书及被授权人身份证复印件加盖公章；(法定代表人参加只需提供身份证原件及复印件)</w:t>
            </w:r>
          </w:p>
        </w:tc>
        <w:tc>
          <w:tcPr>
            <w:tcW w:type="dxa" w:w="3322"/>
          </w:tcPr>
          <w:p>
            <w:pPr>
              <w:pStyle w:val="null3"/>
            </w:pPr>
            <w:r>
              <w:rPr/>
              <w:t>法定代表人授权书及被授权人身份证复印件加盖公章；(法定代表人参加只需提供身份证原件及复印件)，合法有效</w:t>
            </w:r>
          </w:p>
        </w:tc>
        <w:tc>
          <w:tcPr>
            <w:tcW w:type="dxa" w:w="1661"/>
          </w:tcPr>
          <w:p>
            <w:pPr>
              <w:pStyle w:val="null3"/>
            </w:pPr>
            <w:r>
              <w:rPr/>
              <w:t>资格审查文件</w:t>
            </w:r>
          </w:p>
        </w:tc>
      </w:tr>
      <w:tr>
        <w:tc>
          <w:tcPr>
            <w:tcW w:type="dxa" w:w="831"/>
          </w:tcPr>
          <w:p>
            <w:pPr>
              <w:pStyle w:val="null3"/>
            </w:pPr>
            <w:r>
              <w:rPr/>
              <w:t>3</w:t>
            </w:r>
          </w:p>
        </w:tc>
        <w:tc>
          <w:tcPr>
            <w:tcW w:type="dxa" w:w="2492"/>
          </w:tcPr>
          <w:p>
            <w:pPr>
              <w:pStyle w:val="null3"/>
            </w:pPr>
            <w:r>
              <w:rPr/>
              <w:t>具有电子通信广电行业(电子系统工程)乙级及以上资质，或电子通信广电行业(有线通信、无线通信)乙级及以上资质，或电子通信广电行业通信工程类专业(有线通信、无线工程)乙级及以上资质</w:t>
            </w:r>
          </w:p>
        </w:tc>
        <w:tc>
          <w:tcPr>
            <w:tcW w:type="dxa" w:w="3322"/>
          </w:tcPr>
          <w:p>
            <w:pPr>
              <w:pStyle w:val="null3"/>
            </w:pPr>
            <w:r>
              <w:rPr/>
              <w:t>具有电子通信广电行业(电子系统工程)乙级及以上资质，或电子通信广电行业(有线通信、无线通信)乙级及以上资质，或电子通信广电行业通信工程类专业(有线通信、无线工程)乙级及以上资质，合法有效</w:t>
            </w:r>
          </w:p>
        </w:tc>
        <w:tc>
          <w:tcPr>
            <w:tcW w:type="dxa" w:w="1661"/>
          </w:tcPr>
          <w:p>
            <w:pPr>
              <w:pStyle w:val="null3"/>
            </w:pPr>
            <w:r>
              <w:rPr/>
              <w:t>资格审查文件</w:t>
            </w:r>
          </w:p>
        </w:tc>
      </w:tr>
      <w:tr>
        <w:tc>
          <w:tcPr>
            <w:tcW w:type="dxa" w:w="831"/>
          </w:tcPr>
          <w:p>
            <w:pPr>
              <w:pStyle w:val="null3"/>
            </w:pPr>
            <w:r>
              <w:rPr/>
              <w:t>4</w:t>
            </w:r>
          </w:p>
        </w:tc>
        <w:tc>
          <w:tcPr>
            <w:tcW w:type="dxa" w:w="2492"/>
          </w:tcPr>
          <w:p>
            <w:pPr>
              <w:pStyle w:val="null3"/>
            </w:pPr>
            <w:r>
              <w:rPr/>
              <w:t>财务状况报告：提供2021年度或2022年度或2023年度经审计的财务报告（成立时间至提交磋商响应文件截止时间不足一年的可提供成立任意时段的资产负债表），或2024年6月1日至开标时间前其基本存款账户开户银行出具的资信证明及基本存款账户开户许可证（基本账户信息表）</w:t>
            </w:r>
          </w:p>
        </w:tc>
        <w:tc>
          <w:tcPr>
            <w:tcW w:type="dxa" w:w="3322"/>
          </w:tcPr>
          <w:p>
            <w:pPr>
              <w:pStyle w:val="null3"/>
            </w:pPr>
            <w:r>
              <w:rPr/>
              <w:t>财务状况报告：提供2021年度或2022年度或2023年度经审计的财务报告（成立时间至提交磋商响应文件截止时间不足一年的可提供成立任意时段的资产负债表），或2024年6月1日至开标时间前其基本存款账户开户银行出具的资信证明及基本存款账户开户许可证（基本账户信息表），真实有效</w:t>
            </w:r>
          </w:p>
        </w:tc>
        <w:tc>
          <w:tcPr>
            <w:tcW w:type="dxa" w:w="1661"/>
          </w:tcPr>
          <w:p>
            <w:pPr>
              <w:pStyle w:val="null3"/>
            </w:pPr>
            <w:r>
              <w:rPr/>
              <w:t>资格审查文件</w:t>
            </w:r>
          </w:p>
        </w:tc>
      </w:tr>
      <w:tr>
        <w:tc>
          <w:tcPr>
            <w:tcW w:type="dxa" w:w="831"/>
          </w:tcPr>
          <w:p>
            <w:pPr>
              <w:pStyle w:val="null3"/>
            </w:pPr>
            <w:r>
              <w:rPr/>
              <w:t>5</w:t>
            </w:r>
          </w:p>
        </w:tc>
        <w:tc>
          <w:tcPr>
            <w:tcW w:type="dxa" w:w="2492"/>
          </w:tcPr>
          <w:p>
            <w:pPr>
              <w:pStyle w:val="null3"/>
            </w:pPr>
            <w:r>
              <w:rPr/>
              <w:t>税收缴纳证明：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w:t>
            </w:r>
          </w:p>
        </w:tc>
        <w:tc>
          <w:tcPr>
            <w:tcW w:type="dxa" w:w="3322"/>
          </w:tcPr>
          <w:p>
            <w:pPr>
              <w:pStyle w:val="null3"/>
            </w:pPr>
            <w:r>
              <w:rPr/>
              <w:t>税收缴纳证明：提供2024年6月1日至开标时间前已缴纳的至少一个月的纳税证明或完税证明（税种应包含营业税或增值税或企业所得税），其中纳税证明或完税证明上应有代收机构或税务机关的公章或业务专用章，其他组织和自然人提供自2024年6月1日至开标时间前至少一个月缴纳税收的凭据，依法免税的单位应提供相关证明材料，真实有效</w:t>
            </w:r>
          </w:p>
        </w:tc>
        <w:tc>
          <w:tcPr>
            <w:tcW w:type="dxa" w:w="1661"/>
          </w:tcPr>
          <w:p>
            <w:pPr>
              <w:pStyle w:val="null3"/>
            </w:pPr>
            <w:r>
              <w:rPr/>
              <w:t>资格审查文件</w:t>
            </w:r>
          </w:p>
        </w:tc>
      </w:tr>
      <w:tr>
        <w:tc>
          <w:tcPr>
            <w:tcW w:type="dxa" w:w="831"/>
          </w:tcPr>
          <w:p>
            <w:pPr>
              <w:pStyle w:val="null3"/>
            </w:pPr>
            <w:r>
              <w:rPr/>
              <w:t>6</w:t>
            </w:r>
          </w:p>
        </w:tc>
        <w:tc>
          <w:tcPr>
            <w:tcW w:type="dxa" w:w="2492"/>
          </w:tcPr>
          <w:p>
            <w:pPr>
              <w:pStyle w:val="null3"/>
            </w:pPr>
            <w:r>
              <w:rPr/>
              <w:t>社会保障资金缴纳证明：提供2024年6月1日至开标时间前已缴存的至少一个月的社会保障资金缴存单据或社保机构开具的社会保险参保缴费情况证明，依法不需要缴纳社会保障资金的单位应提供相关证明材料；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t>社会保障资金缴纳证明：提供2024年6月1日至开标时间前已缴存的至少一个月的社会保障资金缴存单据或社保机构开具的社会保险参保缴费情况证明，依法不需要缴纳社会保障资金的单位应提供相关证明材料，真实有效</w:t>
            </w:r>
          </w:p>
        </w:tc>
        <w:tc>
          <w:tcPr>
            <w:tcW w:type="dxa" w:w="1661"/>
          </w:tcPr>
          <w:p>
            <w:pPr>
              <w:pStyle w:val="null3"/>
            </w:pPr>
            <w:r>
              <w:rPr/>
              <w:t>资格审查文件</w:t>
            </w:r>
          </w:p>
        </w:tc>
      </w:tr>
      <w:tr>
        <w:tc>
          <w:tcPr>
            <w:tcW w:type="dxa" w:w="831"/>
          </w:tcPr>
          <w:p>
            <w:pPr>
              <w:pStyle w:val="null3"/>
            </w:pPr>
            <w:r>
              <w:rPr/>
              <w:t>7</w:t>
            </w:r>
          </w:p>
        </w:tc>
        <w:tc>
          <w:tcPr>
            <w:tcW w:type="dxa" w:w="2492"/>
          </w:tcPr>
          <w:p>
            <w:pPr>
              <w:pStyle w:val="null3"/>
            </w:pPr>
            <w:r>
              <w:rPr/>
              <w:t>提供具有履行合同所必需的设备和专业技术能力的书面声明</w:t>
            </w:r>
          </w:p>
        </w:tc>
        <w:tc>
          <w:tcPr>
            <w:tcW w:type="dxa" w:w="3322"/>
          </w:tcPr>
          <w:p>
            <w:pPr>
              <w:pStyle w:val="null3"/>
            </w:pPr>
            <w:r>
              <w:rPr/>
              <w:t>提供具有履行合同所必需的设备和专业技术能力的书面声明，真实有效</w:t>
            </w:r>
          </w:p>
        </w:tc>
        <w:tc>
          <w:tcPr>
            <w:tcW w:type="dxa" w:w="1661"/>
          </w:tcPr>
          <w:p>
            <w:pPr>
              <w:pStyle w:val="null3"/>
            </w:pPr>
            <w:r>
              <w:rPr/>
              <w:t>资格审查文件</w:t>
            </w:r>
          </w:p>
        </w:tc>
      </w:tr>
      <w:tr>
        <w:tc>
          <w:tcPr>
            <w:tcW w:type="dxa" w:w="831"/>
          </w:tcPr>
          <w:p>
            <w:pPr>
              <w:pStyle w:val="null3"/>
            </w:pPr>
            <w:r>
              <w:rPr/>
              <w:t>8</w:t>
            </w:r>
          </w:p>
        </w:tc>
        <w:tc>
          <w:tcPr>
            <w:tcW w:type="dxa" w:w="2492"/>
          </w:tcPr>
          <w:p>
            <w:pPr>
              <w:pStyle w:val="null3"/>
            </w:pPr>
            <w:r>
              <w:rPr/>
              <w:t>供应商不得为“信用中国”网站（www.creditchina.gov.cn）中列入失信被执行人和重大税收违法失信主体，不得为中国政府采购网（www.ccgp.gov.cn）政府采购严重违法失信行为记录名单中被财政部门禁止参加政府采购活动的供应商</w:t>
            </w:r>
          </w:p>
        </w:tc>
        <w:tc>
          <w:tcPr>
            <w:tcW w:type="dxa" w:w="3322"/>
          </w:tcPr>
          <w:p>
            <w:pPr>
              <w:pStyle w:val="null3"/>
            </w:pPr>
            <w:r>
              <w:rPr/>
              <w:t>供应商不得为“信用中国”网站（www.creditchina.gov.cn）中列入失信被执行人和重大税收违法失信主体，不得为中国政府采购网（www.ccgp.gov.cn）政府采购严重违法失信行为记录名单中被财政部门禁止参加政府采购活动的供应商，真实有效</w:t>
            </w:r>
          </w:p>
        </w:tc>
        <w:tc>
          <w:tcPr>
            <w:tcW w:type="dxa" w:w="1661"/>
          </w:tcPr>
          <w:p>
            <w:pPr>
              <w:pStyle w:val="null3"/>
            </w:pPr>
            <w:r>
              <w:rPr/>
              <w:t>资格审查文件</w:t>
            </w:r>
          </w:p>
        </w:tc>
      </w:tr>
      <w:tr>
        <w:tc>
          <w:tcPr>
            <w:tcW w:type="dxa" w:w="831"/>
          </w:tcPr>
          <w:p>
            <w:pPr>
              <w:pStyle w:val="null3"/>
            </w:pPr>
            <w:r>
              <w:rPr/>
              <w:t>9</w:t>
            </w:r>
          </w:p>
        </w:tc>
        <w:tc>
          <w:tcPr>
            <w:tcW w:type="dxa" w:w="2492"/>
          </w:tcPr>
          <w:p>
            <w:pPr>
              <w:pStyle w:val="null3"/>
            </w:pPr>
            <w:r>
              <w:rPr/>
              <w:t>单位负责人为同一人或者存在控股、管理关系的不同单位不得同时投标</w:t>
            </w:r>
          </w:p>
        </w:tc>
        <w:tc>
          <w:tcPr>
            <w:tcW w:type="dxa" w:w="3322"/>
          </w:tcPr>
          <w:p>
            <w:pPr>
              <w:pStyle w:val="null3"/>
            </w:pPr>
            <w:r>
              <w:rPr/>
              <w:t>单位负责人为同一人或者存在控股、管理关系的不同单位不得同时投标，真实有效</w:t>
            </w:r>
          </w:p>
        </w:tc>
        <w:tc>
          <w:tcPr>
            <w:tcW w:type="dxa" w:w="1661"/>
          </w:tcPr>
          <w:p>
            <w:pPr>
              <w:pStyle w:val="null3"/>
            </w:pPr>
            <w:r>
              <w:rPr/>
              <w:t>资格审查文件</w:t>
            </w:r>
          </w:p>
        </w:tc>
      </w:tr>
      <w:tr>
        <w:tc>
          <w:tcPr>
            <w:tcW w:type="dxa" w:w="831"/>
          </w:tcPr>
          <w:p>
            <w:pPr>
              <w:pStyle w:val="null3"/>
            </w:pPr>
            <w:r>
              <w:rPr/>
              <w:t>10</w:t>
            </w:r>
          </w:p>
        </w:tc>
        <w:tc>
          <w:tcPr>
            <w:tcW w:type="dxa" w:w="2492"/>
          </w:tcPr>
          <w:p>
            <w:pPr>
              <w:pStyle w:val="null3"/>
            </w:pPr>
            <w:r>
              <w:rPr/>
              <w:t>本项目不接受联合体投标</w:t>
            </w:r>
          </w:p>
        </w:tc>
        <w:tc>
          <w:tcPr>
            <w:tcW w:type="dxa" w:w="3322"/>
          </w:tcPr>
          <w:p>
            <w:pPr>
              <w:pStyle w:val="null3"/>
            </w:pPr>
            <w:r>
              <w:rPr/>
              <w:t>本项目不接受联合体投标，出具非联合体承诺书，真实有效</w:t>
            </w:r>
          </w:p>
        </w:tc>
        <w:tc>
          <w:tcPr>
            <w:tcW w:type="dxa" w:w="1661"/>
          </w:tcPr>
          <w:p>
            <w:pPr>
              <w:pStyle w:val="null3"/>
            </w:pPr>
            <w:r>
              <w:rPr/>
              <w:t>资格审查文件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至少以下三处的项目名称、项目编号与本项目完全一致：(1) 响应文件封面 (2) 响应函 (3) 法定代表人 (主要负责人) 授权委托书\身份证明；</w:t>
            </w:r>
          </w:p>
        </w:tc>
        <w:tc>
          <w:tcPr>
            <w:tcW w:type="dxa" w:w="1661"/>
          </w:tcPr>
          <w:p>
            <w:pPr>
              <w:pStyle w:val="null3"/>
            </w:pPr>
            <w:r>
              <w:rPr/>
              <w:t>服务内容及服务邀请应答表 商务应答表 响应函</w:t>
            </w:r>
          </w:p>
        </w:tc>
      </w:tr>
      <w:tr>
        <w:tc>
          <w:tcPr>
            <w:tcW w:type="dxa" w:w="831"/>
          </w:tcPr>
          <w:p>
            <w:pPr>
              <w:pStyle w:val="null3"/>
            </w:pPr>
            <w:r>
              <w:rPr/>
              <w:t>3</w:t>
            </w:r>
          </w:p>
        </w:tc>
        <w:tc>
          <w:tcPr>
            <w:tcW w:type="dxa" w:w="2492"/>
          </w:tcPr>
          <w:p>
            <w:pPr>
              <w:pStyle w:val="null3"/>
            </w:pPr>
            <w:r>
              <w:rPr/>
              <w:t>响应文件格式、签章、语言、计量单位、报价货币</w:t>
            </w:r>
          </w:p>
        </w:tc>
        <w:tc>
          <w:tcPr>
            <w:tcW w:type="dxa" w:w="3322"/>
          </w:tcPr>
          <w:p>
            <w:pPr>
              <w:pStyle w:val="null3"/>
            </w:pPr>
            <w:r>
              <w:rPr/>
              <w:t>应符合“响应文件格式”要求</w:t>
            </w:r>
          </w:p>
        </w:tc>
        <w:tc>
          <w:tcPr>
            <w:tcW w:type="dxa" w:w="1661"/>
          </w:tcPr>
          <w:p>
            <w:pPr>
              <w:pStyle w:val="null3"/>
            </w:pPr>
            <w:r>
              <w:rPr/>
              <w:t>偏离表</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同时满足以下条款： (1) 货币单位符合竞争性磋商文件要求； (2) 报价符合唯一性要求 ； (3) 未超出采购预算（最高限价）； (4) 符合《报价表》的填报要求</w:t>
            </w:r>
          </w:p>
        </w:tc>
        <w:tc>
          <w:tcPr>
            <w:tcW w:type="dxa" w:w="1661"/>
          </w:tcPr>
          <w:p>
            <w:pPr>
              <w:pStyle w:val="null3"/>
            </w:pPr>
            <w:r>
              <w:rPr/>
              <w:t>偏离表 服务内容及服务邀请应答表 商务应答表 标的清单</w:t>
            </w:r>
          </w:p>
        </w:tc>
      </w:tr>
      <w:tr>
        <w:tc>
          <w:tcPr>
            <w:tcW w:type="dxa" w:w="831"/>
          </w:tcPr>
          <w:p>
            <w:pPr>
              <w:pStyle w:val="null3"/>
            </w:pPr>
            <w:r>
              <w:rPr/>
              <w:t>5</w:t>
            </w:r>
          </w:p>
        </w:tc>
        <w:tc>
          <w:tcPr>
            <w:tcW w:type="dxa" w:w="2492"/>
          </w:tcPr>
          <w:p>
            <w:pPr>
              <w:pStyle w:val="null3"/>
            </w:pPr>
            <w:r>
              <w:rPr/>
              <w:t>响应文件内容</w:t>
            </w:r>
          </w:p>
        </w:tc>
        <w:tc>
          <w:tcPr>
            <w:tcW w:type="dxa" w:w="3322"/>
          </w:tcPr>
          <w:p>
            <w:pPr>
              <w:pStyle w:val="null3"/>
            </w:pPr>
            <w:r>
              <w:rPr/>
              <w:t>响应文件内容齐全、无遗漏</w:t>
            </w:r>
          </w:p>
        </w:tc>
        <w:tc>
          <w:tcPr>
            <w:tcW w:type="dxa" w:w="1661"/>
          </w:tcPr>
          <w:p>
            <w:pPr>
              <w:pStyle w:val="null3"/>
            </w:pPr>
            <w:r>
              <w:rPr/>
              <w:t>响应文件封面 服务内容及服务邀请应答表 商务应答表</w:t>
            </w:r>
          </w:p>
        </w:tc>
      </w:tr>
      <w:tr>
        <w:tc>
          <w:tcPr>
            <w:tcW w:type="dxa" w:w="831"/>
          </w:tcPr>
          <w:p>
            <w:pPr>
              <w:pStyle w:val="null3"/>
            </w:pPr>
            <w:r>
              <w:rPr/>
              <w:t>6</w:t>
            </w:r>
          </w:p>
        </w:tc>
        <w:tc>
          <w:tcPr>
            <w:tcW w:type="dxa" w:w="2492"/>
          </w:tcPr>
          <w:p>
            <w:pPr>
              <w:pStyle w:val="null3"/>
            </w:pPr>
            <w:r>
              <w:rPr/>
              <w:t>合同条款响应</w:t>
            </w:r>
          </w:p>
        </w:tc>
        <w:tc>
          <w:tcPr>
            <w:tcW w:type="dxa" w:w="3322"/>
          </w:tcPr>
          <w:p>
            <w:pPr>
              <w:pStyle w:val="null3"/>
            </w:pPr>
            <w:r>
              <w:rPr/>
              <w:t>完全响应竞争性磋商文件要求的合同条款。</w:t>
            </w:r>
          </w:p>
        </w:tc>
        <w:tc>
          <w:tcPr>
            <w:tcW w:type="dxa" w:w="1661"/>
          </w:tcPr>
          <w:p>
            <w:pPr>
              <w:pStyle w:val="null3"/>
            </w:pPr>
            <w:r>
              <w:rPr/>
              <w:t>偏离表 标的清单</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t>服务内容及服务邀请应答表 残疾人福利性单位声明函 中小企业声明函 商务应答表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全面了解方案的设计编制要求，熟悉本项目建设背景，能够深刻理解 项目建设需求和整体功能需求，能提出总体思路、方法和总体架构等 进行赋分： （1）对项目设计工作理解透彻，能够准确把握设计工作的核心目标， 对设计工作中核心目标可能出现的问题有详细的对策计(6-10]分； （2）对评估工作基本了解，能够掌握设计工作的核心目标，对设计工 作中核心目标可能出现的问题有简要的对策计(3-6]分； （3）对评估工作理解浅薄，对设计工作的核心目标一笔带过，对设计 工作中核心目标可能出现的问题无实质性对策计(1-3]分； （4）不提供不得分。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设计方案</w:t>
            </w:r>
          </w:p>
        </w:tc>
        <w:tc>
          <w:tcPr>
            <w:tcW w:type="dxa" w:w="2492"/>
          </w:tcPr>
          <w:p>
            <w:pPr>
              <w:pStyle w:val="null3"/>
            </w:pPr>
            <w:r>
              <w:rPr/>
              <w:t>供应商根据招标文件的内容编制设计方案，项目设计内容全面完整、 具备前瞻性、可靠性、可实施性由评标委员会根据以下标准进行打分： （1）设计方案结构完整、重点突出，项目投资控制得当，具有针对性 和可操作性，包含但不限于招标文件要求内容计(10-15]分； （2）设计方案结构完整，具有一定的针对性和可操作性，能基本满足 招标文件要求计(5-10]分； （3）设计方案结构不够完整，不具备针对性和可操作性计(1-5]分； （4）不提供不得分。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本项目的质量保证措施及进度保证措施；按照项目要求合理进行进度安排以便顺利完成本项目勘察设计工作，并对采取的措施进行评分： （1）对项目设计质量保证全面可行且实施关键节点把握准确，能够完 全掌控进度，承诺能够按时相关环节工作内容的计(6-10]分； （2）对项目设计质量保证相对可行且实施关键节点把握较准确，基本 能够完全掌控进度，承诺能够按时完成相关环节工作内容计(3-6]分； （3）对设计质量保证不完整且项目实施关键节点把握不够准确，无法 完全掌控进度，未承诺能够按时完成相关环节工作内容计(1-3]分； （4）不提供不得分。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进度计划</w:t>
            </w:r>
          </w:p>
        </w:tc>
        <w:tc>
          <w:tcPr>
            <w:tcW w:type="dxa" w:w="2492"/>
          </w:tcPr>
          <w:p>
            <w:pPr>
              <w:pStyle w:val="null3"/>
            </w:pPr>
            <w:r>
              <w:rPr/>
              <w:t>供应商根据项目特点在满足招标文件服务期限要求的前提下，编制详 细的工作时间与进度计划，由评标委员会根据以下标准进行打分： （1）对项目实施关键节点把握准确，能够完全掌控进度，承诺能够按 时相关环节工作内容的计(6-10]分； （2）对项目实施关键节点把握较准确，基本能够完全掌控进度，承诺 能够按时完成相关环节工作内容计(3-6]分； （3）对项目实施关键节点把握不够准确，无法完全掌控进度，未承诺 能够按时完成相关环节工作内容计(1-3]分； （4）不提供不得分。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根据供应商提供的拟投入本项目人员，团队组织架构、工作分配，由评委进行综合评价。 ①人员配备充足，分工明确且合理，岗位职责清晰计[6-10]分；②人员配备较充足，分工明确较合理，岗位职责较清晰计[3-6)分；③人员配备不充足，分工不明确，岗位职责不清晰计（0-3）分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项目人员表</w:t>
            </w:r>
          </w:p>
          <w:p>
            <w:pPr>
              <w:pStyle w:val="null3"/>
            </w:pPr>
            <w:r>
              <w:rPr/>
              <w:t>服务方案</w:t>
            </w:r>
          </w:p>
        </w:tc>
      </w:tr>
      <w:tr>
        <w:tc>
          <w:tcPr>
            <w:tcW w:type="dxa" w:w="831"/>
            <w:vMerge/>
          </w:tcPr>
          <w:p/>
        </w:tc>
        <w:tc>
          <w:tcPr>
            <w:tcW w:type="dxa" w:w="1661"/>
          </w:tcPr>
          <w:p>
            <w:pPr>
              <w:pStyle w:val="null3"/>
            </w:pPr>
            <w:r>
              <w:rPr/>
              <w:t>项目经理</w:t>
            </w:r>
          </w:p>
        </w:tc>
        <w:tc>
          <w:tcPr>
            <w:tcW w:type="dxa" w:w="2492"/>
          </w:tcPr>
          <w:p>
            <w:pPr>
              <w:pStyle w:val="null3"/>
            </w:pPr>
            <w:r>
              <w:rPr/>
              <w:t>项目经理同时具有《中华人民共和国咨询工程师(投资)登记证书》（登记专业为电子、信息工程(含通信、广电、信息化）的）以及高级职称的，得4分；具备其中一个证书的，得2分；其余不得分。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根据本项目提供保密措施，由评标委员会根据以下标准进行赋分 （1）保密措施考虑全面、内容完整、重点突出、具有针对性和可行性 的计(4-6]分； （2）保密措施考虑较为全面、内容较为完整、重点内容体现、较有针 对性和可行性的计(2-4]分； （3）保密措施考虑不够全面、内容不够完整、重点内容未体现、针对 性和可行性的较差的计(1-2]分； （4）不提供不得分。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具有快速的售后服务响应及良好的问题解决能力。提供售后服务承诺书。(1)售后服务内容全面详细，，确保为本项目提供完善的售后服务方案计[4-6]分; (2)方案内容完整，能基本满足项目正常进行的计[2-4)分; (3)不符合上述情形的计[0-2)分。未提供不得分。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项目后期各方配合措施</w:t>
            </w:r>
          </w:p>
        </w:tc>
        <w:tc>
          <w:tcPr>
            <w:tcW w:type="dxa" w:w="2492"/>
          </w:tcPr>
          <w:p>
            <w:pPr>
              <w:pStyle w:val="null3"/>
            </w:pPr>
            <w:r>
              <w:rPr/>
              <w:t>对设计完成后至项目施工全面完成期间，与施工单位配合，指导施工， 并协助建设单位优化完善项目建设等方面的服务措施进行评分： （1）方案措施内容完善、合理，具有针对性和可操作性计(6-10]分； （2）方案措施内容较完善、合理，具有一定的针对性和可操作性，能基本满足招标文件要求计(3-6]分； （3）方案措施不够完整，不具备针对性和可操作性计(1-3]分； （4）不提供不得分。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自 2021年1月1日起至投标截止日，每提供一份有效类似业绩合同得3 分，最高得9分。(以提供的合同或中标（成交）通知书的复印件为准，时间以合同签订时间或中标（成交）通知书时间为准。)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满足磋商文件商务及技术要求且最后报价最低的供应商的价格为磋商基准价，其价格分为满分。 报价得分= (磋商基准价/最后磋商报价) *价格分值 注：若符合政策性扣减，用扣除后的价格参与评审。</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详见附件：资格审查文件</w:t>
      </w:r>
    </w:p>
    <w:p>
      <w:pPr>
        <w:pStyle w:val="null3"/>
        <w:ind w:firstLine="960"/>
      </w:pPr>
      <w:r>
        <w:rPr/>
        <w:t>详见附件：分项报价表</w:t>
      </w:r>
    </w:p>
    <w:p>
      <w:pPr>
        <w:pStyle w:val="null3"/>
        <w:ind w:firstLine="960"/>
      </w:pPr>
      <w:r>
        <w:rPr/>
        <w:t>详见附件：偏离表</w:t>
      </w:r>
    </w:p>
    <w:p>
      <w:pPr>
        <w:pStyle w:val="null3"/>
        <w:ind w:firstLine="960"/>
      </w:pPr>
      <w:r>
        <w:rPr/>
        <w:t>详见附件：项目人员表</w:t>
      </w:r>
    </w:p>
    <w:p>
      <w:pPr>
        <w:pStyle w:val="null3"/>
        <w:ind w:firstLine="960"/>
      </w:pPr>
      <w:r>
        <w:rPr/>
        <w:t>详见附件：业绩</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详见附件：合同范本最终.docx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