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版本号：241022001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西安市公安局窄带自组网应急通信装备购置项目</w:t>
      </w:r>
    </w:p>
    <w:p>
      <w:pPr>
        <w:pStyle w:val="null3"/>
        <w:jc w:val="center"/>
        <w:outlineLvl w:val="2"/>
      </w:pPr>
      <w:r>
        <w:rPr>
          <w:sz w:val="28"/>
          <w:b/>
        </w:rPr>
        <w:t>采购项目编号：</w:t>
      </w:r>
      <w:r>
        <w:rPr>
          <w:sz w:val="28"/>
          <w:b/>
        </w:rPr>
        <w:t>HSGJ2024-263</w:t>
      </w:r>
      <w:r>
        <w:br/>
      </w:r>
      <w:r>
        <w:br/>
      </w:r>
      <w:r>
        <w:br/>
      </w:r>
    </w:p>
    <w:p>
      <w:pPr>
        <w:pStyle w:val="null3"/>
        <w:jc w:val="center"/>
        <w:outlineLvl w:val="2"/>
      </w:pPr>
      <w:r>
        <w:rPr>
          <w:sz w:val="28"/>
          <w:b/>
        </w:rPr>
        <w:t>西安市公安局（本级）</w:t>
      </w:r>
    </w:p>
    <w:p>
      <w:pPr>
        <w:pStyle w:val="null3"/>
        <w:jc w:val="center"/>
        <w:outlineLvl w:val="2"/>
      </w:pPr>
      <w:r>
        <w:rPr>
          <w:sz w:val="28"/>
          <w:b/>
        </w:rPr>
        <w:t>华晟国际项目管理有限公司</w:t>
      </w:r>
      <w:r>
        <w:rPr>
          <w:sz w:val="28"/>
          <w:b/>
        </w:rPr>
        <w:t>共同编制</w:t>
      </w:r>
    </w:p>
    <w:p>
      <w:pPr>
        <w:pStyle w:val="null3"/>
        <w:jc w:val="center"/>
        <w:outlineLvl w:val="2"/>
      </w:pPr>
      <w:r>
        <w:rPr>
          <w:sz w:val="28"/>
          <w:b/>
        </w:rPr>
        <w:t>2024年10月22日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华晟国际项目管理有限公司</w:t>
      </w:r>
      <w:r>
        <w:rPr/>
        <w:t>（以下简称“代理机构”）受</w:t>
      </w:r>
      <w:r>
        <w:rPr/>
        <w:t>西安市公安局（本级）</w:t>
      </w:r>
      <w:r>
        <w:rPr/>
        <w:t>委托，拟对</w:t>
      </w:r>
      <w:r>
        <w:rPr/>
        <w:t>西安市公安局窄带自组网应急通信装备购置项目</w:t>
      </w:r>
      <w:r>
        <w:rPr/>
        <w:t>采用竞争性谈判采购方式进行采购，兹邀请供应商参加本项目的竞争性谈判。</w:t>
      </w:r>
    </w:p>
    <w:p>
      <w:pPr>
        <w:pStyle w:val="null3"/>
        <w:outlineLvl w:val="2"/>
      </w:pPr>
      <w:r>
        <w:rPr>
          <w:sz w:val="28"/>
          <w:b/>
        </w:rPr>
        <w:t>一、项目编号：</w:t>
      </w:r>
      <w:r>
        <w:rPr>
          <w:sz w:val="28"/>
          <w:b/>
        </w:rPr>
        <w:t>HSGJ2024-263</w:t>
      </w:r>
    </w:p>
    <w:p>
      <w:pPr>
        <w:pStyle w:val="null3"/>
        <w:outlineLvl w:val="2"/>
      </w:pPr>
      <w:r>
        <w:rPr>
          <w:sz w:val="28"/>
          <w:b/>
        </w:rPr>
        <w:t>二、项目名称：</w:t>
      </w:r>
      <w:r>
        <w:rPr>
          <w:sz w:val="28"/>
          <w:b/>
        </w:rPr>
        <w:t>西安市公安局窄带自组网应急通信装备购置项目</w:t>
      </w:r>
    </w:p>
    <w:p>
      <w:pPr>
        <w:pStyle w:val="null3"/>
        <w:outlineLvl w:val="2"/>
      </w:pPr>
      <w:r>
        <w:rPr>
          <w:sz w:val="28"/>
          <w:b/>
        </w:rPr>
        <w:t>三、谈判项目简介：</w:t>
      </w:r>
    </w:p>
    <w:p>
      <w:pPr>
        <w:pStyle w:val="null3"/>
        <w:ind w:firstLine="480"/>
      </w:pPr>
      <w:r>
        <w:rPr/>
        <w:t>西安市公安局窄带自组网应急通信装备购置项目。具体内容详见第三章。</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1、有效的主体资格证明：提供合格有效的法人或者其他组织的营业执照等证明文件或自然人的身份证明；</w:t>
      </w:r>
    </w:p>
    <w:p>
      <w:pPr>
        <w:pStyle w:val="null3"/>
      </w:pPr>
      <w:r>
        <w:rPr/>
        <w:t>2、财务状况报告：提供2023年度的财务审计报告或开标前六个月内其基本存款账户开户银行出具的资信证明（附开户许可证或开户备案证明或基本账户信息）；</w:t>
      </w:r>
    </w:p>
    <w:p>
      <w:pPr>
        <w:pStyle w:val="null3"/>
      </w:pPr>
      <w:r>
        <w:rPr/>
        <w:t>3、税收缴纳证明：提供2024年01月01日至今已缴存的至少一个月的纳税证明或完税证明，依法免税的单位应提供相关证明材料；</w:t>
      </w:r>
    </w:p>
    <w:p>
      <w:pPr>
        <w:pStyle w:val="null3"/>
      </w:pPr>
      <w:r>
        <w:rPr/>
        <w:t>4、社会保障资金缴纳证明：提供2024年01月01日至今已缴存的至少一个月的社会保障资金缴存单据或社保机构开具的社会保险参保缴费情况证明，依法不需要缴纳社会保障资金的单位应提供相关证明材料；</w:t>
      </w:r>
    </w:p>
    <w:p>
      <w:pPr>
        <w:pStyle w:val="null3"/>
      </w:pPr>
      <w:r>
        <w:rPr/>
        <w:t>5、无重大违法记录声明：参加政府采购活动近3年内，在经营活动中没有重大违法记录的书面声明；</w:t>
      </w:r>
    </w:p>
    <w:p>
      <w:pPr>
        <w:pStyle w:val="null3"/>
      </w:pPr>
      <w:r>
        <w:rPr/>
        <w:t>6、专业技术能力证明：具备履行合同所必需的设备和专业技术能力的证明材料(由供应商根据项目需求提供说明材料或者承诺)；</w:t>
      </w:r>
    </w:p>
    <w:p>
      <w:pPr>
        <w:pStyle w:val="null3"/>
      </w:pPr>
      <w:r>
        <w:rPr/>
        <w:t>7、法定代表人委托授权书\身份证明：供应商应授权合法的人员参加谈判全过程，其中法定代表人直接参加谈判的，须出具法定代表人身份证，并与营业执照上信息一致。法定代表人授权代表参加谈判的，须出具法定代表人授权书及授权代表身份证。（其他组织或自然人参照执行）；</w:t>
      </w:r>
    </w:p>
    <w:p>
      <w:pPr>
        <w:pStyle w:val="null3"/>
      </w:pPr>
      <w:r>
        <w:rPr/>
        <w:t>8、信用查询：在“信用中国”网站（www.creditchina.gov.cn）和“中国政府采购网”（ccgp.gov.cn）对响应单位信用信息进行查询，如果响应单位被查实在开标前已列入失信被执行人、重大税收违法失信主体、政府采购严重违法失信行为记录名单，其响应为无效；（以开标当天代理机构核查为准）</w:t>
      </w:r>
    </w:p>
    <w:p>
      <w:pPr>
        <w:pStyle w:val="null3"/>
      </w:pPr>
      <w:r>
        <w:rPr/>
        <w:t>9、关联关系：单位负责人为同一人或者存在直接控股、管理关系的不同供应商，不得参加同一合同项下的政府采购活动。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西安市公安局（本级）</w:t>
      </w:r>
    </w:p>
    <w:p>
      <w:pPr>
        <w:pStyle w:val="null3"/>
      </w:pPr>
      <w:r>
        <w:rPr/>
        <w:t xml:space="preserve"> 地址： </w:t>
      </w:r>
      <w:r>
        <w:rPr/>
        <w:t>西安市西大街63号</w:t>
      </w:r>
    </w:p>
    <w:p>
      <w:pPr>
        <w:pStyle w:val="null3"/>
      </w:pPr>
      <w:r>
        <w:rPr/>
        <w:t xml:space="preserve"> 邮编： </w:t>
      </w:r>
      <w:r>
        <w:rPr/>
        <w:t>710002</w:t>
      </w:r>
    </w:p>
    <w:p>
      <w:pPr>
        <w:pStyle w:val="null3"/>
      </w:pPr>
      <w:r>
        <w:rPr/>
        <w:t xml:space="preserve"> 联系人： </w:t>
      </w:r>
      <w:r>
        <w:rPr/>
        <w:t>李警官</w:t>
      </w:r>
    </w:p>
    <w:p>
      <w:pPr>
        <w:pStyle w:val="null3"/>
      </w:pPr>
      <w:r>
        <w:rPr/>
        <w:t xml:space="preserve"> 联系电话： </w:t>
      </w:r>
      <w:r>
        <w:rPr/>
        <w:t>029-86751138</w:t>
      </w:r>
    </w:p>
    <w:p>
      <w:pPr>
        <w:pStyle w:val="null3"/>
        <w:outlineLvl w:val="3"/>
      </w:pPr>
      <w:r>
        <w:rPr>
          <w:sz w:val="24"/>
          <w:b/>
        </w:rPr>
        <w:t>代理机构：</w:t>
      </w:r>
      <w:r>
        <w:rPr>
          <w:sz w:val="24"/>
          <w:b/>
        </w:rPr>
        <w:t>华晟国际项目管理有限公司</w:t>
      </w:r>
    </w:p>
    <w:p>
      <w:pPr>
        <w:pStyle w:val="null3"/>
      </w:pPr>
      <w:r>
        <w:rPr/>
        <w:t xml:space="preserve"> 地址： </w:t>
      </w:r>
      <w:r>
        <w:rPr/>
        <w:t>西安市高新路88号尚品国际B幢25层</w:t>
      </w:r>
    </w:p>
    <w:p>
      <w:pPr>
        <w:pStyle w:val="null3"/>
      </w:pPr>
      <w:r>
        <w:rPr/>
        <w:t xml:space="preserve"> 邮编： </w:t>
      </w:r>
      <w:r>
        <w:rPr/>
        <w:t>710065</w:t>
      </w:r>
    </w:p>
    <w:p>
      <w:pPr>
        <w:pStyle w:val="null3"/>
      </w:pPr>
      <w:r>
        <w:rPr/>
        <w:t xml:space="preserve"> 联系人： </w:t>
      </w:r>
      <w:r>
        <w:rPr/>
        <w:t>柴静、赵悦、张佳音</w:t>
      </w:r>
    </w:p>
    <w:p>
      <w:pPr>
        <w:pStyle w:val="null3"/>
      </w:pPr>
      <w:r>
        <w:rPr/>
        <w:t xml:space="preserve"> 联系电话： </w:t>
      </w:r>
      <w:r>
        <w:rPr/>
        <w:t>029-82665555转8003</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采购包1：951,200.00元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代理服务费收费标准：按照国家计委颁布的《招标代理服务收费管理暂行办法》（计价格[2002]1980号）和（发改办价格[2003]857号）货物收费标准计取。 银行户名：华晟国际项目管理有限公司 开户银行：建设银行西安劳动路支行账号：610501 740015 00000 427 转账事由：HSGJ2024-263项目代理服务费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西安市公安局（本级）</w:t>
      </w:r>
      <w:r>
        <w:rPr/>
        <w:t>和</w:t>
      </w:r>
      <w:r>
        <w:rPr/>
        <w:t>华晟国际项目管理有限公司</w:t>
      </w:r>
      <w:r>
        <w:rPr/>
        <w:t>享有。竞争性谈判文件中供应商参加本次政府采购活动应当具备的条件、技术清单、参数、商务及其他要求由</w:t>
      </w:r>
      <w:r>
        <w:rPr/>
        <w:t>西安市公安局（本级）</w:t>
      </w:r>
      <w:r>
        <w:rPr/>
        <w:t>负责解释。除上述竞争性谈判文件内容，其他内容由</w:t>
      </w:r>
      <w:r>
        <w:rPr/>
        <w:t>华晟国际项目管理有限公司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西安市公安局（本级）</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华晟国际项目管理有限公司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详见合同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华晟国际项目管理有限公司</w:t>
      </w:r>
      <w:r>
        <w:rPr/>
        <w:t xml:space="preserve"> 负责答复；供应商对除采购需求外的采购文件的询问、质疑由</w:t>
      </w:r>
      <w:r>
        <w:rPr/>
        <w:t>华晟国际项目管理有限公司</w:t>
      </w:r>
      <w:r>
        <w:rPr/>
        <w:t xml:space="preserve"> 负责答复；供应商对采购过程、采购结果的询问、质疑由 </w:t>
      </w:r>
      <w:r>
        <w:rPr/>
        <w:t>华晟国际项目管理有限公司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联系人：柴静、赵悦、张佳音</w:t>
      </w:r>
    </w:p>
    <w:p>
      <w:pPr>
        <w:pStyle w:val="null3"/>
      </w:pPr>
      <w:r>
        <w:rPr/>
        <w:t>联系电话：029-82665555转8003</w:t>
      </w:r>
    </w:p>
    <w:p>
      <w:pPr>
        <w:pStyle w:val="null3"/>
      </w:pPr>
      <w:r>
        <w:rPr/>
        <w:t>地址：西安市高新路88号尚品国际B幢25层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rFonts w:ascii="宋体" w:hAnsi="宋体" w:cs="宋体" w:eastAsia="宋体"/>
          <w:sz w:val="21"/>
          <w:color w:val="000000"/>
        </w:rPr>
        <w:t>西安市公安局窄带自组网应急通信装备购置项目。</w:t>
      </w:r>
    </w:p>
    <w:p>
      <w:pPr>
        <w:pStyle w:val="null3"/>
        <w:outlineLvl w:val="2"/>
      </w:pPr>
      <w:r>
        <w:rPr>
          <w:sz w:val="28"/>
          <w:b/>
        </w:rPr>
        <w:t>3.2采购内容</w:t>
      </w:r>
    </w:p>
    <w:p>
      <w:pPr>
        <w:pStyle w:val="null3"/>
      </w:pPr>
      <w:r>
        <w:rPr/>
        <w:t>采购包1：</w:t>
      </w:r>
    </w:p>
    <w:p>
      <w:pPr>
        <w:pStyle w:val="null3"/>
      </w:pPr>
      <w:r>
        <w:rPr/>
        <w:t>采购包预算金额（元）: 951,200.00</w:t>
      </w:r>
    </w:p>
    <w:p>
      <w:pPr>
        <w:pStyle w:val="null3"/>
      </w:pPr>
      <w:r>
        <w:rPr/>
        <w:t>采购包最高限价（元）: 951,200.00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货物</w:t>
            </w:r>
          </w:p>
        </w:tc>
        <w:tc>
          <w:tcPr>
            <w:tcW w:type="dxa" w:w="831"/>
          </w:tcPr>
          <w:p>
            <w:pPr>
              <w:pStyle w:val="null3"/>
              <w:jc w:val="right"/>
            </w:pPr>
            <w:r>
              <w:rPr/>
              <w:t>1.00</w:t>
            </w:r>
          </w:p>
        </w:tc>
        <w:tc>
          <w:tcPr>
            <w:tcW w:type="dxa" w:w="831"/>
          </w:tcPr>
          <w:p>
            <w:pPr>
              <w:pStyle w:val="null3"/>
              <w:jc w:val="right"/>
            </w:pPr>
            <w:r>
              <w:rPr/>
              <w:t>951,200.00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标的名称：货物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b/>
                <w:color w:val="000000"/>
              </w:rPr>
              <w:t>一、项目概况</w:t>
            </w:r>
          </w:p>
          <w:p>
            <w:pPr>
              <w:pStyle w:val="null3"/>
              <w:ind w:firstLine="420"/>
              <w:jc w:val="both"/>
            </w:pPr>
            <w:r>
              <w:rPr>
                <w:rFonts w:ascii="宋体" w:hAnsi="宋体" w:cs="宋体" w:eastAsia="宋体"/>
                <w:sz w:val="21"/>
                <w:color w:val="000000"/>
              </w:rPr>
              <w:t>为有效提高在发生自然灾害、突发事件等紧急情况下救援现场的无线通信保障能力，实现救援现场迅速组件应急通信网，并与我局现有无线数字集群通信系统互联互通，为通信指挥及应急救援人员提供及时有效的语音通信保障，实现突发情况下迅速、高效、有序的大范围通信网络覆盖，建设不依托基础设施，快速、独立运行的窄带自组网应急通信装备项目。</w:t>
            </w:r>
          </w:p>
          <w:p>
            <w:pPr>
              <w:pStyle w:val="null3"/>
              <w:jc w:val="both"/>
            </w:pPr>
            <w:r>
              <w:rPr>
                <w:rFonts w:ascii="宋体" w:hAnsi="宋体" w:cs="宋体" w:eastAsia="宋体"/>
                <w:sz w:val="21"/>
                <w:color w:val="000000"/>
              </w:rPr>
              <w:t>二、</w:t>
            </w:r>
            <w:r>
              <w:rPr>
                <w:rFonts w:ascii="宋体" w:hAnsi="宋体" w:cs="宋体" w:eastAsia="宋体"/>
                <w:sz w:val="21"/>
                <w:b/>
                <w:color w:val="000000"/>
              </w:rPr>
              <w:t>采购内容</w:t>
            </w:r>
          </w:p>
          <w:p>
            <w:pPr>
              <w:pStyle w:val="null3"/>
              <w:ind w:firstLine="420"/>
              <w:jc w:val="both"/>
            </w:pPr>
            <w:r>
              <w:rPr>
                <w:rFonts w:ascii="宋体" w:hAnsi="宋体" w:cs="宋体" w:eastAsia="宋体"/>
                <w:sz w:val="21"/>
                <w:color w:val="000000"/>
              </w:rPr>
              <w:t>本项目建设</w:t>
            </w:r>
            <w:r>
              <w:rPr>
                <w:rFonts w:ascii="宋体" w:hAnsi="宋体" w:cs="宋体" w:eastAsia="宋体"/>
                <w:sz w:val="21"/>
                <w:color w:val="000000"/>
              </w:rPr>
              <w:t>6套窄带自组网和12部协同使用的无线通信终端设备以及相关配套，实现与无线数字集群通信系统语音互通，窄带自组网设备能够实现即开即用、组网迅速、随行而通、易拆易建的应用需求，自由组建链状、树状、星状、网状应急通信网络，满足公安机关在自然灾害、抢险救援、大型活动等通信保障需要。</w:t>
            </w:r>
          </w:p>
          <w:tbl>
            <w:tblPr>
              <w:tblInd w:type="dxa" w:w="120"/>
              <w:tblBorders>
                <w:top w:val="none" w:color="000000" w:sz="4"/>
                <w:left w:val="none" w:color="000000" w:sz="4"/>
                <w:bottom w:val="none" w:color="000000" w:sz="4"/>
                <w:right w:val="none" w:color="000000" w:sz="4"/>
                <w:insideH w:val="none"/>
                <w:insideV w:val="none"/>
              </w:tblBorders>
            </w:tblPr>
            <w:tblGrid>
              <w:gridCol w:w="210"/>
              <w:gridCol w:w="508"/>
              <w:gridCol w:w="1446"/>
              <w:gridCol w:w="189"/>
              <w:gridCol w:w="189"/>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序号</w:t>
                  </w:r>
                </w:p>
              </w:tc>
              <w:tc>
                <w:tcPr>
                  <w:tcW w:type="dxa" w:w="5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设备名称</w:t>
                  </w:r>
                </w:p>
              </w:tc>
              <w:tc>
                <w:tcPr>
                  <w:tcW w:type="dxa" w:w="1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规格</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数量</w:t>
                  </w:r>
                </w:p>
              </w:tc>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单位</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1"/>
                      <w:color w:val="000000"/>
                    </w:rPr>
                    <w:t>1</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窄带自组网</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多节点之间自动组网，实现大范围应急语音通信</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套</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1"/>
                      <w:color w:val="000000"/>
                    </w:rPr>
                    <w:t>2</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数字集群语音网关</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实现窄带自组网网络和无线数字集群通信系统语音互通</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套</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宋体" w:hAnsi="宋体" w:cs="宋体" w:eastAsia="宋体"/>
                      <w:sz w:val="21"/>
                      <w:color w:val="000000"/>
                    </w:rPr>
                    <w:t>3</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窄带自组网运输箱</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实现窄带自组网设备快速收纳转运</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套</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4</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备用电池</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窄带自组网设备备用电池</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6</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套</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5</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应急对讲终端</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与窄带自组网搭配使用</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12</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套</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6</w:t>
                  </w:r>
                </w:p>
              </w:tc>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应急对讲终端收纳箱</w:t>
                  </w:r>
                </w:p>
              </w:tc>
              <w:tc>
                <w:tcPr>
                  <w:tcW w:type="dxa" w:w="1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实现应急对讲终端快速收纳转运</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套</w:t>
                  </w:r>
                </w:p>
              </w:tc>
            </w:tr>
          </w:tbl>
          <w:p>
            <w:pPr>
              <w:pStyle w:val="null3"/>
              <w:jc w:val="both"/>
            </w:pPr>
            <w:r>
              <w:rPr>
                <w:rFonts w:ascii="宋体" w:hAnsi="宋体" w:cs="宋体" w:eastAsia="宋体"/>
                <w:sz w:val="21"/>
                <w:color w:val="000000"/>
              </w:rPr>
              <w:t>三、</w:t>
            </w:r>
            <w:r>
              <w:rPr>
                <w:rFonts w:ascii="宋体" w:hAnsi="宋体" w:cs="宋体" w:eastAsia="宋体"/>
                <w:sz w:val="21"/>
                <w:b/>
                <w:color w:val="000000"/>
              </w:rPr>
              <w:t>技术要求</w:t>
            </w:r>
          </w:p>
          <w:p>
            <w:pPr>
              <w:pStyle w:val="null3"/>
              <w:ind w:firstLine="420"/>
              <w:jc w:val="both"/>
            </w:pPr>
            <w:r>
              <w:rPr>
                <w:rFonts w:ascii="宋体" w:hAnsi="宋体" w:cs="宋体" w:eastAsia="宋体"/>
                <w:sz w:val="21"/>
                <w:color w:val="000000"/>
              </w:rPr>
              <w:t>对窄带自组网项目相关设备的性能、功能、参数等所做出的要求如下：</w:t>
            </w:r>
          </w:p>
          <w:tbl>
            <w:tblPr>
              <w:tblInd w:type="dxa" w:w="120"/>
              <w:tblBorders>
                <w:top w:val="none" w:color="000000" w:sz="4"/>
                <w:left w:val="none" w:color="000000" w:sz="4"/>
                <w:bottom w:val="none" w:color="000000" w:sz="4"/>
                <w:right w:val="none" w:color="000000" w:sz="4"/>
                <w:insideH w:val="none"/>
                <w:insideV w:val="none"/>
              </w:tblBorders>
            </w:tblPr>
            <w:tblGrid>
              <w:gridCol w:w="169"/>
              <w:gridCol w:w="355"/>
              <w:gridCol w:w="2023"/>
            </w:tblGrid>
            <w:tr>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序号</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设备名称</w:t>
                  </w:r>
                </w:p>
              </w:tc>
              <w:tc>
                <w:tcPr>
                  <w:tcW w:type="dxa" w:w="20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参数要求</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窄带自组网</w:t>
                  </w:r>
                </w:p>
              </w:tc>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★1.具有中华人民共和国工业和信息化部颁发的《无线电发射设备型号核准证》。</w:t>
                  </w:r>
                </w:p>
                <w:p>
                  <w:pPr>
                    <w:pStyle w:val="null3"/>
                    <w:jc w:val="both"/>
                  </w:pPr>
                  <w:r>
                    <w:rPr>
                      <w:rFonts w:ascii="宋体" w:hAnsi="宋体" w:cs="宋体" w:eastAsia="宋体"/>
                      <w:sz w:val="21"/>
                      <w:color w:val="000000"/>
                    </w:rPr>
                    <w:t>★2.多节点之间自动组网，实现大范围应急语音通信。</w:t>
                  </w:r>
                </w:p>
                <w:p>
                  <w:pPr>
                    <w:pStyle w:val="null3"/>
                    <w:jc w:val="both"/>
                  </w:pPr>
                  <w:r>
                    <w:rPr>
                      <w:rFonts w:ascii="宋体" w:hAnsi="宋体" w:cs="宋体" w:eastAsia="宋体"/>
                      <w:sz w:val="21"/>
                      <w:color w:val="000000"/>
                    </w:rPr>
                    <w:t>3.支持无线专网中继功能，任意一台设备均可作为中继节点为其它设备提供中继服务，并支持开机自动组网。</w:t>
                  </w:r>
                </w:p>
                <w:p>
                  <w:pPr>
                    <w:pStyle w:val="null3"/>
                    <w:jc w:val="both"/>
                  </w:pPr>
                  <w:r>
                    <w:rPr>
                      <w:rFonts w:ascii="宋体" w:hAnsi="宋体" w:cs="宋体" w:eastAsia="宋体"/>
                      <w:sz w:val="21"/>
                      <w:color w:val="000000"/>
                    </w:rPr>
                    <w:t>4.可以内置4G卡，当设备之间因为距离原因无法直接自组网时，可通过公网链路实现设备之间组网，支持接入PDT制式数字终端。</w:t>
                  </w:r>
                </w:p>
                <w:p>
                  <w:pPr>
                    <w:pStyle w:val="null3"/>
                    <w:jc w:val="both"/>
                  </w:pPr>
                  <w:r>
                    <w:rPr>
                      <w:rFonts w:ascii="宋体" w:hAnsi="宋体" w:cs="宋体" w:eastAsia="宋体"/>
                      <w:sz w:val="21"/>
                      <w:color w:val="000000"/>
                    </w:rPr>
                    <w:t>5.工作频率范围：350-400MHz，语音格式：支持NVOC。</w:t>
                  </w:r>
                </w:p>
                <w:p>
                  <w:pPr>
                    <w:pStyle w:val="null3"/>
                    <w:jc w:val="both"/>
                  </w:pPr>
                  <w:r>
                    <w:rPr>
                      <w:rFonts w:ascii="宋体" w:hAnsi="宋体" w:cs="宋体" w:eastAsia="宋体"/>
                      <w:sz w:val="21"/>
                      <w:color w:val="000000"/>
                    </w:rPr>
                    <w:t>6.操作便捷、随地架设、预设频率，发射功率≥5W；</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数字集群语音网关</w:t>
                  </w:r>
                </w:p>
              </w:tc>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★实现窄带自组网和无线数字集群网络语音互联互通。</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3</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窄带自组网运输箱</w:t>
                  </w:r>
                </w:p>
              </w:tc>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实现窄带自组网设备快速收纳转运。</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备用电池</w:t>
                  </w:r>
                </w:p>
              </w:tc>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★窄带自组网设备备用电池，支持快速更换。</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应急对讲终端</w:t>
                  </w:r>
                </w:p>
              </w:tc>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★1.具有中华人民共和国工业和信息化部颁发的《无线电发射设备型号核准证》。</w:t>
                  </w:r>
                </w:p>
                <w:p>
                  <w:pPr>
                    <w:pStyle w:val="null3"/>
                    <w:jc w:val="both"/>
                  </w:pPr>
                  <w:r>
                    <w:rPr>
                      <w:rFonts w:ascii="宋体" w:hAnsi="宋体" w:cs="宋体" w:eastAsia="宋体"/>
                      <w:sz w:val="21"/>
                      <w:color w:val="000000"/>
                    </w:rPr>
                    <w:t>2.与窄带自组网搭配使用。</w:t>
                  </w:r>
                </w:p>
                <w:p>
                  <w:pPr>
                    <w:pStyle w:val="null3"/>
                    <w:jc w:val="both"/>
                  </w:pPr>
                  <w:r>
                    <w:rPr>
                      <w:rFonts w:ascii="宋体" w:hAnsi="宋体" w:cs="宋体" w:eastAsia="宋体"/>
                      <w:sz w:val="21"/>
                      <w:color w:val="000000"/>
                    </w:rPr>
                    <w:t>3.具备良好的防尘防水功能，防尘防水等级≥IP67。</w:t>
                  </w:r>
                </w:p>
                <w:p>
                  <w:pPr>
                    <w:pStyle w:val="null3"/>
                    <w:jc w:val="both"/>
                  </w:pPr>
                  <w:r>
                    <w:rPr>
                      <w:rFonts w:ascii="宋体" w:hAnsi="宋体" w:cs="宋体" w:eastAsia="宋体"/>
                      <w:sz w:val="21"/>
                      <w:color w:val="000000"/>
                    </w:rPr>
                    <w:t>4.具备多种工作模式，能够在不同的网络制式下正常使用，适应不同的应用场景，至少具备模拟常规、模拟集群、数字常规和数字集群4种工作模式；</w:t>
                  </w:r>
                </w:p>
                <w:p>
                  <w:pPr>
                    <w:pStyle w:val="null3"/>
                    <w:jc w:val="both"/>
                  </w:pPr>
                  <w:r>
                    <w:rPr>
                      <w:rFonts w:ascii="宋体" w:hAnsi="宋体" w:cs="宋体" w:eastAsia="宋体"/>
                      <w:sz w:val="21"/>
                      <w:color w:val="000000"/>
                    </w:rPr>
                    <w:t>5.配备大容量电池，电池平均工作时间≥14个小时；</w:t>
                  </w:r>
                </w:p>
              </w:tc>
            </w:tr>
            <w:tr>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应急对讲终端收纳箱</w:t>
                  </w:r>
                </w:p>
              </w:tc>
              <w:tc>
                <w:tcPr>
                  <w:tcW w:type="dxa" w:w="20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实现应急对讲终端快速收纳转运。支持多终端设备同时充电。</w:t>
                  </w:r>
                </w:p>
                <w:p>
                  <w:pPr>
                    <w:pStyle w:val="null3"/>
                    <w:jc w:val="both"/>
                  </w:pPr>
                  <w:r>
                    <w:rPr>
                      <w:rFonts w:ascii="宋体" w:hAnsi="宋体" w:cs="宋体" w:eastAsia="宋体"/>
                      <w:sz w:val="21"/>
                      <w:color w:val="000000"/>
                    </w:rPr>
                    <w:t>每套收纳箱可收纳</w:t>
                  </w:r>
                  <w:r>
                    <w:rPr>
                      <w:rFonts w:ascii="宋体" w:hAnsi="宋体" w:cs="宋体" w:eastAsia="宋体"/>
                      <w:sz w:val="20"/>
                      <w:color w:val="000000"/>
                    </w:rPr>
                    <w:t>≥</w:t>
                  </w:r>
                  <w:r>
                    <w:rPr>
                      <w:rFonts w:ascii="宋体" w:hAnsi="宋体" w:cs="宋体" w:eastAsia="宋体"/>
                      <w:sz w:val="21"/>
                      <w:color w:val="000000"/>
                    </w:rPr>
                    <w:t>6部应急对讲终端。</w:t>
                  </w:r>
                </w:p>
              </w:tc>
            </w:tr>
          </w:tbl>
          <w:p>
            <w:pPr>
              <w:pStyle w:val="null3"/>
              <w:jc w:val="both"/>
            </w:pPr>
            <w:r>
              <w:rPr>
                <w:rFonts w:ascii="宋体" w:hAnsi="宋体" w:cs="宋体" w:eastAsia="宋体"/>
                <w:sz w:val="21"/>
                <w:b/>
                <w:color w:val="000000"/>
              </w:rPr>
              <w:t>四、服务要求</w:t>
            </w:r>
          </w:p>
          <w:p>
            <w:pPr>
              <w:pStyle w:val="null3"/>
              <w:ind w:firstLine="422"/>
              <w:jc w:val="both"/>
            </w:pPr>
            <w:r>
              <w:rPr>
                <w:rFonts w:ascii="宋体" w:hAnsi="宋体" w:cs="宋体" w:eastAsia="宋体"/>
                <w:sz w:val="21"/>
                <w:b/>
                <w:color w:val="000000"/>
              </w:rPr>
              <w:t>（一）运维服务内容</w:t>
            </w:r>
          </w:p>
          <w:p>
            <w:pPr>
              <w:pStyle w:val="null3"/>
              <w:ind w:firstLine="420"/>
              <w:jc w:val="both"/>
            </w:pPr>
            <w:r>
              <w:rPr>
                <w:rFonts w:ascii="宋体" w:hAnsi="宋体" w:cs="宋体" w:eastAsia="宋体"/>
                <w:sz w:val="21"/>
                <w:color w:val="000000"/>
              </w:rPr>
              <w:t>1.提供7*24小时的电话技术支持常备常用工具和备品备件；</w:t>
            </w:r>
          </w:p>
          <w:p>
            <w:pPr>
              <w:pStyle w:val="null3"/>
              <w:ind w:firstLine="420"/>
              <w:jc w:val="both"/>
            </w:pPr>
            <w:r>
              <w:rPr>
                <w:rFonts w:ascii="宋体" w:hAnsi="宋体" w:cs="宋体" w:eastAsia="宋体"/>
                <w:sz w:val="21"/>
                <w:color w:val="000000"/>
              </w:rPr>
              <w:t>2.维保期限内每年对自组网进行全面细致的巡检1次；</w:t>
            </w:r>
          </w:p>
          <w:p>
            <w:pPr>
              <w:pStyle w:val="null3"/>
              <w:ind w:firstLine="420"/>
              <w:jc w:val="both"/>
            </w:pPr>
            <w:r>
              <w:rPr>
                <w:rFonts w:ascii="宋体" w:hAnsi="宋体" w:cs="宋体" w:eastAsia="宋体"/>
                <w:sz w:val="21"/>
                <w:color w:val="000000"/>
              </w:rPr>
              <w:t>3.故障设备维修，对于出现故障的设备，进行修复或更换，乙方在维修期内应当提供与原设备功能、性能一致的设备以保障甲方业务工作能够顺利进行，原则上不超过1个月的维修周期,；</w:t>
            </w:r>
          </w:p>
          <w:p>
            <w:pPr>
              <w:pStyle w:val="null3"/>
              <w:ind w:firstLine="420"/>
              <w:jc w:val="both"/>
            </w:pPr>
            <w:r>
              <w:rPr>
                <w:rFonts w:ascii="宋体" w:hAnsi="宋体" w:cs="宋体" w:eastAsia="宋体"/>
                <w:sz w:val="21"/>
                <w:color w:val="000000"/>
              </w:rPr>
              <w:t>★4.质保期内每年提供不少于5次的现场应急运维保障服务；</w:t>
            </w:r>
          </w:p>
          <w:p>
            <w:pPr>
              <w:pStyle w:val="null3"/>
              <w:ind w:firstLine="420"/>
              <w:jc w:val="both"/>
            </w:pPr>
            <w:r>
              <w:rPr>
                <w:rFonts w:ascii="宋体" w:hAnsi="宋体" w:cs="宋体" w:eastAsia="宋体"/>
                <w:sz w:val="21"/>
                <w:color w:val="000000"/>
              </w:rPr>
              <w:t>5.建立完备的系统信息档案，定期进行系统运行质量分析、研究，对自组网故障影响网络正常运行的原因分析并能提出优化方案；</w:t>
            </w:r>
          </w:p>
          <w:p>
            <w:pPr>
              <w:pStyle w:val="null3"/>
              <w:ind w:firstLine="420"/>
              <w:jc w:val="both"/>
            </w:pPr>
            <w:r>
              <w:rPr>
                <w:rFonts w:ascii="宋体" w:hAnsi="宋体" w:cs="宋体" w:eastAsia="宋体"/>
                <w:sz w:val="21"/>
                <w:color w:val="000000"/>
              </w:rPr>
              <w:t>6.参照系统设备清单，配齐设备</w:t>
            </w:r>
            <w:r>
              <w:rPr>
                <w:rFonts w:ascii="宋体" w:hAnsi="宋体" w:cs="宋体" w:eastAsia="宋体"/>
                <w:sz w:val="21"/>
                <w:color w:val="000000"/>
              </w:rPr>
              <w:t>的备品备件</w:t>
            </w:r>
            <w:r>
              <w:rPr>
                <w:rFonts w:ascii="宋体" w:hAnsi="宋体" w:cs="宋体" w:eastAsia="宋体"/>
                <w:sz w:val="21"/>
                <w:color w:val="000000"/>
              </w:rPr>
              <w:t>及相应辅材，确保设备出现故障能够立即替代，保障系统正常运转。</w:t>
            </w:r>
          </w:p>
          <w:p>
            <w:pPr>
              <w:pStyle w:val="null3"/>
              <w:ind w:firstLine="422"/>
              <w:jc w:val="both"/>
            </w:pPr>
            <w:r>
              <w:rPr>
                <w:rFonts w:ascii="宋体" w:hAnsi="宋体" w:cs="宋体" w:eastAsia="宋体"/>
                <w:sz w:val="21"/>
                <w:b/>
                <w:color w:val="000000"/>
              </w:rPr>
              <w:t>（二）服务机制</w:t>
            </w:r>
          </w:p>
          <w:p>
            <w:pPr>
              <w:pStyle w:val="null3"/>
              <w:ind w:firstLine="420"/>
              <w:jc w:val="both"/>
            </w:pPr>
            <w:r>
              <w:rPr>
                <w:rFonts w:ascii="宋体" w:hAnsi="宋体" w:cs="宋体" w:eastAsia="宋体"/>
                <w:sz w:val="21"/>
                <w:color w:val="000000"/>
              </w:rPr>
              <w:t>1.运维服务制度要求</w:t>
            </w:r>
            <w:r>
              <w:rPr>
                <w:rFonts w:ascii="宋体" w:hAnsi="宋体" w:cs="宋体" w:eastAsia="宋体"/>
                <w:sz w:val="21"/>
                <w:color w:val="000000"/>
              </w:rPr>
              <w:t>：严格执行操作规程；及时、准确、完整地填写维修日志和各种规定的记录；严禁任意关闭告警信号。</w:t>
            </w:r>
          </w:p>
          <w:p>
            <w:pPr>
              <w:pStyle w:val="null3"/>
              <w:ind w:firstLine="420"/>
              <w:jc w:val="both"/>
            </w:pPr>
            <w:r>
              <w:rPr>
                <w:rFonts w:ascii="宋体" w:hAnsi="宋体" w:cs="宋体" w:eastAsia="宋体"/>
                <w:sz w:val="21"/>
                <w:color w:val="000000"/>
              </w:rPr>
              <w:t>2.运维服务机制</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1）故障处理服务。为了方便采购人对系统相关问题的咨询和故障的处理，供应商必须以7*24小时热线服务的方式进行问题技术支持和故障派单处理，并由工程师统一保存记录相关信息档案，及时提出解决问题的建议和操作方法。</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2）硬件保修服务。对产品硬件在正常使用过程中可能发生的故障(人为不当操作、设备运行环境、不可抗力因素等造成的产品毁损情形除外)提供5年维护维修服务。</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3）技术支持服务。技术工程师通过现场、电话、网络等方式为用户提供排除故障、更改配置、调整网络结构等技术支持服务，确保系统安全稳定运行。</w:t>
            </w:r>
          </w:p>
          <w:p>
            <w:pPr>
              <w:pStyle w:val="null3"/>
              <w:ind w:firstLine="422"/>
              <w:jc w:val="both"/>
            </w:pPr>
            <w:r>
              <w:rPr>
                <w:rFonts w:ascii="宋体" w:hAnsi="宋体" w:cs="宋体" w:eastAsia="宋体"/>
                <w:sz w:val="21"/>
                <w:b/>
                <w:color w:val="000000"/>
              </w:rPr>
              <w:t>（三）故障响应要求</w:t>
            </w:r>
          </w:p>
          <w:p>
            <w:pPr>
              <w:pStyle w:val="null3"/>
              <w:ind w:firstLine="420"/>
              <w:jc w:val="both"/>
            </w:pPr>
            <w:r>
              <w:rPr>
                <w:rFonts w:ascii="宋体" w:hAnsi="宋体" w:cs="宋体" w:eastAsia="宋体"/>
                <w:sz w:val="21"/>
                <w:color w:val="000000"/>
              </w:rPr>
              <w:t>供应商须提供</w:t>
            </w:r>
            <w:r>
              <w:rPr>
                <w:rFonts w:ascii="宋体" w:hAnsi="宋体" w:cs="宋体" w:eastAsia="宋体"/>
                <w:sz w:val="21"/>
                <w:color w:val="000000"/>
              </w:rPr>
              <w:t>7*24小时值守热线电话，提供系统应用相关问题的咨询及故障报修服务。</w:t>
            </w:r>
          </w:p>
          <w:p>
            <w:pPr>
              <w:pStyle w:val="null3"/>
              <w:ind w:firstLine="422"/>
              <w:jc w:val="both"/>
            </w:pPr>
            <w:r>
              <w:rPr>
                <w:rFonts w:ascii="宋体" w:hAnsi="宋体" w:cs="宋体" w:eastAsia="宋体"/>
                <w:sz w:val="21"/>
                <w:b/>
                <w:color w:val="000000"/>
              </w:rPr>
              <w:t>（四）</w:t>
            </w:r>
            <w:r>
              <w:rPr>
                <w:rFonts w:ascii="宋体" w:hAnsi="宋体" w:cs="宋体" w:eastAsia="宋体"/>
                <w:sz w:val="21"/>
                <w:color w:val="000000"/>
              </w:rPr>
              <w:t>★</w:t>
            </w:r>
            <w:r>
              <w:rPr>
                <w:rFonts w:ascii="宋体" w:hAnsi="宋体" w:cs="宋体" w:eastAsia="宋体"/>
                <w:sz w:val="21"/>
                <w:b/>
                <w:color w:val="000000"/>
              </w:rPr>
              <w:t>备品备件方案</w:t>
            </w:r>
          </w:p>
          <w:p>
            <w:pPr>
              <w:pStyle w:val="null3"/>
              <w:ind w:firstLine="420"/>
              <w:jc w:val="both"/>
            </w:pPr>
            <w:r>
              <w:rPr>
                <w:rFonts w:ascii="宋体" w:hAnsi="宋体" w:cs="宋体" w:eastAsia="宋体"/>
                <w:sz w:val="21"/>
                <w:color w:val="000000"/>
              </w:rPr>
              <w:t>1.备品备件应符合相关质量标准和要求。</w:t>
            </w:r>
          </w:p>
          <w:p>
            <w:pPr>
              <w:pStyle w:val="null3"/>
              <w:ind w:firstLine="420"/>
              <w:jc w:val="both"/>
            </w:pPr>
            <w:r>
              <w:rPr>
                <w:rFonts w:ascii="宋体" w:hAnsi="宋体" w:cs="宋体" w:eastAsia="宋体"/>
                <w:sz w:val="21"/>
                <w:color w:val="000000"/>
              </w:rPr>
              <w:t>2.备品备件的价格不得打包到设备价格中。</w:t>
            </w:r>
          </w:p>
          <w:p>
            <w:pPr>
              <w:pStyle w:val="null3"/>
              <w:ind w:firstLine="420"/>
              <w:jc w:val="both"/>
            </w:pPr>
            <w:r>
              <w:rPr>
                <w:rFonts w:ascii="宋体" w:hAnsi="宋体" w:cs="宋体" w:eastAsia="宋体"/>
                <w:sz w:val="21"/>
                <w:color w:val="000000"/>
              </w:rPr>
              <w:t>3.备品备件需提供备件存放地点、备件库照片、备品备件管理制度等证明材料及承诺书，保证在紧急情况下备品备件能够及时启动，支持现场设备运维保障任务。</w:t>
            </w:r>
          </w:p>
          <w:p>
            <w:pPr>
              <w:pStyle w:val="null3"/>
              <w:ind w:firstLine="422"/>
              <w:jc w:val="both"/>
            </w:pPr>
            <w:r>
              <w:rPr>
                <w:rFonts w:ascii="宋体" w:hAnsi="宋体" w:cs="宋体" w:eastAsia="宋体"/>
                <w:sz w:val="21"/>
                <w:b/>
                <w:color w:val="000000"/>
              </w:rPr>
              <w:t>（五）过程及文档管理</w:t>
            </w:r>
          </w:p>
          <w:p>
            <w:pPr>
              <w:pStyle w:val="null3"/>
              <w:ind w:firstLine="420"/>
              <w:jc w:val="both"/>
            </w:pPr>
            <w:r>
              <w:rPr>
                <w:rFonts w:ascii="宋体" w:hAnsi="宋体" w:cs="宋体" w:eastAsia="宋体"/>
                <w:sz w:val="21"/>
                <w:color w:val="000000"/>
              </w:rPr>
              <w:t>1.实施前管理</w:t>
            </w:r>
          </w:p>
          <w:p>
            <w:pPr>
              <w:pStyle w:val="null3"/>
              <w:ind w:firstLine="420"/>
              <w:jc w:val="both"/>
            </w:pPr>
            <w:r>
              <w:rPr>
                <w:rFonts w:ascii="宋体" w:hAnsi="宋体" w:cs="宋体" w:eastAsia="宋体"/>
                <w:sz w:val="21"/>
                <w:color w:val="000000"/>
              </w:rPr>
              <w:t>项目实施前，项目经理根据合同文件、设计文件及有关的技术规范，对项目工期进行合理计划，对项目实施中存在的风险进行分析，并给出相应的预防措施。</w:t>
            </w:r>
          </w:p>
          <w:p>
            <w:pPr>
              <w:pStyle w:val="null3"/>
              <w:ind w:firstLine="420"/>
              <w:jc w:val="both"/>
            </w:pPr>
            <w:r>
              <w:rPr>
                <w:rFonts w:ascii="宋体" w:hAnsi="宋体" w:cs="宋体" w:eastAsia="宋体"/>
                <w:sz w:val="21"/>
                <w:color w:val="000000"/>
              </w:rPr>
              <w:t>项目实施组织方案：包括项目组组织架构、项目组成员职责、安全管理计划、质量保证计划、沟通计划、项目组成员联系方式等。</w:t>
            </w:r>
          </w:p>
          <w:p>
            <w:pPr>
              <w:pStyle w:val="null3"/>
              <w:ind w:firstLine="420"/>
              <w:jc w:val="both"/>
            </w:pPr>
            <w:r>
              <w:rPr>
                <w:rFonts w:ascii="宋体" w:hAnsi="宋体" w:cs="宋体" w:eastAsia="宋体"/>
                <w:sz w:val="21"/>
                <w:color w:val="000000"/>
              </w:rPr>
              <w:t>项目工期计划：根据本项目制定详细的工期计划。</w:t>
            </w:r>
          </w:p>
          <w:p>
            <w:pPr>
              <w:pStyle w:val="null3"/>
              <w:ind w:firstLine="420"/>
              <w:jc w:val="both"/>
            </w:pPr>
            <w:r>
              <w:rPr>
                <w:rFonts w:ascii="宋体" w:hAnsi="宋体" w:cs="宋体" w:eastAsia="宋体"/>
                <w:sz w:val="21"/>
                <w:color w:val="000000"/>
              </w:rPr>
              <w:t>风险分析：提前预测该项目可能会出现的风险，并有相应的预防措施。</w:t>
            </w:r>
          </w:p>
          <w:p>
            <w:pPr>
              <w:pStyle w:val="null3"/>
              <w:ind w:firstLine="420"/>
              <w:jc w:val="both"/>
            </w:pPr>
            <w:r>
              <w:rPr>
                <w:rFonts w:ascii="宋体" w:hAnsi="宋体" w:cs="宋体" w:eastAsia="宋体"/>
                <w:sz w:val="21"/>
                <w:color w:val="000000"/>
              </w:rPr>
              <w:t>2.实施过程中</w:t>
            </w:r>
            <w:r>
              <w:rPr>
                <w:rFonts w:ascii="宋体" w:hAnsi="宋体" w:cs="宋体" w:eastAsia="宋体"/>
                <w:sz w:val="21"/>
                <w:color w:val="000000"/>
              </w:rPr>
              <w:t>管理</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1）货物清点</w:t>
            </w:r>
          </w:p>
          <w:p>
            <w:pPr>
              <w:pStyle w:val="null3"/>
              <w:ind w:firstLine="420"/>
              <w:jc w:val="both"/>
            </w:pPr>
            <w:r>
              <w:rPr>
                <w:rFonts w:ascii="宋体" w:hAnsi="宋体" w:cs="宋体" w:eastAsia="宋体"/>
                <w:sz w:val="21"/>
                <w:color w:val="000000"/>
              </w:rPr>
              <w:t>设备到货后，依照合同清单对货物进行清点，准确无误后交由采购人签字盖章，输出《设备签收单》。</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2）自组网调试</w:t>
            </w:r>
          </w:p>
          <w:p>
            <w:pPr>
              <w:pStyle w:val="null3"/>
              <w:ind w:firstLine="420"/>
              <w:jc w:val="both"/>
            </w:pPr>
            <w:r>
              <w:rPr>
                <w:rFonts w:ascii="宋体" w:hAnsi="宋体" w:cs="宋体" w:eastAsia="宋体"/>
                <w:sz w:val="21"/>
                <w:color w:val="000000"/>
              </w:rPr>
              <w:t>按</w:t>
            </w:r>
            <w:r>
              <w:rPr>
                <w:rFonts w:ascii="宋体" w:hAnsi="宋体" w:cs="宋体" w:eastAsia="宋体"/>
                <w:sz w:val="21"/>
                <w:color w:val="000000"/>
              </w:rPr>
              <w:t>照需求于</w:t>
            </w:r>
            <w:r>
              <w:rPr>
                <w:rFonts w:ascii="宋体" w:hAnsi="宋体" w:cs="宋体" w:eastAsia="宋体"/>
                <w:sz w:val="21"/>
                <w:color w:val="000000"/>
              </w:rPr>
              <w:t>10个日历日内完成自组网调试。</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3）对讲机写频</w:t>
            </w:r>
          </w:p>
          <w:p>
            <w:pPr>
              <w:pStyle w:val="null3"/>
              <w:ind w:firstLine="420"/>
              <w:jc w:val="both"/>
            </w:pPr>
            <w:r>
              <w:rPr>
                <w:rFonts w:ascii="宋体" w:hAnsi="宋体" w:cs="宋体" w:eastAsia="宋体"/>
                <w:sz w:val="21"/>
                <w:color w:val="000000"/>
              </w:rPr>
              <w:t>（</w:t>
            </w:r>
            <w:r>
              <w:rPr>
                <w:rFonts w:ascii="宋体" w:hAnsi="宋体" w:cs="宋体" w:eastAsia="宋体"/>
                <w:sz w:val="21"/>
                <w:color w:val="000000"/>
              </w:rPr>
              <w:t>4）功能测试</w:t>
            </w:r>
          </w:p>
          <w:p>
            <w:pPr>
              <w:pStyle w:val="null3"/>
              <w:ind w:firstLine="420"/>
              <w:jc w:val="both"/>
            </w:pPr>
            <w:r>
              <w:rPr>
                <w:rFonts w:ascii="宋体" w:hAnsi="宋体" w:cs="宋体" w:eastAsia="宋体"/>
                <w:sz w:val="21"/>
                <w:color w:val="000000"/>
              </w:rPr>
              <w:t>按照要求对自组网功能进行整体测试。</w:t>
            </w:r>
          </w:p>
          <w:p>
            <w:pPr>
              <w:pStyle w:val="null3"/>
              <w:ind w:firstLine="420"/>
              <w:jc w:val="both"/>
            </w:pPr>
            <w:r>
              <w:rPr>
                <w:rFonts w:ascii="宋体" w:hAnsi="宋体" w:cs="宋体" w:eastAsia="宋体"/>
                <w:sz w:val="21"/>
                <w:color w:val="000000"/>
              </w:rPr>
              <w:t>3.实施完成后</w:t>
            </w:r>
            <w:r>
              <w:rPr>
                <w:rFonts w:ascii="宋体" w:hAnsi="宋体" w:cs="宋体" w:eastAsia="宋体"/>
                <w:sz w:val="21"/>
                <w:color w:val="000000"/>
              </w:rPr>
              <w:t>管理</w:t>
            </w:r>
          </w:p>
          <w:p>
            <w:pPr>
              <w:pStyle w:val="null3"/>
              <w:ind w:firstLine="420"/>
              <w:jc w:val="both"/>
            </w:pPr>
            <w:r>
              <w:rPr>
                <w:rFonts w:ascii="宋体" w:hAnsi="宋体" w:cs="宋体" w:eastAsia="宋体"/>
                <w:sz w:val="21"/>
                <w:color w:val="000000"/>
              </w:rPr>
              <w:t>项目实施完成后，输出完整的项目过程文档，提交存档。</w:t>
            </w:r>
          </w:p>
          <w:p>
            <w:pPr>
              <w:pStyle w:val="null3"/>
              <w:jc w:val="both"/>
            </w:pPr>
            <w:r>
              <w:rPr>
                <w:rFonts w:ascii="宋体" w:hAnsi="宋体" w:cs="宋体" w:eastAsia="宋体"/>
                <w:sz w:val="21"/>
                <w:b/>
                <w:color w:val="000000"/>
              </w:rPr>
              <w:t>五、其他</w:t>
            </w:r>
          </w:p>
          <w:p>
            <w:pPr>
              <w:pStyle w:val="null3"/>
              <w:jc w:val="both"/>
            </w:pPr>
            <w:r>
              <w:rPr>
                <w:rFonts w:ascii="宋体" w:hAnsi="宋体" w:cs="宋体" w:eastAsia="宋体"/>
                <w:sz w:val="21"/>
                <w:b/>
                <w:color w:val="000000"/>
              </w:rPr>
              <w:t>（一）质量验收标准或规范</w:t>
            </w:r>
          </w:p>
          <w:p>
            <w:pPr>
              <w:pStyle w:val="null3"/>
              <w:ind w:firstLine="420"/>
              <w:jc w:val="both"/>
            </w:pPr>
            <w:r>
              <w:rPr>
                <w:rFonts w:ascii="宋体" w:hAnsi="宋体" w:cs="宋体" w:eastAsia="宋体"/>
                <w:sz w:val="21"/>
                <w:color w:val="000000"/>
              </w:rPr>
              <w:t>1.满足《基于12.5kHz信道的时分多址（TDMA）专用数字集群通信系统空中接口物理层及数据链路层技术规范》（GB/T 34991 2017）、</w:t>
            </w:r>
            <w:r>
              <w:rPr>
                <w:rFonts w:ascii="宋体" w:hAnsi="宋体" w:cs="宋体" w:eastAsia="宋体"/>
                <w:sz w:val="21"/>
                <w:color w:val="000000"/>
              </w:rPr>
              <w:t>《基于</w:t>
            </w:r>
            <w:r>
              <w:rPr>
                <w:rFonts w:ascii="宋体" w:hAnsi="宋体" w:cs="宋体" w:eastAsia="宋体"/>
                <w:sz w:val="21"/>
                <w:color w:val="000000"/>
              </w:rPr>
              <w:t>12.5kHz信道的时分多址（TDMA）专用数字集群通信系统 空中接口呼叫控制层技术规范》（GB/T 34992 2017）</w:t>
            </w:r>
            <w:r>
              <w:rPr>
                <w:rFonts w:ascii="宋体" w:hAnsi="宋体" w:cs="宋体" w:eastAsia="宋体"/>
                <w:sz w:val="21"/>
                <w:color w:val="000000"/>
              </w:rPr>
              <w:t>、《警用数字集群（</w:t>
            </w:r>
            <w:r>
              <w:rPr>
                <w:rFonts w:ascii="宋体" w:hAnsi="宋体" w:cs="宋体" w:eastAsia="宋体"/>
                <w:sz w:val="21"/>
                <w:color w:val="000000"/>
              </w:rPr>
              <w:t>PDT）通信系统射频设备技术要求和测试方法》（GA/T 1255-2016）</w:t>
            </w:r>
            <w:r>
              <w:rPr>
                <w:rFonts w:ascii="宋体" w:hAnsi="宋体" w:cs="宋体" w:eastAsia="宋体"/>
                <w:sz w:val="21"/>
                <w:color w:val="000000"/>
              </w:rPr>
              <w:t>、《警用数字集群（</w:t>
            </w:r>
            <w:r>
              <w:rPr>
                <w:rFonts w:ascii="宋体" w:hAnsi="宋体" w:cs="宋体" w:eastAsia="宋体"/>
                <w:sz w:val="21"/>
                <w:color w:val="000000"/>
              </w:rPr>
              <w:t>PDT）通信系统总体技术规范》（GA/T 1056-2013）</w:t>
            </w:r>
            <w:r>
              <w:rPr>
                <w:rFonts w:ascii="宋体" w:hAnsi="宋体" w:cs="宋体" w:eastAsia="宋体"/>
                <w:sz w:val="21"/>
                <w:color w:val="000000"/>
              </w:rPr>
              <w:t>要求。</w:t>
            </w:r>
          </w:p>
          <w:p>
            <w:pPr>
              <w:pStyle w:val="null3"/>
              <w:ind w:firstLine="420"/>
              <w:jc w:val="both"/>
            </w:pPr>
            <w:r>
              <w:rPr>
                <w:rFonts w:ascii="宋体" w:hAnsi="宋体" w:cs="宋体" w:eastAsia="宋体"/>
                <w:sz w:val="21"/>
                <w:color w:val="000000"/>
              </w:rPr>
              <w:t>2.项目验收合格率、使用率、正常运行率≥95%</w:t>
            </w:r>
          </w:p>
          <w:p>
            <w:pPr>
              <w:pStyle w:val="null3"/>
              <w:ind w:firstLine="420"/>
              <w:jc w:val="both"/>
            </w:pPr>
            <w:r>
              <w:rPr>
                <w:rFonts w:ascii="宋体" w:hAnsi="宋体" w:cs="宋体" w:eastAsia="宋体"/>
                <w:sz w:val="21"/>
                <w:color w:val="000000"/>
              </w:rPr>
              <w:t>3.项目系统故障率（%）≤1%</w:t>
            </w:r>
          </w:p>
          <w:p>
            <w:pPr>
              <w:pStyle w:val="null3"/>
              <w:jc w:val="both"/>
            </w:pPr>
            <w:r>
              <w:rPr>
                <w:rFonts w:ascii="宋体" w:hAnsi="宋体" w:cs="宋体" w:eastAsia="宋体"/>
                <w:sz w:val="21"/>
                <w:b/>
                <w:color w:val="000000"/>
              </w:rPr>
              <w:t>（二）产品质保</w:t>
            </w:r>
          </w:p>
          <w:p>
            <w:pPr>
              <w:pStyle w:val="null3"/>
              <w:ind w:firstLine="420"/>
              <w:jc w:val="both"/>
            </w:pPr>
            <w:r>
              <w:rPr>
                <w:rFonts w:ascii="宋体" w:hAnsi="宋体" w:cs="宋体" w:eastAsia="宋体"/>
                <w:sz w:val="21"/>
                <w:color w:val="000000"/>
              </w:rPr>
              <w:t>1.乙方确保所提供的货物均经过严格检验，并符合所规定的质量和规格。</w:t>
            </w:r>
          </w:p>
          <w:p>
            <w:pPr>
              <w:pStyle w:val="null3"/>
              <w:ind w:firstLine="420"/>
              <w:jc w:val="both"/>
            </w:pPr>
            <w:r>
              <w:rPr>
                <w:rFonts w:ascii="宋体" w:hAnsi="宋体" w:cs="宋体" w:eastAsia="宋体"/>
                <w:sz w:val="21"/>
                <w:color w:val="000000"/>
              </w:rPr>
              <w:t>2.产品质保期：验收合格之日起5年。</w:t>
            </w:r>
          </w:p>
          <w:p>
            <w:pPr>
              <w:pStyle w:val="null3"/>
              <w:ind w:firstLine="420"/>
              <w:jc w:val="both"/>
            </w:pPr>
            <w:r>
              <w:rPr>
                <w:rFonts w:ascii="宋体" w:hAnsi="宋体" w:cs="宋体" w:eastAsia="宋体"/>
                <w:sz w:val="21"/>
                <w:color w:val="000000"/>
              </w:rPr>
              <w:t>3.免费维修与更换缺陷部件的期限：在最短时间内进行修复或更换，原则上不超过1个月的维修周期。</w:t>
            </w:r>
          </w:p>
          <w:p>
            <w:pPr>
              <w:pStyle w:val="null3"/>
            </w:pPr>
            <w:r>
              <w:rPr>
                <w:rFonts w:ascii="宋体" w:hAnsi="宋体" w:cs="宋体" w:eastAsia="宋体"/>
                <w:sz w:val="21"/>
                <w:color w:val="000000"/>
              </w:rPr>
              <w:t xml:space="preserve">   4.被修理或更换的货物或部件从出厂地至最终目的运费由乙方承担。</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合同签订后10个日历日内。</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合同签订后，货物交付完成并验收合格，乙方应向甲方出具书面付款通知（注明开户行及账户信息）以及符合国家财税规定的增值税发票</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详见合同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质保期：验收合格之日起5年。</w:t>
      </w:r>
    </w:p>
    <w:p>
      <w:pPr>
        <w:pStyle w:val="null3"/>
        <w:outlineLvl w:val="3"/>
      </w:pPr>
      <w:r>
        <w:rPr>
          <w:sz w:val="24"/>
          <w:b/>
        </w:rPr>
        <w:t>3.4.8违约责任及解决争议的方法</w:t>
      </w:r>
    </w:p>
    <w:p>
      <w:pPr>
        <w:pStyle w:val="null3"/>
      </w:pPr>
      <w:r>
        <w:rPr/>
        <w:t>采购包1：</w:t>
      </w:r>
    </w:p>
    <w:p>
      <w:pPr>
        <w:pStyle w:val="null3"/>
      </w:pPr>
      <w:r>
        <w:rPr/>
        <w:t>详见合同</w:t>
      </w:r>
    </w:p>
    <w:p>
      <w:pPr>
        <w:pStyle w:val="null3"/>
        <w:jc w:val="left"/>
        <w:outlineLvl w:val="3"/>
      </w:pPr>
      <w:r>
        <w:rPr>
          <w:sz w:val="24"/>
          <w:b/>
        </w:rPr>
        <w:t>3.5其他要求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提供合格有效的法人或者其他组织的营业执照等证明文件或自然人的身份证明；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提供2023年度的财务审计报告或开标前六个月内其基本存款账户开户银行出具的资信证明（附开户许可证或开户备案证明或基本账户信息）；</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提供2024年01月01日至今已缴存的至少一个月的纳税证明或完税证明，依法免税的单位应提供相关证明材料；</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提供2024年01月01日至今已缴存的至少一个月的社会保障资金缴存单据或社保机构开具的社会保险参保缴费情况证明，依法不需要缴纳社会保障资金的单位应提供相关证明材料；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无重大违法记录声明</w:t>
            </w:r>
          </w:p>
        </w:tc>
        <w:tc>
          <w:tcPr>
            <w:tcW w:type="dxa" w:w="3322"/>
          </w:tcPr>
          <w:p>
            <w:pPr>
              <w:pStyle w:val="null3"/>
            </w:pPr>
            <w:r>
              <w:rPr/>
              <w:t>参加政府采购活动近3年内，在经营活动中没有重大违法记录的书面声明；</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专业技术能力证明</w:t>
            </w:r>
          </w:p>
        </w:tc>
        <w:tc>
          <w:tcPr>
            <w:tcW w:type="dxa" w:w="3322"/>
          </w:tcPr>
          <w:p>
            <w:pPr>
              <w:pStyle w:val="null3"/>
            </w:pPr>
            <w:r>
              <w:rPr/>
              <w:t>具备履行合同所必需的设备和专业技术能力的证明材料(由供应商根据项目需求提供说明材料或者承诺)；</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法定代表人委托授权书\身份证明</w:t>
            </w:r>
          </w:p>
        </w:tc>
        <w:tc>
          <w:tcPr>
            <w:tcW w:type="dxa" w:w="3322"/>
          </w:tcPr>
          <w:p>
            <w:pPr>
              <w:pStyle w:val="null3"/>
            </w:pPr>
            <w:r>
              <w:rPr/>
              <w:t>供应商应授权合法的人员参加谈判全过程，其中法定代表人直接参加谈判的，须出具法定代表人身份证，并与营业执照上信息一致。法定代表人授权代表参加谈判的，须出具法定代表人授权书及授权代表身份证。（其他组织或自然人参照执行）；</w:t>
            </w:r>
          </w:p>
        </w:tc>
        <w:tc>
          <w:tcPr>
            <w:tcW w:type="dxa" w:w="1661"/>
          </w:tcPr>
          <w:p>
            <w:pPr>
              <w:pStyle w:val="null3"/>
            </w:pPr>
            <w:r>
              <w:rPr/>
              <w:t>资格证明文件 法人代表身份证明书及法定代表人授权书</w:t>
            </w:r>
          </w:p>
        </w:tc>
      </w:tr>
      <w:tr>
        <w:tc>
          <w:tcPr>
            <w:tcW w:type="dxa" w:w="831"/>
          </w:tcPr>
          <w:p>
            <w:pPr>
              <w:pStyle w:val="null3"/>
            </w:pPr>
            <w:r>
              <w:rPr/>
              <w:t>8</w:t>
            </w:r>
          </w:p>
        </w:tc>
        <w:tc>
          <w:tcPr>
            <w:tcW w:type="dxa" w:w="2492"/>
          </w:tcPr>
          <w:p>
            <w:pPr>
              <w:pStyle w:val="null3"/>
            </w:pPr>
            <w:r>
              <w:rPr/>
              <w:t>信用查询</w:t>
            </w:r>
          </w:p>
        </w:tc>
        <w:tc>
          <w:tcPr>
            <w:tcW w:type="dxa" w:w="3322"/>
          </w:tcPr>
          <w:p>
            <w:pPr>
              <w:pStyle w:val="null3"/>
            </w:pPr>
            <w:r>
              <w:rPr/>
              <w:t>在“信用中国”网站（www.creditchina.gov.cn）和“中国政府采购网”（ccgp.gov.cn）对响应单位信用信息进行查询，如果响应单位被查实在开标前已列入失信被执行人、重大税收违法失信主体、政府采购严重违法失信行为记录名单，其响应为无效；（以开标当天代理机构核查为准）</w:t>
            </w:r>
          </w:p>
        </w:tc>
        <w:tc>
          <w:tcPr>
            <w:tcW w:type="dxa" w:w="1661"/>
          </w:tcPr>
          <w:p>
            <w:pPr>
              <w:pStyle w:val="null3"/>
            </w:pPr>
            <w:r>
              <w:rPr/>
              <w:t>资格证明文件</w:t>
            </w:r>
          </w:p>
        </w:tc>
      </w:tr>
      <w:tr>
        <w:tc>
          <w:tcPr>
            <w:tcW w:type="dxa" w:w="831"/>
          </w:tcPr>
          <w:p>
            <w:pPr>
              <w:pStyle w:val="null3"/>
            </w:pPr>
            <w:r>
              <w:rPr/>
              <w:t>9</w:t>
            </w:r>
          </w:p>
        </w:tc>
        <w:tc>
          <w:tcPr>
            <w:tcW w:type="dxa" w:w="2492"/>
          </w:tcPr>
          <w:p>
            <w:pPr>
              <w:pStyle w:val="null3"/>
            </w:pPr>
            <w:r>
              <w:rPr/>
              <w:t>关联关系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与项目的一致性</w:t>
            </w:r>
          </w:p>
        </w:tc>
        <w:tc>
          <w:tcPr>
            <w:tcW w:type="dxa" w:w="3322"/>
          </w:tcPr>
          <w:p>
            <w:pPr>
              <w:pStyle w:val="null3"/>
            </w:pPr>
            <w:r>
              <w:rPr/>
              <w:t>响应内容未出现漏项或数量与要求不符，未出现重大负偏差；</w:t>
            </w:r>
          </w:p>
        </w:tc>
        <w:tc>
          <w:tcPr>
            <w:tcW w:type="dxa" w:w="1661"/>
          </w:tcPr>
          <w:p>
            <w:pPr>
              <w:pStyle w:val="null3"/>
            </w:pPr>
            <w:r>
              <w:rPr/>
              <w:t>技术偏离表</w:t>
            </w:r>
          </w:p>
        </w:tc>
      </w:tr>
      <w:tr>
        <w:tc>
          <w:tcPr>
            <w:tcW w:type="dxa" w:w="831"/>
          </w:tcPr>
          <w:p>
            <w:pPr>
              <w:pStyle w:val="null3"/>
            </w:pPr>
            <w:r>
              <w:rPr/>
              <w:t>2</w:t>
            </w:r>
          </w:p>
        </w:tc>
        <w:tc>
          <w:tcPr>
            <w:tcW w:type="dxa" w:w="2492"/>
          </w:tcPr>
          <w:p>
            <w:pPr>
              <w:pStyle w:val="null3"/>
            </w:pPr>
            <w:r>
              <w:rPr/>
              <w:t>签署</w:t>
            </w:r>
          </w:p>
        </w:tc>
        <w:tc>
          <w:tcPr>
            <w:tcW w:type="dxa" w:w="3322"/>
          </w:tcPr>
          <w:p>
            <w:pPr>
              <w:pStyle w:val="null3"/>
            </w:pPr>
            <w:r>
              <w:rPr/>
              <w:t>响应文件的签署、加盖公章有效；</w:t>
            </w:r>
          </w:p>
        </w:tc>
        <w:tc>
          <w:tcPr>
            <w:tcW w:type="dxa" w:w="1661"/>
          </w:tcPr>
          <w:p>
            <w:pPr>
              <w:pStyle w:val="null3"/>
            </w:pPr>
            <w:r>
              <w:rPr/>
              <w:t>响应文件封面 技术偏离表 资格证明文件 商务偏离表 中小企业声明函 残疾人福利性单位声明函 详细分项报价表 标的清单 报价表 法人代表身份证明书及法定代表人授权书 响应函 监狱企业的证明文件</w:t>
            </w:r>
          </w:p>
        </w:tc>
      </w:tr>
      <w:tr>
        <w:tc>
          <w:tcPr>
            <w:tcW w:type="dxa" w:w="831"/>
          </w:tcPr>
          <w:p>
            <w:pPr>
              <w:pStyle w:val="null3"/>
            </w:pPr>
            <w:r>
              <w:rPr/>
              <w:t>3</w:t>
            </w:r>
          </w:p>
        </w:tc>
        <w:tc>
          <w:tcPr>
            <w:tcW w:type="dxa" w:w="2492"/>
          </w:tcPr>
          <w:p>
            <w:pPr>
              <w:pStyle w:val="null3"/>
            </w:pPr>
            <w:r>
              <w:rPr/>
              <w:t>有效期</w:t>
            </w:r>
          </w:p>
        </w:tc>
        <w:tc>
          <w:tcPr>
            <w:tcW w:type="dxa" w:w="3322"/>
          </w:tcPr>
          <w:p>
            <w:pPr>
              <w:pStyle w:val="null3"/>
            </w:pPr>
            <w:r>
              <w:rPr/>
              <w:t>响应文件有效期达到谈判文件的要求；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其他无效情形</w:t>
            </w:r>
          </w:p>
        </w:tc>
        <w:tc>
          <w:tcPr>
            <w:tcW w:type="dxa" w:w="3322"/>
          </w:tcPr>
          <w:p>
            <w:pPr>
              <w:pStyle w:val="null3"/>
            </w:pPr>
            <w:r>
              <w:rPr/>
              <w:t>完全理解并接受法律法规和谈判文件对供应商合法经营的各类规约和责任义务要求，未出现法律、法规或谈判文件规定的其他无效情形的。</w:t>
            </w:r>
          </w:p>
        </w:tc>
        <w:tc>
          <w:tcPr>
            <w:tcW w:type="dxa" w:w="1661"/>
          </w:tcPr>
          <w:p>
            <w:pPr>
              <w:pStyle w:val="null3"/>
            </w:pPr>
            <w:r>
              <w:rPr/>
              <w:t>技术偏离表 类似项目业绩一览表 中小企业声明函 详细分项报价表 技术方案 报价表 响应文件封面 资格证明文件 商务偏离表 残疾人福利性单位声明函 标的清单 法人代表身份证明书及法定代表人授权书 响应函 监狱企业的证明文件</w:t>
            </w:r>
          </w:p>
        </w:tc>
      </w:tr>
      <w:tr>
        <w:tc>
          <w:tcPr>
            <w:tcW w:type="dxa" w:w="831"/>
          </w:tcPr>
          <w:p>
            <w:pPr>
              <w:pStyle w:val="null3"/>
            </w:pPr>
            <w:r>
              <w:rPr/>
              <w:t>5</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详细分项报价表 标的清单 报价表</w:t>
            </w:r>
          </w:p>
        </w:tc>
      </w:tr>
      <w:tr>
        <w:tc>
          <w:tcPr>
            <w:tcW w:type="dxa" w:w="831"/>
          </w:tcPr>
          <w:p>
            <w:pPr>
              <w:pStyle w:val="null3"/>
            </w:pPr>
            <w:r>
              <w:rPr/>
              <w:t>6</w:t>
            </w:r>
          </w:p>
        </w:tc>
        <w:tc>
          <w:tcPr>
            <w:tcW w:type="dxa" w:w="2492"/>
          </w:tcPr>
          <w:p>
            <w:pPr>
              <w:pStyle w:val="null3"/>
            </w:pPr>
            <w:r>
              <w:rPr/>
              <w:t>谈判报价</w:t>
            </w:r>
          </w:p>
        </w:tc>
        <w:tc>
          <w:tcPr>
            <w:tcW w:type="dxa" w:w="3322"/>
          </w:tcPr>
          <w:p>
            <w:pPr>
              <w:pStyle w:val="null3"/>
            </w:pPr>
            <w:r>
              <w:rPr/>
              <w:t>报价未超过谈判文件中规定的最高限价的</w:t>
            </w:r>
          </w:p>
        </w:tc>
        <w:tc>
          <w:tcPr>
            <w:tcW w:type="dxa" w:w="1661"/>
          </w:tcPr>
          <w:p>
            <w:pPr>
              <w:pStyle w:val="null3"/>
            </w:pPr>
            <w:r>
              <w:rPr/>
              <w:t>详细分项报价表 标的清单 报价表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x(1-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详见附件：详细分项报价表</w:t>
      </w:r>
    </w:p>
    <w:p>
      <w:pPr>
        <w:pStyle w:val="null3"/>
        <w:ind w:firstLine="960"/>
      </w:pPr>
      <w:r>
        <w:rPr/>
        <w:t>详见附件：商务偏离表</w:t>
      </w:r>
    </w:p>
    <w:p>
      <w:pPr>
        <w:pStyle w:val="null3"/>
        <w:ind w:firstLine="960"/>
      </w:pPr>
      <w:r>
        <w:rPr/>
        <w:t>详见附件：技术偏离表</w:t>
      </w:r>
    </w:p>
    <w:p>
      <w:pPr>
        <w:pStyle w:val="null3"/>
        <w:ind w:firstLine="960"/>
      </w:pPr>
      <w:r>
        <w:rPr/>
        <w:t>详见附件：法人代表身份证明书及法定代表人授权书</w:t>
      </w:r>
    </w:p>
    <w:p>
      <w:pPr>
        <w:pStyle w:val="null3"/>
        <w:ind w:firstLine="960"/>
      </w:pPr>
      <w:r>
        <w:rPr/>
        <w:t>详见附件：资格证明文件</w:t>
      </w:r>
    </w:p>
    <w:p>
      <w:pPr>
        <w:pStyle w:val="null3"/>
        <w:ind w:firstLine="960"/>
      </w:pPr>
      <w:r>
        <w:rPr/>
        <w:t>详见附件：类似项目业绩一览表</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