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EC249">
      <w:pPr>
        <w:rPr>
          <w:rFonts w:hint="eastAsia" w:ascii="宋体" w:hAnsi="宋体"/>
          <w:b/>
          <w:sz w:val="32"/>
          <w:szCs w:val="32"/>
          <w:highlight w:val="none"/>
        </w:rPr>
      </w:pPr>
      <w:r>
        <w:rPr>
          <w:rFonts w:hint="eastAsia" w:ascii="宋体" w:hAnsi="宋体"/>
          <w:b/>
          <w:sz w:val="32"/>
          <w:szCs w:val="32"/>
          <w:highlight w:val="none"/>
        </w:rPr>
        <w:t>政府采购项目</w:t>
      </w:r>
    </w:p>
    <w:p w14:paraId="27993B1D">
      <w:pPr>
        <w:jc w:val="both"/>
        <w:rPr>
          <w:rFonts w:hint="eastAsia" w:ascii="宋体" w:hAnsi="宋体" w:eastAsia="宋体"/>
          <w:sz w:val="52"/>
          <w:szCs w:val="52"/>
          <w:highlight w:val="none"/>
          <w:lang w:eastAsia="zh-CN"/>
        </w:rPr>
      </w:pPr>
    </w:p>
    <w:p w14:paraId="58CE80B0">
      <w:pPr>
        <w:ind w:firstLine="1898" w:firstLineChars="350"/>
        <w:rPr>
          <w:rFonts w:hint="eastAsia" w:ascii="宋体" w:hAnsi="宋体"/>
          <w:b/>
          <w:spacing w:val="-20"/>
          <w:sz w:val="58"/>
          <w:szCs w:val="58"/>
          <w:highlight w:val="none"/>
        </w:rPr>
      </w:pPr>
      <w:r>
        <w:rPr>
          <w:rFonts w:hint="eastAsia" w:ascii="宋体" w:hAnsi="宋体"/>
          <w:b/>
          <w:spacing w:val="-20"/>
          <w:sz w:val="58"/>
          <w:szCs w:val="58"/>
          <w:highlight w:val="none"/>
        </w:rPr>
        <w:t>X X X X X X</w:t>
      </w:r>
      <w:r>
        <w:rPr>
          <w:rFonts w:hint="eastAsia" w:ascii="宋体" w:hAnsi="宋体"/>
          <w:b/>
          <w:color w:val="FF0000"/>
          <w:spacing w:val="-20"/>
          <w:sz w:val="58"/>
          <w:szCs w:val="58"/>
          <w:highlight w:val="none"/>
        </w:rPr>
        <w:t>（项目名称）</w:t>
      </w:r>
    </w:p>
    <w:p w14:paraId="709EAE18">
      <w:pPr>
        <w:jc w:val="center"/>
        <w:rPr>
          <w:rFonts w:hint="eastAsia" w:ascii="宋体" w:hAnsi="宋体"/>
          <w:b/>
          <w:sz w:val="72"/>
          <w:szCs w:val="72"/>
          <w:highlight w:val="none"/>
        </w:rPr>
      </w:pPr>
    </w:p>
    <w:p w14:paraId="1CFC90E0">
      <w:pPr>
        <w:jc w:val="center"/>
        <w:rPr>
          <w:rFonts w:hint="eastAsia" w:ascii="宋体" w:hAnsi="宋体"/>
          <w:b/>
          <w:sz w:val="72"/>
          <w:szCs w:val="72"/>
          <w:highlight w:val="none"/>
        </w:rPr>
      </w:pPr>
    </w:p>
    <w:p w14:paraId="536049A0">
      <w:pPr>
        <w:jc w:val="center"/>
        <w:rPr>
          <w:rFonts w:hint="eastAsia" w:ascii="宋体" w:hAnsi="宋体"/>
          <w:b/>
          <w:sz w:val="72"/>
          <w:szCs w:val="72"/>
          <w:highlight w:val="none"/>
        </w:rPr>
      </w:pPr>
      <w:r>
        <w:rPr>
          <w:rFonts w:hint="eastAsia" w:ascii="宋体" w:hAnsi="宋体"/>
          <w:b/>
          <w:sz w:val="72"/>
          <w:szCs w:val="72"/>
          <w:highlight w:val="none"/>
        </w:rPr>
        <w:t>供 货 合 同</w:t>
      </w:r>
    </w:p>
    <w:p w14:paraId="1470DA30">
      <w:pPr>
        <w:jc w:val="center"/>
        <w:rPr>
          <w:rFonts w:hint="eastAsia" w:ascii="宋体" w:hAnsi="宋体"/>
          <w:sz w:val="30"/>
          <w:szCs w:val="30"/>
          <w:highlight w:val="none"/>
        </w:rPr>
      </w:pPr>
      <w:r>
        <w:rPr>
          <w:rFonts w:hint="eastAsia" w:ascii="宋体" w:hAnsi="宋体"/>
          <w:sz w:val="30"/>
          <w:szCs w:val="30"/>
          <w:highlight w:val="none"/>
        </w:rPr>
        <w:t>（编号：</w:t>
      </w:r>
      <w:r>
        <w:rPr>
          <w:rFonts w:hint="eastAsia" w:ascii="宋体" w:hAnsi="宋体"/>
          <w:sz w:val="30"/>
          <w:szCs w:val="30"/>
          <w:highlight w:val="none"/>
          <w:lang w:val="en-US" w:eastAsia="zh-CN"/>
        </w:rPr>
        <w:t xml:space="preserve">        </w:t>
      </w:r>
      <w:r>
        <w:rPr>
          <w:rFonts w:hint="eastAsia" w:ascii="宋体" w:hAnsi="宋体"/>
          <w:sz w:val="30"/>
          <w:szCs w:val="30"/>
          <w:highlight w:val="none"/>
        </w:rPr>
        <w:t>）</w:t>
      </w:r>
    </w:p>
    <w:p w14:paraId="358076E5">
      <w:pPr>
        <w:jc w:val="center"/>
        <w:rPr>
          <w:rFonts w:hint="eastAsia" w:ascii="宋体" w:hAnsi="宋体" w:eastAsia="宋体"/>
          <w:sz w:val="30"/>
          <w:szCs w:val="30"/>
          <w:highlight w:val="none"/>
          <w:lang w:eastAsia="zh-CN"/>
        </w:rPr>
      </w:pPr>
      <w:r>
        <w:rPr>
          <w:rFonts w:hint="eastAsia" w:ascii="宋体" w:hAnsi="宋体"/>
          <w:sz w:val="30"/>
          <w:szCs w:val="30"/>
          <w:highlight w:val="none"/>
          <w:lang w:val="en-US" w:eastAsia="zh-CN"/>
        </w:rPr>
        <w:t xml:space="preserve"> </w:t>
      </w:r>
    </w:p>
    <w:p w14:paraId="130E640C">
      <w:pPr>
        <w:jc w:val="center"/>
        <w:rPr>
          <w:rFonts w:hint="eastAsia" w:ascii="宋体" w:hAnsi="宋体"/>
          <w:sz w:val="30"/>
          <w:szCs w:val="30"/>
          <w:highlight w:val="none"/>
        </w:rPr>
      </w:pPr>
    </w:p>
    <w:p w14:paraId="7F0E5A00">
      <w:pPr>
        <w:jc w:val="center"/>
        <w:rPr>
          <w:rFonts w:hint="eastAsia" w:ascii="宋体" w:hAnsi="宋体"/>
          <w:sz w:val="30"/>
          <w:szCs w:val="30"/>
          <w:highlight w:val="none"/>
        </w:rPr>
      </w:pPr>
    </w:p>
    <w:p w14:paraId="27194596">
      <w:pPr>
        <w:jc w:val="both"/>
        <w:rPr>
          <w:rFonts w:hint="eastAsia" w:ascii="宋体" w:hAnsi="宋体"/>
          <w:sz w:val="30"/>
          <w:szCs w:val="30"/>
          <w:highlight w:val="none"/>
        </w:rPr>
      </w:pPr>
    </w:p>
    <w:p w14:paraId="09A6BAF5">
      <w:pPr>
        <w:jc w:val="center"/>
        <w:rPr>
          <w:rFonts w:hint="eastAsia" w:ascii="宋体" w:hAnsi="宋体"/>
          <w:sz w:val="30"/>
          <w:szCs w:val="30"/>
          <w:highlight w:val="none"/>
        </w:rPr>
      </w:pPr>
    </w:p>
    <w:p w14:paraId="4D96CCFE">
      <w:pPr>
        <w:ind w:firstLine="2124" w:firstLineChars="664"/>
        <w:rPr>
          <w:rFonts w:hint="eastAsia" w:ascii="宋体" w:hAnsi="宋体"/>
          <w:sz w:val="32"/>
          <w:szCs w:val="32"/>
          <w:highlight w:val="none"/>
        </w:rPr>
      </w:pPr>
      <w:r>
        <w:rPr>
          <w:rFonts w:hint="eastAsia" w:ascii="宋体" w:hAnsi="宋体"/>
          <w:sz w:val="32"/>
          <w:szCs w:val="32"/>
          <w:highlight w:val="none"/>
        </w:rPr>
        <w:t>甲  方：XXXXXXX</w:t>
      </w:r>
    </w:p>
    <w:p w14:paraId="7621FBD4">
      <w:pPr>
        <w:tabs>
          <w:tab w:val="left" w:pos="480"/>
        </w:tabs>
        <w:ind w:firstLine="2124" w:firstLineChars="664"/>
        <w:rPr>
          <w:rFonts w:hint="eastAsia" w:ascii="宋体" w:hAnsi="宋体"/>
          <w:sz w:val="32"/>
          <w:szCs w:val="32"/>
          <w:highlight w:val="none"/>
        </w:rPr>
      </w:pPr>
      <w:r>
        <w:rPr>
          <w:rFonts w:hint="eastAsia" w:ascii="宋体" w:hAnsi="宋体"/>
          <w:sz w:val="32"/>
          <w:szCs w:val="32"/>
          <w:highlight w:val="none"/>
        </w:rPr>
        <w:t>乙  方：XXXXXXX</w:t>
      </w:r>
    </w:p>
    <w:p w14:paraId="6ED1E109">
      <w:pPr>
        <w:jc w:val="center"/>
        <w:rPr>
          <w:rFonts w:hint="eastAsia" w:ascii="宋体" w:hAnsi="宋体"/>
          <w:sz w:val="30"/>
          <w:szCs w:val="30"/>
          <w:highlight w:val="none"/>
        </w:rPr>
      </w:pPr>
    </w:p>
    <w:p w14:paraId="770E6551">
      <w:pPr>
        <w:jc w:val="center"/>
        <w:rPr>
          <w:rFonts w:hint="eastAsia" w:ascii="宋体" w:hAnsi="宋体"/>
          <w:sz w:val="32"/>
          <w:szCs w:val="32"/>
          <w:highlight w:val="none"/>
        </w:rPr>
      </w:pPr>
      <w:r>
        <w:rPr>
          <w:rFonts w:hint="eastAsia" w:ascii="宋体" w:hAnsi="宋体"/>
          <w:sz w:val="32"/>
          <w:szCs w:val="32"/>
          <w:highlight w:val="none"/>
        </w:rPr>
        <w:t>202X年XX月</w:t>
      </w:r>
    </w:p>
    <w:p w14:paraId="5D427B21">
      <w:pPr>
        <w:jc w:val="center"/>
        <w:rPr>
          <w:rFonts w:hint="eastAsia" w:ascii="宋体" w:hAnsi="宋体"/>
          <w:b/>
          <w:sz w:val="36"/>
          <w:szCs w:val="36"/>
          <w:highlight w:val="none"/>
        </w:rPr>
      </w:pPr>
      <w:r>
        <w:rPr>
          <w:rFonts w:hint="eastAsia" w:ascii="宋体" w:hAnsi="宋体"/>
          <w:sz w:val="32"/>
          <w:szCs w:val="32"/>
          <w:highlight w:val="none"/>
        </w:rPr>
        <w:t>中国  西安</w:t>
      </w:r>
    </w:p>
    <w:p w14:paraId="4EB5563B">
      <w:pPr>
        <w:keepNext w:val="0"/>
        <w:keepLines w:val="0"/>
        <w:pageBreakBefore w:val="0"/>
        <w:widowControl w:val="0"/>
        <w:kinsoku/>
        <w:wordWrap/>
        <w:overflowPunct/>
        <w:topLinePunct w:val="0"/>
        <w:autoSpaceDE/>
        <w:autoSpaceDN/>
        <w:bidi w:val="0"/>
        <w:adjustRightInd/>
        <w:snapToGrid/>
        <w:spacing w:before="0" w:beforeLines="100" w:line="384" w:lineRule="auto"/>
        <w:textAlignment w:val="auto"/>
        <w:rPr>
          <w:rFonts w:hint="eastAsia" w:ascii="宋体" w:hAnsi="宋体" w:eastAsia="宋体" w:cs="宋体"/>
          <w:sz w:val="24"/>
          <w:szCs w:val="24"/>
          <w:highlight w:val="none"/>
        </w:rPr>
      </w:pPr>
      <w:r>
        <w:rPr>
          <w:rFonts w:ascii="宋体" w:hAnsi="宋体"/>
          <w:color w:val="000000"/>
          <w:spacing w:val="-20"/>
          <w:kern w:val="0"/>
          <w:sz w:val="28"/>
          <w:szCs w:val="20"/>
          <w:highlight w:val="none"/>
        </w:rPr>
        <w:br w:type="page"/>
      </w:r>
      <w:r>
        <w:rPr>
          <w:rFonts w:hint="eastAsia" w:ascii="宋体" w:hAnsi="宋体" w:eastAsia="宋体" w:cs="宋体"/>
          <w:sz w:val="24"/>
          <w:szCs w:val="24"/>
          <w:highlight w:val="none"/>
        </w:rPr>
        <w:t>合同编号：</w:t>
      </w:r>
    </w:p>
    <w:p w14:paraId="2DF48404">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签订地点：</w:t>
      </w:r>
    </w:p>
    <w:p w14:paraId="77B063E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签订时间：</w:t>
      </w:r>
    </w:p>
    <w:p w14:paraId="12A380C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采购人 (甲方)：</w:t>
      </w:r>
    </w:p>
    <w:p w14:paraId="7FB375BE">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中标人 (乙方)：</w:t>
      </w:r>
    </w:p>
    <w:p w14:paraId="01E3777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根据《中华人民共和国政府采购法》及实施条例、《中华人民共和国民法典》</w:t>
      </w:r>
    </w:p>
    <w:p w14:paraId="792E695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和甲方采购项目 (项目编号：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的竞争性</w:t>
      </w:r>
      <w:r>
        <w:rPr>
          <w:rFonts w:hint="eastAsia" w:ascii="宋体" w:hAnsi="宋体" w:eastAsia="宋体" w:cs="宋体"/>
          <w:sz w:val="24"/>
          <w:szCs w:val="24"/>
          <w:highlight w:val="none"/>
          <w:lang w:eastAsia="zh-CN"/>
        </w:rPr>
        <w:t>谈判</w:t>
      </w:r>
      <w:r>
        <w:rPr>
          <w:rFonts w:hint="eastAsia" w:ascii="宋体" w:hAnsi="宋体" w:eastAsia="宋体" w:cs="宋体"/>
          <w:sz w:val="24"/>
          <w:szCs w:val="24"/>
          <w:highlight w:val="none"/>
        </w:rPr>
        <w:t>文件、响应文件等有关规定，</w:t>
      </w:r>
    </w:p>
    <w:p w14:paraId="7772C981">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为确保甲方采购项目的顺利实施，甲、乙双方在平等自愿原则下签订本合同，并共同遵守如下条款：</w:t>
      </w:r>
    </w:p>
    <w:p w14:paraId="4CBA7631">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第一条 合同标的及数量</w:t>
      </w:r>
    </w:p>
    <w:p w14:paraId="039C3200">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乙方向甲方提供下列货物 (产品)：</w:t>
      </w:r>
    </w:p>
    <w:p w14:paraId="0674645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供货一览表</w:t>
      </w:r>
    </w:p>
    <w:tbl>
      <w:tblPr>
        <w:tblStyle w:val="6"/>
        <w:tblW w:w="8809"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4"/>
        <w:gridCol w:w="1328"/>
        <w:gridCol w:w="759"/>
        <w:gridCol w:w="1477"/>
        <w:gridCol w:w="531"/>
        <w:gridCol w:w="713"/>
        <w:gridCol w:w="727"/>
        <w:gridCol w:w="1058"/>
        <w:gridCol w:w="1472"/>
      </w:tblGrid>
      <w:tr w14:paraId="6E9E3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744" w:type="dxa"/>
            <w:tcBorders>
              <w:left w:val="single" w:color="000000" w:sz="10" w:space="0"/>
            </w:tcBorders>
            <w:noWrap w:val="0"/>
            <w:vAlign w:val="center"/>
          </w:tcPr>
          <w:p w14:paraId="40B48A1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1105B61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序号</w:t>
            </w:r>
          </w:p>
        </w:tc>
        <w:tc>
          <w:tcPr>
            <w:tcW w:w="1328" w:type="dxa"/>
            <w:noWrap w:val="0"/>
            <w:vAlign w:val="center"/>
          </w:tcPr>
          <w:p w14:paraId="41E7073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29525CB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货物名称</w:t>
            </w:r>
          </w:p>
        </w:tc>
        <w:tc>
          <w:tcPr>
            <w:tcW w:w="759" w:type="dxa"/>
            <w:noWrap w:val="0"/>
            <w:vAlign w:val="center"/>
          </w:tcPr>
          <w:p w14:paraId="75F9E5B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品目</w:t>
            </w:r>
          </w:p>
          <w:p w14:paraId="1524C24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代码</w:t>
            </w:r>
          </w:p>
        </w:tc>
        <w:tc>
          <w:tcPr>
            <w:tcW w:w="1477" w:type="dxa"/>
            <w:noWrap w:val="0"/>
            <w:vAlign w:val="center"/>
          </w:tcPr>
          <w:p w14:paraId="19E51F3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7E73961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品牌/型号</w:t>
            </w:r>
          </w:p>
        </w:tc>
        <w:tc>
          <w:tcPr>
            <w:tcW w:w="531" w:type="dxa"/>
            <w:noWrap w:val="0"/>
            <w:textDirection w:val="tbRlV"/>
            <w:vAlign w:val="center"/>
          </w:tcPr>
          <w:p w14:paraId="3C469D9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规 格</w:t>
            </w:r>
          </w:p>
        </w:tc>
        <w:tc>
          <w:tcPr>
            <w:tcW w:w="713" w:type="dxa"/>
            <w:noWrap w:val="0"/>
            <w:vAlign w:val="center"/>
          </w:tcPr>
          <w:p w14:paraId="610DBD9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计量</w:t>
            </w:r>
          </w:p>
          <w:p w14:paraId="5D5CA36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727" w:type="dxa"/>
            <w:noWrap w:val="0"/>
            <w:vAlign w:val="center"/>
          </w:tcPr>
          <w:p w14:paraId="29979DC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1672D98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1058" w:type="dxa"/>
            <w:noWrap w:val="0"/>
            <w:vAlign w:val="center"/>
          </w:tcPr>
          <w:p w14:paraId="2612D5A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单价</w:t>
            </w:r>
          </w:p>
          <w:p w14:paraId="58D4F44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(元)</w:t>
            </w:r>
          </w:p>
        </w:tc>
        <w:tc>
          <w:tcPr>
            <w:tcW w:w="1472" w:type="dxa"/>
            <w:tcBorders>
              <w:right w:val="single" w:color="000000" w:sz="10" w:space="0"/>
            </w:tcBorders>
            <w:noWrap w:val="0"/>
            <w:vAlign w:val="center"/>
          </w:tcPr>
          <w:p w14:paraId="374CBCE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p w14:paraId="42FF999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金额 (元)</w:t>
            </w:r>
          </w:p>
        </w:tc>
      </w:tr>
      <w:tr w14:paraId="75059C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tcBorders>
              <w:left w:val="single" w:color="000000" w:sz="10" w:space="0"/>
            </w:tcBorders>
            <w:noWrap w:val="0"/>
            <w:vAlign w:val="center"/>
          </w:tcPr>
          <w:p w14:paraId="7B34BC4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7D9DD4C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20DF40A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4BD2752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73A8BD30">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2FB0791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36FBBB6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0230F88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71ECB25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5428B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44D92F1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2517721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0E77065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7C882A6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4382E55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1E26F714">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7B3E95F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69471919">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56D6E7B8">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4D992C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1E3C5AB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115FFE0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1207370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21E9EF7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2BA94F8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2B84D48E">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52ACAD9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77921A0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627B276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500F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744" w:type="dxa"/>
            <w:tcBorders>
              <w:left w:val="single" w:color="000000" w:sz="10" w:space="0"/>
            </w:tcBorders>
            <w:noWrap w:val="0"/>
            <w:vAlign w:val="center"/>
          </w:tcPr>
          <w:p w14:paraId="5C8F264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328" w:type="dxa"/>
            <w:noWrap w:val="0"/>
            <w:vAlign w:val="center"/>
          </w:tcPr>
          <w:p w14:paraId="6CB195D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59" w:type="dxa"/>
            <w:noWrap w:val="0"/>
            <w:vAlign w:val="center"/>
          </w:tcPr>
          <w:p w14:paraId="7F839FDD">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7" w:type="dxa"/>
            <w:noWrap w:val="0"/>
            <w:vAlign w:val="center"/>
          </w:tcPr>
          <w:p w14:paraId="4A044B05">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531" w:type="dxa"/>
            <w:noWrap w:val="0"/>
            <w:vAlign w:val="center"/>
          </w:tcPr>
          <w:p w14:paraId="307AEF2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13" w:type="dxa"/>
            <w:noWrap w:val="0"/>
            <w:vAlign w:val="center"/>
          </w:tcPr>
          <w:p w14:paraId="7BBC1DDF">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727" w:type="dxa"/>
            <w:noWrap w:val="0"/>
            <w:vAlign w:val="center"/>
          </w:tcPr>
          <w:p w14:paraId="546F456C">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058" w:type="dxa"/>
            <w:noWrap w:val="0"/>
            <w:vAlign w:val="center"/>
          </w:tcPr>
          <w:p w14:paraId="59649E33">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1472" w:type="dxa"/>
            <w:tcBorders>
              <w:right w:val="single" w:color="000000" w:sz="10" w:space="0"/>
            </w:tcBorders>
            <w:noWrap w:val="0"/>
            <w:vAlign w:val="center"/>
          </w:tcPr>
          <w:p w14:paraId="541ADD8A">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r>
      <w:tr w14:paraId="0C03F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8" w:hRule="atLeast"/>
        </w:trPr>
        <w:tc>
          <w:tcPr>
            <w:tcW w:w="744" w:type="dxa"/>
            <w:tcBorders>
              <w:left w:val="single" w:color="000000" w:sz="10" w:space="0"/>
            </w:tcBorders>
            <w:noWrap w:val="0"/>
            <w:vAlign w:val="center"/>
          </w:tcPr>
          <w:p w14:paraId="75D17F52">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p>
        </w:tc>
        <w:tc>
          <w:tcPr>
            <w:tcW w:w="2087" w:type="dxa"/>
            <w:gridSpan w:val="2"/>
            <w:noWrap w:val="0"/>
            <w:vAlign w:val="center"/>
          </w:tcPr>
          <w:p w14:paraId="7E4CEC5B">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p>
        </w:tc>
        <w:tc>
          <w:tcPr>
            <w:tcW w:w="3448" w:type="dxa"/>
            <w:gridSpan w:val="4"/>
            <w:noWrap w:val="0"/>
            <w:vAlign w:val="center"/>
          </w:tcPr>
          <w:p w14:paraId="66CA49C7">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大写</w:t>
            </w:r>
          </w:p>
        </w:tc>
        <w:tc>
          <w:tcPr>
            <w:tcW w:w="2530" w:type="dxa"/>
            <w:gridSpan w:val="2"/>
            <w:tcBorders>
              <w:right w:val="single" w:color="000000" w:sz="10" w:space="0"/>
            </w:tcBorders>
            <w:noWrap w:val="0"/>
            <w:vAlign w:val="center"/>
          </w:tcPr>
          <w:p w14:paraId="03458CB6">
            <w:pPr>
              <w:keepNext w:val="0"/>
              <w:keepLines w:val="0"/>
              <w:pageBreakBefore w:val="0"/>
              <w:widowControl w:val="0"/>
              <w:kinsoku/>
              <w:wordWrap/>
              <w:overflowPunct/>
              <w:topLinePunct w:val="0"/>
              <w:autoSpaceDE/>
              <w:autoSpaceDN/>
              <w:bidi w:val="0"/>
              <w:adjustRightInd/>
              <w:snapToGrid/>
              <w:spacing w:line="384" w:lineRule="auto"/>
              <w:jc w:val="center"/>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tc>
      </w:tr>
    </w:tbl>
    <w:p w14:paraId="294253CE">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二</w:t>
      </w:r>
      <w:r>
        <w:rPr>
          <w:rFonts w:hint="eastAsia" w:ascii="宋体" w:hAnsi="宋体"/>
          <w:b/>
          <w:color w:val="000000"/>
          <w:kern w:val="0"/>
          <w:sz w:val="24"/>
          <w:lang w:val="en-US" w:eastAsia="zh-CN"/>
        </w:rPr>
        <w:t>条</w:t>
      </w:r>
      <w:r>
        <w:rPr>
          <w:rFonts w:hint="eastAsia" w:ascii="宋体" w:hAnsi="宋体"/>
          <w:b/>
          <w:color w:val="000000"/>
          <w:kern w:val="0"/>
          <w:sz w:val="24"/>
        </w:rPr>
        <w:t>、交货条件：</w:t>
      </w:r>
    </w:p>
    <w:p w14:paraId="15EC4060">
      <w:pPr>
        <w:ind w:firstLine="480" w:firstLineChars="200"/>
        <w:rPr>
          <w:rFonts w:hint="eastAsia" w:ascii="宋体" w:hAnsi="宋体"/>
          <w:sz w:val="24"/>
        </w:rPr>
      </w:pPr>
      <w:r>
        <w:rPr>
          <w:rFonts w:hint="eastAsia" w:ascii="宋体" w:hAnsi="宋体"/>
          <w:sz w:val="24"/>
        </w:rPr>
        <w:t>（一）交货地点：甲方指定地点。</w:t>
      </w:r>
    </w:p>
    <w:p w14:paraId="31BE46D6">
      <w:pPr>
        <w:ind w:firstLine="480" w:firstLineChars="200"/>
        <w:rPr>
          <w:rFonts w:hint="eastAsia" w:ascii="宋体" w:hAnsi="宋体" w:eastAsia="宋体" w:cs="宋体"/>
          <w:b/>
          <w:bCs/>
          <w:sz w:val="24"/>
          <w:szCs w:val="24"/>
          <w:highlight w:val="none"/>
        </w:rPr>
      </w:pPr>
      <w:r>
        <w:rPr>
          <w:rFonts w:hint="eastAsia" w:ascii="宋体" w:hAnsi="宋体"/>
          <w:sz w:val="24"/>
        </w:rPr>
        <w:t>（二）交货期：自合同签订之日起___个日历日/工作日内完成全部项目内容，并交付甲方验收合格。</w:t>
      </w:r>
    </w:p>
    <w:p w14:paraId="64DB3030">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三</w:t>
      </w:r>
      <w:r>
        <w:rPr>
          <w:rFonts w:hint="eastAsia" w:ascii="宋体" w:hAnsi="宋体"/>
          <w:b/>
          <w:color w:val="000000"/>
          <w:kern w:val="0"/>
          <w:sz w:val="24"/>
          <w:lang w:val="en-US" w:eastAsia="zh-CN"/>
        </w:rPr>
        <w:t>条</w:t>
      </w:r>
      <w:r>
        <w:rPr>
          <w:rFonts w:hint="eastAsia" w:ascii="宋体" w:hAnsi="宋体"/>
          <w:b/>
          <w:color w:val="000000"/>
          <w:kern w:val="0"/>
          <w:sz w:val="24"/>
        </w:rPr>
        <w:t>、合同价款</w:t>
      </w:r>
    </w:p>
    <w:p w14:paraId="68E34D2C">
      <w:pPr>
        <w:ind w:firstLine="480" w:firstLineChars="200"/>
        <w:rPr>
          <w:rFonts w:hint="eastAsia" w:ascii="宋体" w:hAnsi="宋体"/>
          <w:sz w:val="24"/>
        </w:rPr>
      </w:pPr>
      <w:r>
        <w:rPr>
          <w:rFonts w:hint="eastAsia" w:ascii="宋体" w:hAnsi="宋体"/>
          <w:sz w:val="24"/>
        </w:rPr>
        <w:t>（一）合同总价款为人民币（大写）</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5F5910D9">
      <w:pPr>
        <w:ind w:firstLine="480" w:firstLineChars="200"/>
        <w:rPr>
          <w:rFonts w:hint="eastAsia" w:ascii="宋体" w:hAnsi="宋体"/>
          <w:sz w:val="24"/>
        </w:rPr>
      </w:pPr>
      <w:r>
        <w:rPr>
          <w:rFonts w:hint="eastAsia" w:ascii="宋体" w:hAnsi="宋体"/>
          <w:sz w:val="24"/>
        </w:rPr>
        <w:t>（二）合同总价包括：×××费、×××费、×××费和其他费用。</w:t>
      </w:r>
    </w:p>
    <w:p w14:paraId="7F989E84">
      <w:pPr>
        <w:ind w:firstLine="480" w:firstLineChars="200"/>
        <w:rPr>
          <w:rFonts w:hint="eastAsia" w:ascii="宋体" w:hAnsi="宋体"/>
          <w:sz w:val="24"/>
        </w:rPr>
      </w:pPr>
      <w:r>
        <w:rPr>
          <w:rFonts w:hint="eastAsia" w:ascii="宋体" w:hAnsi="宋体"/>
          <w:sz w:val="24"/>
        </w:rPr>
        <w:t>（三）合同总价一次性包死，不受市场价格变化因素的影响。</w:t>
      </w:r>
    </w:p>
    <w:p w14:paraId="6DE00552">
      <w:pPr>
        <w:tabs>
          <w:tab w:val="left" w:pos="480"/>
        </w:tabs>
        <w:ind w:firstLine="472" w:firstLineChars="196"/>
        <w:rPr>
          <w:rFonts w:hint="eastAsia" w:ascii="宋体" w:hAnsi="宋体"/>
          <w:b/>
          <w:color w:val="000000"/>
          <w:kern w:val="0"/>
          <w:sz w:val="24"/>
        </w:rPr>
      </w:pPr>
      <w:r>
        <w:rPr>
          <w:rFonts w:hint="eastAsia" w:ascii="宋体" w:hAnsi="宋体"/>
          <w:b/>
          <w:color w:val="000000"/>
          <w:kern w:val="0"/>
          <w:sz w:val="24"/>
          <w:lang w:val="en-US" w:eastAsia="zh-CN"/>
        </w:rPr>
        <w:t>第</w:t>
      </w:r>
      <w:r>
        <w:rPr>
          <w:rFonts w:hint="eastAsia" w:ascii="宋体" w:hAnsi="宋体"/>
          <w:b/>
          <w:color w:val="000000"/>
          <w:kern w:val="0"/>
          <w:sz w:val="24"/>
        </w:rPr>
        <w:t>四</w:t>
      </w:r>
      <w:r>
        <w:rPr>
          <w:rFonts w:hint="eastAsia" w:ascii="宋体" w:hAnsi="宋体"/>
          <w:b/>
          <w:color w:val="000000"/>
          <w:kern w:val="0"/>
          <w:sz w:val="24"/>
          <w:lang w:val="en-US" w:eastAsia="zh-CN"/>
        </w:rPr>
        <w:t>条</w:t>
      </w:r>
      <w:r>
        <w:rPr>
          <w:rFonts w:hint="eastAsia" w:ascii="宋体" w:hAnsi="宋体"/>
          <w:b/>
          <w:color w:val="000000"/>
          <w:kern w:val="0"/>
          <w:sz w:val="24"/>
        </w:rPr>
        <w:t>、款项结算</w:t>
      </w:r>
    </w:p>
    <w:p w14:paraId="65220AD6">
      <w:pPr>
        <w:ind w:firstLine="480" w:firstLineChars="200"/>
        <w:rPr>
          <w:rFonts w:hint="eastAsia" w:ascii="宋体" w:hAnsi="宋体"/>
          <w:sz w:val="24"/>
        </w:rPr>
      </w:pPr>
      <w:r>
        <w:rPr>
          <w:rFonts w:hint="eastAsia" w:ascii="宋体" w:hAnsi="宋体"/>
          <w:color w:val="000000"/>
          <w:kern w:val="0"/>
          <w:sz w:val="24"/>
        </w:rPr>
        <w:t>（一）</w:t>
      </w:r>
      <w:r>
        <w:rPr>
          <w:rFonts w:hint="eastAsia" w:ascii="宋体" w:hAnsi="宋体"/>
          <w:sz w:val="24"/>
        </w:rPr>
        <w:t>合同签订后</w:t>
      </w:r>
      <w:r>
        <w:rPr>
          <w:rFonts w:hint="eastAsia" w:ascii="宋体" w:hAnsi="宋体"/>
          <w:sz w:val="24"/>
          <w:u w:val="single"/>
        </w:rPr>
        <w:t xml:space="preserve">     </w:t>
      </w:r>
      <w:r>
        <w:rPr>
          <w:rFonts w:hint="eastAsia" w:ascii="宋体" w:hAnsi="宋体"/>
          <w:sz w:val="24"/>
        </w:rPr>
        <w:t>个日历日/工作日内支付合同总价款的</w:t>
      </w:r>
      <w:r>
        <w:rPr>
          <w:rFonts w:hint="eastAsia" w:ascii="宋体" w:hAnsi="宋体"/>
          <w:sz w:val="24"/>
          <w:u w:val="single"/>
        </w:rPr>
        <w:t xml:space="preserve">   </w:t>
      </w:r>
      <w:r>
        <w:rPr>
          <w:rFonts w:hint="eastAsia" w:ascii="宋体" w:hAnsi="宋体"/>
          <w:sz w:val="24"/>
        </w:rPr>
        <w:t>%作为预付款。即人民币（大写）</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7CC860CE">
      <w:pPr>
        <w:ind w:firstLine="480" w:firstLineChars="200"/>
        <w:rPr>
          <w:rFonts w:hint="eastAsia" w:ascii="宋体" w:hAnsi="宋体"/>
          <w:sz w:val="24"/>
          <w:u w:val="single"/>
        </w:rPr>
      </w:pPr>
      <w:r>
        <w:rPr>
          <w:rFonts w:hint="eastAsia" w:ascii="宋体" w:hAnsi="宋体"/>
          <w:color w:val="000000"/>
          <w:kern w:val="0"/>
          <w:sz w:val="24"/>
        </w:rPr>
        <w:t>（二）</w:t>
      </w:r>
      <w:r>
        <w:rPr>
          <w:rFonts w:hint="eastAsia" w:ascii="宋体" w:hAnsi="宋体"/>
          <w:sz w:val="24"/>
        </w:rPr>
        <w:t>所有货物到达甲方指定地点，安装、调试完毕并验收合格后，</w:t>
      </w:r>
      <w:r>
        <w:rPr>
          <w:rFonts w:hint="eastAsia" w:ascii="宋体" w:hAnsi="宋体"/>
          <w:sz w:val="24"/>
          <w:u w:val="single"/>
        </w:rPr>
        <w:t xml:space="preserve">    </w:t>
      </w:r>
    </w:p>
    <w:p w14:paraId="6E49F01A">
      <w:pPr>
        <w:rPr>
          <w:rFonts w:hint="eastAsia" w:ascii="宋体" w:hAnsi="宋体"/>
          <w:sz w:val="24"/>
        </w:rPr>
      </w:pPr>
      <w:r>
        <w:rPr>
          <w:rFonts w:hint="eastAsia" w:ascii="宋体" w:hAnsi="宋体"/>
          <w:sz w:val="24"/>
          <w:u w:val="single"/>
        </w:rPr>
        <w:t xml:space="preserve">    </w:t>
      </w:r>
      <w:r>
        <w:rPr>
          <w:rFonts w:hint="eastAsia" w:ascii="宋体" w:hAnsi="宋体"/>
          <w:sz w:val="24"/>
        </w:rPr>
        <w:t>个日历日/工作日内支付合同总价款的</w:t>
      </w:r>
      <w:r>
        <w:rPr>
          <w:rFonts w:hint="eastAsia" w:ascii="宋体" w:hAnsi="宋体"/>
          <w:sz w:val="24"/>
          <w:u w:val="single"/>
        </w:rPr>
        <w:t xml:space="preserve">   </w:t>
      </w:r>
      <w:r>
        <w:rPr>
          <w:rFonts w:hint="eastAsia" w:ascii="宋体" w:hAnsi="宋体"/>
          <w:sz w:val="24"/>
        </w:rPr>
        <w:t>%。即人民币（大写）</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w:t>
      </w:r>
    </w:p>
    <w:p w14:paraId="221D3D6E">
      <w:pPr>
        <w:ind w:firstLine="480" w:firstLineChars="200"/>
        <w:rPr>
          <w:rFonts w:hint="eastAsia" w:ascii="宋体" w:hAnsi="宋体"/>
          <w:color w:val="000000"/>
          <w:kern w:val="0"/>
          <w:sz w:val="24"/>
        </w:rPr>
      </w:pPr>
      <w:r>
        <w:rPr>
          <w:rFonts w:hint="eastAsia" w:ascii="宋体" w:hAnsi="宋体"/>
          <w:color w:val="000000"/>
          <w:kern w:val="0"/>
          <w:sz w:val="24"/>
        </w:rPr>
        <w:t>（三）</w:t>
      </w:r>
      <w:r>
        <w:rPr>
          <w:rFonts w:hint="eastAsia" w:ascii="宋体" w:hAnsi="宋体"/>
          <w:sz w:val="24"/>
        </w:rPr>
        <w:t>留合同总价款的</w:t>
      </w:r>
      <w:r>
        <w:rPr>
          <w:rFonts w:hint="eastAsia" w:ascii="宋体" w:hAnsi="宋体"/>
          <w:sz w:val="24"/>
          <w:u w:val="single"/>
        </w:rPr>
        <w:t xml:space="preserve">   </w:t>
      </w:r>
      <w:r>
        <w:rPr>
          <w:rFonts w:hint="eastAsia" w:ascii="宋体" w:hAnsi="宋体"/>
          <w:sz w:val="24"/>
        </w:rPr>
        <w:t>%作为质量保证金。即人民币（大写）</w:t>
      </w:r>
      <w:r>
        <w:rPr>
          <w:rFonts w:hint="eastAsia" w:ascii="宋体" w:hAnsi="宋体"/>
          <w:sz w:val="24"/>
          <w:u w:val="single"/>
        </w:rPr>
        <w:t xml:space="preserve">                    </w:t>
      </w:r>
      <w:r>
        <w:rPr>
          <w:rFonts w:hint="eastAsia" w:ascii="宋体" w:hAnsi="宋体"/>
          <w:sz w:val="24"/>
        </w:rPr>
        <w:t>；￥</w:t>
      </w:r>
      <w:r>
        <w:rPr>
          <w:rFonts w:hint="eastAsia" w:ascii="宋体" w:hAnsi="宋体"/>
          <w:sz w:val="24"/>
          <w:u w:val="single"/>
        </w:rPr>
        <w:t xml:space="preserve">      </w:t>
      </w:r>
      <w:r>
        <w:rPr>
          <w:rFonts w:hint="eastAsia" w:ascii="宋体" w:hAnsi="宋体"/>
          <w:sz w:val="24"/>
        </w:rPr>
        <w:t>元。从验收合格之日起满一年后，如无质量、技术、服务、安全等问题，</w:t>
      </w:r>
      <w:r>
        <w:rPr>
          <w:rFonts w:hint="eastAsia" w:ascii="宋体" w:hAnsi="宋体"/>
          <w:sz w:val="24"/>
          <w:u w:val="single"/>
        </w:rPr>
        <w:t xml:space="preserve">    </w:t>
      </w:r>
      <w:r>
        <w:rPr>
          <w:rFonts w:hint="eastAsia" w:ascii="宋体" w:hAnsi="宋体"/>
          <w:sz w:val="24"/>
        </w:rPr>
        <w:t>个日历日/工作日内全额无息一次付清。</w:t>
      </w:r>
    </w:p>
    <w:p w14:paraId="1549EF41">
      <w:pPr>
        <w:ind w:firstLine="480" w:firstLineChars="200"/>
        <w:rPr>
          <w:rFonts w:hint="eastAsia" w:ascii="宋体" w:hAnsi="宋体"/>
          <w:sz w:val="24"/>
        </w:rPr>
      </w:pPr>
      <w:r>
        <w:rPr>
          <w:rFonts w:hint="eastAsia" w:ascii="宋体" w:hAnsi="宋体"/>
          <w:sz w:val="24"/>
        </w:rPr>
        <w:t>（四）支付方式：银行转账。</w:t>
      </w:r>
    </w:p>
    <w:p w14:paraId="370ED59C">
      <w:pPr>
        <w:ind w:firstLine="480" w:firstLineChars="200"/>
        <w:rPr>
          <w:rFonts w:hint="eastAsia" w:ascii="宋体" w:hAnsi="宋体" w:eastAsia="宋体" w:cs="宋体"/>
          <w:sz w:val="24"/>
          <w:szCs w:val="24"/>
          <w:highlight w:val="none"/>
        </w:rPr>
      </w:pPr>
      <w:r>
        <w:rPr>
          <w:rFonts w:hint="eastAsia" w:ascii="宋体" w:hAnsi="宋体"/>
          <w:sz w:val="24"/>
        </w:rPr>
        <w:t>（五）结算方式：每次付款前乙方向甲方提供合法有效的</w:t>
      </w:r>
      <w:r>
        <w:rPr>
          <w:rFonts w:hint="eastAsia" w:ascii="宋体" w:hAnsi="宋体"/>
          <w:sz w:val="24"/>
          <w:u w:val="single"/>
        </w:rPr>
        <w:t xml:space="preserve">     </w:t>
      </w:r>
      <w:r>
        <w:rPr>
          <w:rFonts w:hint="eastAsia" w:ascii="宋体" w:hAnsi="宋体"/>
          <w:sz w:val="24"/>
        </w:rPr>
        <w:t>发票。乙方持成交通知书、服务合同、发票，与甲方结算。</w:t>
      </w:r>
    </w:p>
    <w:p w14:paraId="20A6FC67">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第</w:t>
      </w:r>
      <w:r>
        <w:rPr>
          <w:rFonts w:hint="eastAsia" w:ascii="宋体" w:hAnsi="宋体" w:cs="宋体"/>
          <w:b/>
          <w:bCs/>
          <w:sz w:val="24"/>
          <w:szCs w:val="24"/>
          <w:highlight w:val="none"/>
          <w:lang w:val="en-US" w:eastAsia="zh-CN"/>
        </w:rPr>
        <w:t>五</w:t>
      </w:r>
      <w:r>
        <w:rPr>
          <w:rFonts w:hint="eastAsia" w:ascii="宋体" w:hAnsi="宋体" w:eastAsia="宋体" w:cs="宋体"/>
          <w:b/>
          <w:bCs/>
          <w:sz w:val="24"/>
          <w:szCs w:val="24"/>
          <w:highlight w:val="none"/>
        </w:rPr>
        <w:t>条</w:t>
      </w:r>
      <w:r>
        <w:rPr>
          <w:rFonts w:hint="eastAsia" w:ascii="宋体" w:hAnsi="宋体" w:eastAsia="宋体" w:cs="宋体"/>
          <w:b/>
          <w:bCs/>
          <w:sz w:val="24"/>
          <w:szCs w:val="24"/>
          <w:highlight w:val="none"/>
          <w:lang w:val="en-US" w:eastAsia="zh-CN"/>
        </w:rPr>
        <w:t xml:space="preserve"> </w:t>
      </w:r>
      <w:r>
        <w:rPr>
          <w:rFonts w:hint="eastAsia" w:ascii="宋体" w:hAnsi="宋体" w:eastAsia="宋体" w:cs="宋体"/>
          <w:b/>
          <w:bCs/>
          <w:sz w:val="24"/>
          <w:szCs w:val="24"/>
          <w:highlight w:val="none"/>
        </w:rPr>
        <w:t>权利保证</w:t>
      </w:r>
    </w:p>
    <w:p w14:paraId="6E4F3B77">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1、乙方保证对其出售的货物享有合法的权利。</w:t>
      </w:r>
    </w:p>
    <w:p w14:paraId="6CC0B7B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2、乙方保证对其出售</w:t>
      </w:r>
      <w:bookmarkStart w:id="0" w:name="_GoBack"/>
      <w:bookmarkEnd w:id="0"/>
      <w:r>
        <w:rPr>
          <w:rFonts w:hint="eastAsia" w:ascii="宋体" w:hAnsi="宋体" w:eastAsia="宋体" w:cs="宋体"/>
          <w:sz w:val="24"/>
          <w:szCs w:val="24"/>
          <w:highlight w:val="none"/>
        </w:rPr>
        <w:t>的货物上不存在任何未曾向甲方透露的担保物权，如抵 押权、质押权、留置权。</w:t>
      </w:r>
    </w:p>
    <w:p w14:paraId="6BA3231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3、乙方保证对其出售的货物或其任何一部分没有侵犯第三方的专利权、版权、 商标权或其他权利。</w:t>
      </w:r>
    </w:p>
    <w:p w14:paraId="4069B932">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4、如甲方在使用该货物构成上述侵权的，则由乙方承担全部责任。</w:t>
      </w:r>
    </w:p>
    <w:p w14:paraId="6AE70E52">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第六条</w:t>
      </w:r>
      <w:r>
        <w:rPr>
          <w:rFonts w:hint="eastAsia" w:ascii="宋体" w:hAnsi="宋体" w:cs="宋体"/>
          <w:b/>
          <w:bCs/>
          <w:color w:val="auto"/>
          <w:sz w:val="24"/>
          <w:szCs w:val="24"/>
          <w:highlight w:val="none"/>
        </w:rPr>
        <w:t>、合同当事人的权利和义务</w:t>
      </w:r>
    </w:p>
    <w:p w14:paraId="1C5F0ED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本合同下交付的产品必须等同或优于本项目竞争性谈判文件《采购内容及技术要求》所述的标准。若乙方在其竞争性谈判响应文件中承诺的技术标准优于本项目竞争性谈判文件《采购内容及技术要求》所述标准的，按竞争性谈判响应文件的承诺执行。</w:t>
      </w:r>
    </w:p>
    <w:p w14:paraId="79534B5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甲方有权通知乙方在其指定地点对货物进行检验、测试，以确认货物是否符合合同约定的质量标准，检验测试的相关费用由乙方承担。</w:t>
      </w:r>
    </w:p>
    <w:p w14:paraId="111EE989">
      <w:pPr>
        <w:keepNext w:val="0"/>
        <w:keepLines w:val="0"/>
        <w:pageBreakBefore w:val="0"/>
        <w:widowControl w:val="0"/>
        <w:kinsoku/>
        <w:wordWrap/>
        <w:overflowPunct/>
        <w:topLinePunct w:val="0"/>
        <w:autoSpaceDE/>
        <w:autoSpaceDN/>
        <w:bidi w:val="0"/>
        <w:adjustRightInd/>
        <w:snapToGrid/>
        <w:spacing w:line="384" w:lineRule="auto"/>
        <w:ind w:firstLine="240" w:firstLineChars="100"/>
        <w:textAlignment w:val="auto"/>
        <w:rPr>
          <w:rFonts w:ascii="宋体" w:cs="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 xml:space="preserve"> </w:t>
      </w:r>
      <w:r>
        <w:rPr>
          <w:rFonts w:ascii="宋体" w:hAnsi="宋体" w:cs="宋体"/>
          <w:color w:val="auto"/>
          <w:sz w:val="24"/>
          <w:szCs w:val="24"/>
          <w:highlight w:val="none"/>
        </w:rPr>
        <w:t>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检验和测试在甲方指定的交货地点进行。</w:t>
      </w:r>
    </w:p>
    <w:p w14:paraId="6A8656C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如果任何被检验或测试的货物不能满足竞争性谈判文件及合同的要求，甲方可以拒绝接受该货物，乙方应更换被拒绝的货物，或者免费进行必要的修改以满足规格的要求。</w:t>
      </w:r>
    </w:p>
    <w:p w14:paraId="499B6D6F">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交货前，乙方应让生产商对货物的质量、规格、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3934DD7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如果在货物使用寿命期内，根据检验结果，发现货物的质量或规格与合同要求不符，或被证实有缺陷，包含潜在的缺陷或使用不合适的材料，甲方应向乙方提出索赔。</w:t>
      </w:r>
    </w:p>
    <w:p w14:paraId="6969E84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乙方负责货物到达交货地点前的所有包装、运输、装卸及保险事项，相关费用应包括在合同总价中。</w:t>
      </w:r>
    </w:p>
    <w:p w14:paraId="65C77D42">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38C06DDF">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9</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货物的运输方式由乙方自行选择，但包装必须满足货物运输和装卸的要求，保证甲方收到的是无任何损伤的货物。否则，因此造成的损失由乙方自行承担。</w:t>
      </w:r>
    </w:p>
    <w:p w14:paraId="756CB25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10</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乙方应提供本项目竞争性谈判文件“商务条款”和“技术规格与要求”中规定的所有服务。为履行要求的伴随服务的报价或双方商定的费用应包括在合同价中。</w:t>
      </w:r>
    </w:p>
    <w:p w14:paraId="393DC5F9">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如果乙方或生产厂提供的伴随服务的费用未含在货物的合同价中，双方应事先就其达成协议，但其费用单价不应超过乙方向其他人提供类似服务所收取的现行单价。</w:t>
      </w:r>
    </w:p>
    <w:p w14:paraId="709D75CC">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4D81E6F3">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5FC2C456">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乙方收到通知后应在竞争性谈判文件规定的时间内以合理的速度免费维修或更换有缺陷的货物。</w:t>
      </w:r>
    </w:p>
    <w:p w14:paraId="21671E79">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如果乙方收到通知后在竞争性谈判文件规定的时间内没有及时修补缺陷，甲方可提出索赔，并可采取必要的补救措施，但其风险和费用将由乙方承担，甲方根据合同规定对乙方行使的其他权力不受影响。</w:t>
      </w:r>
    </w:p>
    <w:p w14:paraId="43C3AA9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16</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如果乙方对偏差负有责任，而甲方在验收和质量保证期内提出了索赔，乙方应按照甲方同意的下列一种或几种方式结合起来解决索赔事宜：</w:t>
      </w:r>
    </w:p>
    <w:p w14:paraId="7DC4998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1</w:t>
      </w:r>
      <w:r>
        <w:rPr>
          <w:rFonts w:hint="eastAsia" w:ascii="宋体" w:hAnsi="宋体" w:cs="宋体"/>
          <w:color w:val="auto"/>
          <w:sz w:val="24"/>
          <w:szCs w:val="24"/>
          <w:highlight w:val="none"/>
        </w:rPr>
        <w:t>）乙方同意退货并用合同规定的货币将货款退还给甲方，并承担由此发生的一切损失和费用，包括利息、银行手续费、运费、保险费、检验费、仓储费、装卸费以及为看管和保护退回货物所需的其它必要费用。</w:t>
      </w:r>
    </w:p>
    <w:p w14:paraId="683AE20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2</w:t>
      </w:r>
      <w:r>
        <w:rPr>
          <w:rFonts w:hint="eastAsia" w:ascii="宋体" w:hAnsi="宋体" w:cs="宋体"/>
          <w:color w:val="auto"/>
          <w:sz w:val="24"/>
          <w:szCs w:val="24"/>
          <w:highlight w:val="none"/>
        </w:rPr>
        <w:t>）根据货物的偏差情况、损坏程度、以及甲方所遭受损失的金额，经甲乙双方商定降低货物的价格。</w:t>
      </w:r>
    </w:p>
    <w:p w14:paraId="524B583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hint="eastAsia" w:ascii="宋体" w:hAnsi="宋体" w:cs="宋体"/>
          <w:color w:val="auto"/>
          <w:sz w:val="24"/>
          <w:szCs w:val="24"/>
          <w:highlight w:val="none"/>
        </w:rPr>
        <w:t>（</w:t>
      </w:r>
      <w:r>
        <w:rPr>
          <w:rFonts w:ascii="宋体" w:hAnsi="宋体" w:cs="宋体"/>
          <w:color w:val="auto"/>
          <w:sz w:val="24"/>
          <w:szCs w:val="24"/>
          <w:highlight w:val="none"/>
        </w:rPr>
        <w:t>3</w:t>
      </w:r>
      <w:r>
        <w:rPr>
          <w:rFonts w:hint="eastAsia" w:ascii="宋体" w:hAnsi="宋体" w:cs="宋体"/>
          <w:color w:val="auto"/>
          <w:sz w:val="24"/>
          <w:szCs w:val="24"/>
          <w:highlight w:val="none"/>
        </w:rPr>
        <w:t>）用符合合同规定的规格、质量和性能要求的货物来更换有缺陷的部分和</w:t>
      </w:r>
      <w:r>
        <w:rPr>
          <w:rFonts w:ascii="宋体" w:hAnsi="宋体" w:cs="宋体"/>
          <w:color w:val="auto"/>
          <w:sz w:val="24"/>
          <w:szCs w:val="24"/>
          <w:highlight w:val="none"/>
        </w:rPr>
        <w:t>/</w:t>
      </w:r>
      <w:r>
        <w:rPr>
          <w:rFonts w:hint="eastAsia" w:ascii="宋体" w:hAnsi="宋体" w:cs="宋体"/>
          <w:color w:val="auto"/>
          <w:sz w:val="24"/>
          <w:szCs w:val="24"/>
          <w:highlight w:val="none"/>
        </w:rPr>
        <w:t>或修补缺陷部分，乙方应承担一切费用和风险并负担甲方蒙受的全部直接损失费用。</w:t>
      </w:r>
    </w:p>
    <w:p w14:paraId="5D024D7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17</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如果在甲方发出索赔通知后三十（</w:t>
      </w:r>
      <w:r>
        <w:rPr>
          <w:rFonts w:ascii="宋体" w:hAnsi="宋体" w:cs="宋体"/>
          <w:color w:val="auto"/>
          <w:sz w:val="24"/>
          <w:szCs w:val="24"/>
          <w:highlight w:val="none"/>
        </w:rPr>
        <w:t>30</w:t>
      </w:r>
      <w:r>
        <w:rPr>
          <w:rFonts w:hint="eastAsia" w:ascii="宋体" w:hAnsi="宋体" w:cs="宋体"/>
          <w:color w:val="auto"/>
          <w:sz w:val="24"/>
          <w:szCs w:val="24"/>
          <w:highlight w:val="none"/>
        </w:rPr>
        <w:t>）天内，乙方未作答复，上述索赔应视为已被乙方接受。如乙方未能在甲方发出索赔通知后三十（</w:t>
      </w:r>
      <w:r>
        <w:rPr>
          <w:rFonts w:ascii="宋体" w:hAnsi="宋体" w:cs="宋体"/>
          <w:color w:val="auto"/>
          <w:sz w:val="24"/>
          <w:szCs w:val="24"/>
          <w:highlight w:val="none"/>
        </w:rPr>
        <w:t>30</w:t>
      </w:r>
      <w:r>
        <w:rPr>
          <w:rFonts w:hint="eastAsia" w:ascii="宋体" w:hAnsi="宋体" w:cs="宋体"/>
          <w:color w:val="auto"/>
          <w:sz w:val="24"/>
          <w:szCs w:val="24"/>
          <w:highlight w:val="none"/>
        </w:rPr>
        <w:t>）天内或甲方同意的延长期限内，按照甲方同意的上述规定的任何一种方法解决索赔事宜，甲方将从未付货款或从乙方交纳的履约保函中扣回索赔金额。若索赔金额超过未付货款或履约保函的，乙方必须用已收货款进行弥补。</w:t>
      </w:r>
    </w:p>
    <w:p w14:paraId="384A95B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18</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58775AA0">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lang w:eastAsia="zh-CN"/>
        </w:rPr>
      </w:pPr>
      <w:r>
        <w:rPr>
          <w:rFonts w:hint="eastAsia" w:ascii="宋体" w:hAnsi="宋体" w:cs="宋体"/>
          <w:b/>
          <w:bCs/>
          <w:color w:val="auto"/>
          <w:sz w:val="24"/>
          <w:szCs w:val="24"/>
          <w:highlight w:val="none"/>
          <w:lang w:val="en-US" w:eastAsia="zh-CN"/>
        </w:rPr>
        <w:t>第七条</w:t>
      </w:r>
      <w:r>
        <w:rPr>
          <w:rFonts w:hint="eastAsia" w:ascii="宋体" w:hAnsi="宋体" w:cs="宋体"/>
          <w:b/>
          <w:bCs/>
          <w:color w:val="auto"/>
          <w:sz w:val="24"/>
          <w:szCs w:val="24"/>
          <w:highlight w:val="none"/>
        </w:rPr>
        <w:t>、售后服务</w:t>
      </w:r>
    </w:p>
    <w:p w14:paraId="79CD171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1.合同后</w:t>
      </w:r>
      <w:r>
        <w:rPr>
          <w:rFonts w:hint="eastAsia" w:ascii="宋体" w:hAnsi="宋体" w:eastAsia="宋体" w:cs="宋体"/>
          <w:color w:val="auto"/>
          <w:sz w:val="24"/>
          <w:szCs w:val="24"/>
          <w:highlight w:val="none"/>
        </w:rPr>
        <w:t>附成交人售后服务承诺</w:t>
      </w:r>
    </w:p>
    <w:p w14:paraId="724CD1E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同一主要部件出现质量问题经过两次维修后仍无法正常使用，可以更换同型号、同规格的产品；</w:t>
      </w:r>
    </w:p>
    <w:p w14:paraId="531D516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30天内，如出现质量问题，可以选择换货或退货；</w:t>
      </w:r>
    </w:p>
    <w:p w14:paraId="5DE87CC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30天至60天内，如出现质量问题，可选择换货。</w:t>
      </w:r>
    </w:p>
    <w:p w14:paraId="20183904">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发生质量问题，接到采购人通知后：</w:t>
      </w:r>
    </w:p>
    <w:p w14:paraId="1B28CE2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（1）服务响应时间不超过2小时，明确解决问题方案不超过2小时；</w:t>
      </w:r>
    </w:p>
    <w:p w14:paraId="10DD3EAA">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（2）应于当日2小时内派出专业的维修人员到现场进行检测维修，发生的全部费用由成交供应商承担，若需送回生产厂家，成交供应商承担往返费用；</w:t>
      </w:r>
    </w:p>
    <w:p w14:paraId="006A75D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（3）排除故障的期限不得超过2个工作日，否则采购人有权指定第三方维修，维修费用由成交供应商承担。</w:t>
      </w:r>
    </w:p>
    <w:p w14:paraId="429C2D40">
      <w:pPr>
        <w:keepNext w:val="0"/>
        <w:keepLines w:val="0"/>
        <w:pageBreakBefore w:val="0"/>
        <w:widowControl w:val="0"/>
        <w:kinsoku/>
        <w:wordWrap/>
        <w:overflowPunct/>
        <w:topLinePunct w:val="0"/>
        <w:autoSpaceDE/>
        <w:autoSpaceDN/>
        <w:bidi w:val="0"/>
        <w:adjustRightInd/>
        <w:snapToGrid/>
        <w:spacing w:line="384" w:lineRule="auto"/>
        <w:textAlignment w:val="auto"/>
        <w:rPr>
          <w:rFonts w:ascii="宋体" w:cs="宋体"/>
          <w:b/>
          <w:bCs/>
          <w:color w:val="auto"/>
          <w:sz w:val="24"/>
          <w:szCs w:val="24"/>
          <w:highlight w:val="none"/>
        </w:rPr>
      </w:pPr>
      <w:r>
        <w:rPr>
          <w:rFonts w:hint="eastAsia" w:ascii="宋体" w:hAnsi="宋体" w:cs="宋体"/>
          <w:b/>
          <w:bCs/>
          <w:color w:val="auto"/>
          <w:sz w:val="24"/>
          <w:szCs w:val="24"/>
          <w:highlight w:val="none"/>
          <w:lang w:eastAsia="zh-CN"/>
        </w:rPr>
        <w:t>第八条</w:t>
      </w:r>
      <w:r>
        <w:rPr>
          <w:rFonts w:hint="eastAsia" w:ascii="宋体" w:hAnsi="宋体" w:cs="宋体"/>
          <w:b/>
          <w:bCs/>
          <w:color w:val="auto"/>
          <w:sz w:val="24"/>
          <w:szCs w:val="24"/>
          <w:highlight w:val="none"/>
        </w:rPr>
        <w:t>、质量保证</w:t>
      </w:r>
    </w:p>
    <w:p w14:paraId="68382F3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hint="eastAsia" w:ascii="宋体" w:hAnsi="宋体" w:eastAsia="宋体" w:cs="宋体"/>
          <w:color w:val="auto"/>
          <w:sz w:val="24"/>
          <w:szCs w:val="24"/>
          <w:highlight w:val="none"/>
        </w:rPr>
      </w:pPr>
      <w:r>
        <w:rPr>
          <w:rFonts w:ascii="宋体" w:hAnsi="宋体" w:cs="宋体"/>
          <w:color w:val="auto"/>
          <w:sz w:val="24"/>
          <w:szCs w:val="24"/>
          <w:highlight w:val="none"/>
        </w:rPr>
        <w:t>1</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质量保证</w:t>
      </w:r>
      <w:r>
        <w:rPr>
          <w:rFonts w:hint="eastAsia" w:ascii="宋体" w:hAnsi="宋体" w:eastAsia="宋体" w:cs="宋体"/>
          <w:color w:val="auto"/>
          <w:sz w:val="24"/>
          <w:szCs w:val="24"/>
          <w:highlight w:val="none"/>
        </w:rPr>
        <w:t>期为终验合格之日起</w:t>
      </w:r>
      <w:r>
        <w:rPr>
          <w:rFonts w:hint="eastAsia" w:ascii="宋体" w:hAnsi="宋体" w:eastAsia="宋体" w:cs="宋体"/>
          <w:color w:val="auto"/>
          <w:sz w:val="24"/>
          <w:szCs w:val="24"/>
          <w:highlight w:val="none"/>
          <w:u w:val="single"/>
        </w:rPr>
        <w:t xml:space="preserve"> 12 </w:t>
      </w:r>
      <w:r>
        <w:rPr>
          <w:rFonts w:hint="eastAsia" w:ascii="宋体" w:hAnsi="宋体" w:eastAsia="宋体" w:cs="宋体"/>
          <w:color w:val="auto"/>
          <w:sz w:val="24"/>
          <w:szCs w:val="24"/>
          <w:highlight w:val="none"/>
        </w:rPr>
        <w:t>个月。</w:t>
      </w:r>
    </w:p>
    <w:p w14:paraId="41FBE9F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2</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应保证合同项下所供货物是合同规定厂家制造的、全新的、未使用过的，并完全符合合同规定的质量、规格和性能要求的合格产品。乙方应保证其货物在正常使用和保养条件下，在其使用寿命期内应具有满意的性能。在货物的质量保证期内，乙方对由于设计、工艺或材料的缺陷而产生的故障负责。</w:t>
      </w:r>
    </w:p>
    <w:p w14:paraId="244DBBF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3</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根据检验结果或者在质量保证期内，如果货物的数量、质量或规格与合同不符，或证实货物是有缺陷的，包括潜在的缺陷，甲方应尽快以书面形式向乙方提出所发现的缺陷。</w:t>
      </w:r>
    </w:p>
    <w:p w14:paraId="29B41CD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4</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乙方收到通知后应在谈判文件规定的时间内以合理的速度免费维修或更换有缺陷的货物或部件。</w:t>
      </w:r>
    </w:p>
    <w:p w14:paraId="12C2A4B5">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s="宋体"/>
          <w:color w:val="auto"/>
          <w:sz w:val="24"/>
          <w:szCs w:val="24"/>
          <w:highlight w:val="none"/>
        </w:rPr>
      </w:pPr>
      <w:r>
        <w:rPr>
          <w:rFonts w:ascii="宋体" w:hAnsi="宋体" w:cs="宋体"/>
          <w:color w:val="auto"/>
          <w:sz w:val="24"/>
          <w:szCs w:val="24"/>
          <w:highlight w:val="none"/>
        </w:rPr>
        <w:t>5</w:t>
      </w:r>
      <w:r>
        <w:rPr>
          <w:rFonts w:hint="eastAsia" w:ascii="宋体" w:hAnsi="宋体" w:cs="宋体"/>
          <w:color w:val="auto"/>
          <w:sz w:val="24"/>
          <w:szCs w:val="24"/>
          <w:highlight w:val="none"/>
          <w:lang w:val="en-US" w:eastAsia="zh-CN"/>
        </w:rPr>
        <w:t>.</w:t>
      </w:r>
      <w:r>
        <w:rPr>
          <w:rFonts w:hint="eastAsia" w:ascii="宋体" w:hAnsi="宋体" w:cs="宋体"/>
          <w:color w:val="auto"/>
          <w:sz w:val="24"/>
          <w:szCs w:val="24"/>
          <w:highlight w:val="none"/>
        </w:rPr>
        <w:t>如果乙方收到通知后在谈判文件规定的时间内没有及时修补缺陷，甲方可提出索赔，并可采取必要的补救措施，但其风险和费用将由乙方承担，甲方根据合同规定对乙方行使的其他权力不受影响。</w:t>
      </w:r>
    </w:p>
    <w:p w14:paraId="657223BC">
      <w:pPr>
        <w:keepNext w:val="0"/>
        <w:keepLines w:val="0"/>
        <w:pageBreakBefore w:val="0"/>
        <w:widowControl w:val="0"/>
        <w:kinsoku/>
        <w:wordWrap/>
        <w:overflowPunct/>
        <w:topLinePunct w:val="0"/>
        <w:autoSpaceDE/>
        <w:autoSpaceDN/>
        <w:bidi w:val="0"/>
        <w:adjustRightInd/>
        <w:snapToGrid/>
        <w:spacing w:line="384" w:lineRule="auto"/>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第九条</w:t>
      </w:r>
      <w:r>
        <w:rPr>
          <w:rFonts w:hint="eastAsia" w:ascii="宋体" w:hAnsi="宋体" w:eastAsia="宋体" w:cs="宋体"/>
          <w:b/>
          <w:bCs/>
          <w:color w:val="auto"/>
          <w:sz w:val="24"/>
          <w:szCs w:val="24"/>
          <w:highlight w:val="none"/>
        </w:rPr>
        <w:t>、违约责任及赔偿损失的计算办法</w:t>
      </w:r>
    </w:p>
    <w:p w14:paraId="7E20193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1.</w:t>
      </w:r>
      <w:r>
        <w:rPr>
          <w:rFonts w:hint="eastAsia" w:ascii="宋体" w:hAnsi="宋体"/>
          <w:color w:val="auto"/>
          <w:sz w:val="24"/>
          <w:szCs w:val="24"/>
          <w:highlight w:val="none"/>
        </w:rPr>
        <w:t>如乙方事先未征得甲方书面同意而单方面延迟完成项目的，每逾期一日按照合同总价款的万分之五承担违约责任；乙方逾期累计</w:t>
      </w:r>
      <w:r>
        <w:rPr>
          <w:rFonts w:ascii="宋体" w:hAnsi="宋体"/>
          <w:color w:val="auto"/>
          <w:sz w:val="24"/>
          <w:szCs w:val="24"/>
          <w:highlight w:val="none"/>
        </w:rPr>
        <w:t>15</w:t>
      </w:r>
      <w:r>
        <w:rPr>
          <w:rFonts w:hint="eastAsia" w:ascii="宋体" w:hAnsi="宋体"/>
          <w:color w:val="auto"/>
          <w:sz w:val="24"/>
          <w:szCs w:val="24"/>
          <w:highlight w:val="none"/>
        </w:rPr>
        <w:t>天以上的，甲方有权解除合同</w:t>
      </w:r>
      <w:r>
        <w:rPr>
          <w:rFonts w:ascii="宋体"/>
          <w:color w:val="auto"/>
          <w:sz w:val="24"/>
          <w:szCs w:val="24"/>
          <w:highlight w:val="none"/>
        </w:rPr>
        <w:t>,</w:t>
      </w:r>
      <w:r>
        <w:rPr>
          <w:rFonts w:hint="eastAsia" w:ascii="宋体" w:hAnsi="宋体"/>
          <w:color w:val="auto"/>
          <w:sz w:val="24"/>
          <w:szCs w:val="24"/>
          <w:highlight w:val="none"/>
        </w:rPr>
        <w:t>乙方应承担合同总价款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5464FA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2</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乙方所供主要硬件或软件不符合竞争性谈判文件规定或不合格的或本项目不能通过验收的，甲方有权解除合同，同时甲方有权扣除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，并要求其承担合同总价款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5EBDD09D">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3</w:t>
      </w:r>
      <w:r>
        <w:rPr>
          <w:rFonts w:hint="eastAsia" w:ascii="宋体" w:hAnsi="宋体"/>
          <w:color w:val="auto"/>
          <w:sz w:val="24"/>
          <w:szCs w:val="24"/>
          <w:highlight w:val="none"/>
          <w:lang w:val="en-US" w:eastAsia="zh-CN"/>
        </w:rPr>
        <w:t>.</w:t>
      </w:r>
      <w:r>
        <w:rPr>
          <w:rFonts w:hint="eastAsia" w:ascii="宋体" w:hAnsi="宋体"/>
          <w:color w:val="auto"/>
          <w:sz w:val="24"/>
          <w:szCs w:val="24"/>
          <w:highlight w:val="none"/>
        </w:rPr>
        <w:t>部分产品不合格的，甲方有权要求乙方在指定期间内免费更换，乙方拒不更换的，甲方有权自行或委托第三方购买设备，但产品供应费、运输费等全部费用由乙方承担。上述费用从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中扣除，不足部分由乙方承担。同时乙方应在三日内补足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w:t>
      </w:r>
    </w:p>
    <w:p w14:paraId="3D99F72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4</w:t>
      </w:r>
      <w:r>
        <w:rPr>
          <w:rFonts w:hint="eastAsia" w:ascii="宋体" w:hAnsi="宋体"/>
          <w:color w:val="auto"/>
          <w:sz w:val="24"/>
          <w:szCs w:val="24"/>
          <w:highlight w:val="none"/>
        </w:rPr>
        <w:t>．质保期内乙方未按照竞争性谈判文件、竞争性谈判响应文件规定及合同约定提供维保服务的，甲方有权指定第三方提供维保服务，但第三方维修费、交通费、人工费等全部费用由乙方承担。上述相关费用从</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中扣除，</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不足的，乙方应在三日内补足</w:t>
      </w:r>
      <w:r>
        <w:rPr>
          <w:rFonts w:hint="eastAsia" w:ascii="宋体" w:hAnsi="宋体" w:cs="宋体"/>
          <w:color w:val="auto"/>
          <w:sz w:val="24"/>
          <w:szCs w:val="24"/>
          <w:highlight w:val="none"/>
        </w:rPr>
        <w:t>履约保函</w:t>
      </w:r>
      <w:r>
        <w:rPr>
          <w:rFonts w:hint="eastAsia" w:ascii="宋体" w:hAnsi="宋体"/>
          <w:color w:val="auto"/>
          <w:sz w:val="24"/>
          <w:szCs w:val="24"/>
          <w:highlight w:val="none"/>
        </w:rPr>
        <w:t>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w:t>
      </w:r>
    </w:p>
    <w:p w14:paraId="1913C83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5</w:t>
      </w:r>
      <w:r>
        <w:rPr>
          <w:rFonts w:hint="eastAsia" w:ascii="宋体" w:hAnsi="宋体"/>
          <w:color w:val="auto"/>
          <w:sz w:val="24"/>
          <w:szCs w:val="24"/>
          <w:highlight w:val="none"/>
        </w:rPr>
        <w:t>．因乙方提供的硬件、软件等服务侵害他人权利，乙方应承担全部赔偿责任，甲方有权解除合同</w:t>
      </w:r>
      <w:r>
        <w:rPr>
          <w:rFonts w:ascii="宋体" w:hAnsi="宋体"/>
          <w:color w:val="auto"/>
          <w:sz w:val="24"/>
          <w:szCs w:val="24"/>
          <w:highlight w:val="none"/>
        </w:rPr>
        <w:t xml:space="preserve">, </w:t>
      </w:r>
      <w:r>
        <w:rPr>
          <w:rFonts w:hint="eastAsia" w:ascii="宋体" w:hAnsi="宋体"/>
          <w:color w:val="auto"/>
          <w:sz w:val="24"/>
          <w:szCs w:val="24"/>
          <w:highlight w:val="none"/>
        </w:rPr>
        <w:t>乙方应承担合同总价款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A1DCB98">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6</w:t>
      </w:r>
      <w:r>
        <w:rPr>
          <w:rFonts w:hint="eastAsia" w:ascii="宋体" w:hAnsi="宋体"/>
          <w:color w:val="auto"/>
          <w:sz w:val="24"/>
          <w:szCs w:val="24"/>
          <w:highlight w:val="none"/>
        </w:rPr>
        <w:t>．乙方在提供服务过程中造成他人损害的，由乙方承担全部责任。</w:t>
      </w:r>
    </w:p>
    <w:p w14:paraId="50AEBCFE">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7</w:t>
      </w:r>
      <w:r>
        <w:rPr>
          <w:rFonts w:hint="eastAsia" w:ascii="宋体" w:hAnsi="宋体"/>
          <w:color w:val="auto"/>
          <w:sz w:val="24"/>
          <w:szCs w:val="24"/>
          <w:highlight w:val="none"/>
        </w:rPr>
        <w:t>．因乙方的原因，合同无法履行的，甲方有权解除合同，乙方应在收到解除通知后</w:t>
      </w:r>
      <w:r>
        <w:rPr>
          <w:rFonts w:ascii="宋体" w:hAnsi="宋体"/>
          <w:color w:val="auto"/>
          <w:sz w:val="24"/>
          <w:szCs w:val="24"/>
          <w:highlight w:val="none"/>
        </w:rPr>
        <w:t>7</w:t>
      </w:r>
      <w:r>
        <w:rPr>
          <w:rFonts w:hint="eastAsia" w:ascii="宋体" w:hAnsi="宋体"/>
          <w:color w:val="auto"/>
          <w:sz w:val="24"/>
          <w:szCs w:val="24"/>
          <w:highlight w:val="none"/>
        </w:rPr>
        <w:t>天内退还已收取的所有款项并承担合同总价款</w:t>
      </w:r>
      <w:r>
        <w:rPr>
          <w:rFonts w:ascii="宋体" w:hAnsi="宋体"/>
          <w:color w:val="auto"/>
          <w:sz w:val="24"/>
          <w:szCs w:val="24"/>
          <w:highlight w:val="none"/>
        </w:rPr>
        <w:t>30%</w:t>
      </w:r>
      <w:r>
        <w:rPr>
          <w:rFonts w:hint="eastAsia" w:ascii="宋体" w:hAnsi="宋体"/>
          <w:color w:val="auto"/>
          <w:sz w:val="24"/>
          <w:szCs w:val="24"/>
          <w:highlight w:val="none"/>
        </w:rPr>
        <w:t>的违约金，对甲方造成损失的，乙方应承担赔偿责任（包括但不限于实际损失、可预期损失及律师费）。</w:t>
      </w:r>
    </w:p>
    <w:p w14:paraId="69B3B120">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8</w:t>
      </w:r>
      <w:r>
        <w:rPr>
          <w:rFonts w:hint="eastAsia" w:ascii="宋体" w:hAnsi="宋体"/>
          <w:color w:val="auto"/>
          <w:sz w:val="24"/>
          <w:szCs w:val="24"/>
          <w:highlight w:val="none"/>
        </w:rPr>
        <w:t>．甲方应当将乙方违约的情况以及拟采取的措施以书面形式报政府采购监管部门，根据政府采购监管部门的处理意见，甲方有权要求乙方承担违约责任。同时，政府采购监管部门有权依据</w:t>
      </w:r>
      <w:r>
        <w:rPr>
          <w:rFonts w:ascii="宋体" w:hAnsi="宋体"/>
          <w:color w:val="auto"/>
          <w:sz w:val="24"/>
          <w:szCs w:val="24"/>
          <w:highlight w:val="none"/>
        </w:rPr>
        <w:t xml:space="preserve"> </w:t>
      </w:r>
      <w:r>
        <w:rPr>
          <w:rFonts w:hint="eastAsia" w:ascii="宋体" w:hAnsi="宋体"/>
          <w:color w:val="auto"/>
          <w:sz w:val="24"/>
          <w:szCs w:val="24"/>
          <w:highlight w:val="none"/>
        </w:rPr>
        <w:t>《政府采购法》及相关法律法规对乙方的违法行为进行相应的处罚。</w:t>
      </w:r>
    </w:p>
    <w:p w14:paraId="4074B727">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9</w:t>
      </w:r>
      <w:r>
        <w:rPr>
          <w:rFonts w:hint="eastAsia" w:ascii="宋体" w:hAnsi="宋体"/>
          <w:color w:val="auto"/>
          <w:sz w:val="24"/>
          <w:szCs w:val="24"/>
          <w:highlight w:val="none"/>
        </w:rPr>
        <w:t>．乙方违反其他合同条款的，应承担合同总价款</w:t>
      </w:r>
      <w:r>
        <w:rPr>
          <w:rFonts w:ascii="宋体" w:hAnsi="宋体"/>
          <w:color w:val="auto"/>
          <w:sz w:val="24"/>
          <w:szCs w:val="24"/>
          <w:highlight w:val="none"/>
        </w:rPr>
        <w:t>30%</w:t>
      </w:r>
      <w:r>
        <w:rPr>
          <w:rFonts w:hint="eastAsia" w:ascii="宋体" w:hAnsi="宋体"/>
          <w:color w:val="auto"/>
          <w:sz w:val="24"/>
          <w:szCs w:val="24"/>
          <w:highlight w:val="none"/>
        </w:rPr>
        <w:t>的违约责任，对甲方造成损失的，乙方应承担赔偿责任（包括但不限于实际损失、可预期损失及律师费）。</w:t>
      </w:r>
    </w:p>
    <w:p w14:paraId="00F7AA11">
      <w:pPr>
        <w:keepNext w:val="0"/>
        <w:keepLines w:val="0"/>
        <w:pageBreakBefore w:val="0"/>
        <w:widowControl w:val="0"/>
        <w:kinsoku/>
        <w:wordWrap/>
        <w:overflowPunct/>
        <w:topLinePunct w:val="0"/>
        <w:autoSpaceDE/>
        <w:autoSpaceDN/>
        <w:bidi w:val="0"/>
        <w:adjustRightInd/>
        <w:snapToGrid/>
        <w:spacing w:line="384" w:lineRule="auto"/>
        <w:ind w:firstLine="480" w:firstLineChars="200"/>
        <w:textAlignment w:val="auto"/>
        <w:rPr>
          <w:rFonts w:ascii="宋体"/>
          <w:color w:val="auto"/>
          <w:sz w:val="24"/>
          <w:szCs w:val="24"/>
          <w:highlight w:val="none"/>
        </w:rPr>
      </w:pPr>
      <w:r>
        <w:rPr>
          <w:rFonts w:ascii="宋体" w:hAnsi="宋体"/>
          <w:color w:val="auto"/>
          <w:sz w:val="24"/>
          <w:szCs w:val="24"/>
          <w:highlight w:val="none"/>
        </w:rPr>
        <w:t>10</w:t>
      </w:r>
      <w:r>
        <w:rPr>
          <w:rFonts w:hint="eastAsia" w:ascii="宋体" w:hAnsi="宋体"/>
          <w:color w:val="auto"/>
          <w:sz w:val="24"/>
          <w:szCs w:val="24"/>
          <w:highlight w:val="none"/>
        </w:rPr>
        <w:t>．上述约定的违约条款可合并适用，合并适用后仍不能弥补甲方损失的，甲方有权继续追偿。</w:t>
      </w:r>
    </w:p>
    <w:p w14:paraId="3EFBB21D">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color w:val="auto"/>
          <w:sz w:val="24"/>
          <w:szCs w:val="24"/>
          <w:highlight w:val="none"/>
        </w:rPr>
      </w:pPr>
      <w:r>
        <w:rPr>
          <w:rFonts w:hint="eastAsia" w:ascii="宋体" w:hAnsi="宋体" w:cs="宋体"/>
          <w:b/>
          <w:bCs/>
          <w:color w:val="auto"/>
          <w:sz w:val="24"/>
          <w:szCs w:val="24"/>
          <w:highlight w:val="none"/>
          <w:lang w:eastAsia="zh-CN"/>
        </w:rPr>
        <w:t>第十条</w:t>
      </w:r>
      <w:r>
        <w:rPr>
          <w:rFonts w:hint="eastAsia" w:ascii="宋体" w:hAnsi="宋体" w:cs="宋体"/>
          <w:b/>
          <w:bCs/>
          <w:color w:val="auto"/>
          <w:sz w:val="24"/>
          <w:szCs w:val="24"/>
          <w:highlight w:val="none"/>
        </w:rPr>
        <w:t>、合同变更、解除及终止的条件</w:t>
      </w:r>
    </w:p>
    <w:p w14:paraId="1F66CB4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.1本合同在执行过程中，如合同一方提出修改，须报政府采购管理部门同意后，由甲、乙双方签署书面修改协议，并成为本合同不可分割的一部分。除此之外，本合同的条件不得有任何变化或修改。</w:t>
      </w:r>
    </w:p>
    <w:p w14:paraId="77DE981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.2有下述情形之一，当事人可发出书面通知全部或部分地解除合同，合同自通知到达对方时全部或部分地解除：</w:t>
      </w:r>
    </w:p>
    <w:p w14:paraId="687FE4E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（1）乙方迟延交付合同货物超过</w:t>
      </w:r>
      <w:r>
        <w:rPr>
          <w:rFonts w:hint="eastAsia" w:ascii="宋体" w:hAnsi="宋体" w:cs="宋体"/>
          <w:b/>
          <w:bCs/>
          <w:color w:val="auto"/>
          <w:sz w:val="24"/>
          <w:szCs w:val="24"/>
          <w:highlight w:val="none"/>
          <w:u w:val="single"/>
        </w:rPr>
        <w:t>1个月</w:t>
      </w:r>
      <w:r>
        <w:rPr>
          <w:rFonts w:hint="eastAsia" w:ascii="宋体" w:hAnsi="宋体" w:cs="宋体"/>
          <w:color w:val="auto"/>
          <w:sz w:val="24"/>
          <w:szCs w:val="24"/>
          <w:highlight w:val="none"/>
        </w:rPr>
        <w:t>；</w:t>
      </w:r>
    </w:p>
    <w:p w14:paraId="66A4A692">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合同货物由于乙方原因三次考核均未能达到技术性能考核指标或在合同约定了或双方在考核中另行达成了最低技术性能考核指标时均未能达到最低技术性能考核指标，且甲乙双方未就合同的后续履行协商达成一致；</w:t>
      </w:r>
    </w:p>
    <w:p w14:paraId="453407F6">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（3）甲方迟延付款超过</w:t>
      </w:r>
      <w:r>
        <w:rPr>
          <w:rFonts w:hint="eastAsia" w:ascii="宋体" w:hAnsi="宋体" w:cs="宋体"/>
          <w:b/>
          <w:bCs/>
          <w:color w:val="auto"/>
          <w:sz w:val="24"/>
          <w:szCs w:val="24"/>
          <w:highlight w:val="none"/>
          <w:u w:val="single"/>
        </w:rPr>
        <w:t>2个月</w:t>
      </w:r>
      <w:r>
        <w:rPr>
          <w:rFonts w:hint="eastAsia" w:ascii="宋体" w:hAnsi="宋体" w:cs="宋体"/>
          <w:color w:val="auto"/>
          <w:sz w:val="24"/>
          <w:szCs w:val="24"/>
          <w:highlight w:val="none"/>
        </w:rPr>
        <w:t>；</w:t>
      </w:r>
    </w:p>
    <w:p w14:paraId="27E32E7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（4）合同一方当事人未能履行合同项下任何其它义务（细微义务除外），或在未事先征得另一方当事人同意的情况下，从事任何可能在实质上不利影响其履行合同能力的活动，经另一方当事人书面通知后</w:t>
      </w:r>
      <w:r>
        <w:rPr>
          <w:rFonts w:hint="eastAsia" w:ascii="宋体" w:hAnsi="宋体" w:cs="宋体"/>
          <w:b/>
          <w:bCs/>
          <w:color w:val="auto"/>
          <w:sz w:val="24"/>
          <w:szCs w:val="24"/>
          <w:highlight w:val="none"/>
          <w:u w:val="single"/>
        </w:rPr>
        <w:t xml:space="preserve"> 15 </w:t>
      </w:r>
      <w:r>
        <w:rPr>
          <w:rFonts w:hint="eastAsia" w:ascii="宋体" w:hAnsi="宋体" w:cs="宋体"/>
          <w:color w:val="auto"/>
          <w:sz w:val="24"/>
          <w:szCs w:val="24"/>
          <w:highlight w:val="none"/>
        </w:rPr>
        <w:t>日内未能对其行为作出补救；</w:t>
      </w:r>
    </w:p>
    <w:p w14:paraId="7027F1D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（5）合同一方当事人出现破产、清算、资不抵债、成为失信被执行人等可能丧失履约能力的情形，且未能提供令对方满意的履约保证金。</w:t>
      </w:r>
    </w:p>
    <w:p w14:paraId="51B66C35">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0</w:t>
      </w:r>
      <w:r>
        <w:rPr>
          <w:rFonts w:hint="eastAsia" w:ascii="宋体" w:hAnsi="宋体" w:cs="宋体"/>
          <w:color w:val="auto"/>
          <w:sz w:val="24"/>
          <w:szCs w:val="24"/>
          <w:highlight w:val="none"/>
        </w:rPr>
        <w:t>.3在乙方违约的情况下，甲方报告政府采购管理部门后，有权终止合同，并依法向乙方进行索赔实际损失(包括但不限于维权所支出的律师费、诉讼费、交通费等)。</w:t>
      </w:r>
    </w:p>
    <w:p w14:paraId="7D375BBF">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第十一条</w:t>
      </w:r>
      <w:r>
        <w:rPr>
          <w:rFonts w:hint="eastAsia" w:ascii="宋体" w:hAnsi="宋体" w:cs="宋体"/>
          <w:b/>
          <w:bCs/>
          <w:color w:val="auto"/>
          <w:sz w:val="24"/>
          <w:szCs w:val="24"/>
          <w:highlight w:val="none"/>
        </w:rPr>
        <w:t>、验收方式</w:t>
      </w:r>
    </w:p>
    <w:p w14:paraId="2FD9987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1经采购人确认后，组织成交供应商进行验收（必要时采购人可委托具有相关资质的第三方检测机构/技术专家对产品进行验收，需要国家法定检验部门进行检验或验收的由成交供应商负责联系）。验收合格后，填写政府采购项目验收单（一式伍份）作为对产品的最终认可。</w:t>
      </w:r>
    </w:p>
    <w:p w14:paraId="2274B594">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.2验收依据</w:t>
      </w:r>
    </w:p>
    <w:p w14:paraId="621DBBA9">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.2.1招标文件、响应文件、澄清表（函）；</w:t>
      </w:r>
    </w:p>
    <w:p w14:paraId="7D9B61A0">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.2.2本合同及附件文本；</w:t>
      </w:r>
    </w:p>
    <w:p w14:paraId="3BC6C196">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.2.3合同签订时国家及行业现行的标准和技术规范。</w:t>
      </w:r>
    </w:p>
    <w:p w14:paraId="78840ED0">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.3成交供应商应向采购人提交项目实施过程中的所有资料，以便采购人日后管理和维护。</w:t>
      </w:r>
    </w:p>
    <w:p w14:paraId="09DBC8B4">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1</w:t>
      </w:r>
      <w:r>
        <w:rPr>
          <w:rFonts w:hint="eastAsia" w:ascii="宋体" w:hAnsi="宋体" w:cs="宋体"/>
          <w:color w:val="auto"/>
          <w:sz w:val="24"/>
          <w:szCs w:val="24"/>
          <w:highlight w:val="none"/>
        </w:rPr>
        <w:t>.4鉴定和验收费用，由乙方承担。</w:t>
      </w:r>
    </w:p>
    <w:p w14:paraId="3A0E3EB3">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第十二条</w:t>
      </w:r>
      <w:r>
        <w:rPr>
          <w:rFonts w:hint="eastAsia" w:ascii="宋体" w:hAnsi="宋体" w:cs="宋体"/>
          <w:b/>
          <w:bCs/>
          <w:color w:val="auto"/>
          <w:sz w:val="24"/>
          <w:szCs w:val="24"/>
          <w:highlight w:val="none"/>
        </w:rPr>
        <w:t>、保密约定</w:t>
      </w:r>
    </w:p>
    <w:p w14:paraId="07D2BDE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.1合同双方应对因履行合同而取得的另一方当事人的信息、资料等予以保密。未经另一方当事人书面同意，任何一方均不得为与履行合同无关的目的使用或向第三方披露另一方当事人提供的信息、资料。</w:t>
      </w:r>
    </w:p>
    <w:p w14:paraId="167E436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2</w:t>
      </w:r>
      <w:r>
        <w:rPr>
          <w:rFonts w:hint="eastAsia" w:ascii="宋体" w:hAnsi="宋体" w:cs="宋体"/>
          <w:color w:val="auto"/>
          <w:sz w:val="24"/>
          <w:szCs w:val="24"/>
          <w:highlight w:val="none"/>
        </w:rPr>
        <w:t>.2合同当事人的保密义务不适用于下列信息：</w:t>
      </w:r>
    </w:p>
    <w:p w14:paraId="31E4B5C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（1）非因接受信息一方的过失现在或以后进入公共领域的信息；</w:t>
      </w:r>
    </w:p>
    <w:p w14:paraId="7544BDF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（2）接受信息一方当事人合法地从第三方获得并且据其善意了解第三方也不对此承担保密义务的信息；</w:t>
      </w:r>
    </w:p>
    <w:p w14:paraId="440CD28D">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（3）法律或法律的执行要求披露的信息。</w:t>
      </w:r>
    </w:p>
    <w:p w14:paraId="3E1501D7">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第十三条</w:t>
      </w:r>
      <w:r>
        <w:rPr>
          <w:rFonts w:hint="eastAsia" w:ascii="宋体" w:hAnsi="宋体" w:cs="宋体"/>
          <w:b/>
          <w:bCs/>
          <w:color w:val="auto"/>
          <w:sz w:val="24"/>
          <w:szCs w:val="24"/>
          <w:highlight w:val="none"/>
        </w:rPr>
        <w:t>、合同争议解决方式</w:t>
      </w:r>
    </w:p>
    <w:p w14:paraId="1923C097">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因执行本合同所发生的或与本合同有关的一切争议,双方应通过友好协商解决，协商不成的可依法</w:t>
      </w:r>
      <w:r>
        <w:rPr>
          <w:color w:val="auto"/>
          <w:sz w:val="24"/>
          <w:szCs w:val="24"/>
          <w:highlight w:val="none"/>
        </w:rPr>
        <w:t>向有管辖权的人民法院提起诉讼</w:t>
      </w:r>
      <w:r>
        <w:rPr>
          <w:rFonts w:hint="eastAsia" w:ascii="宋体" w:hAnsi="宋体" w:cs="宋体"/>
          <w:color w:val="auto"/>
          <w:sz w:val="24"/>
          <w:szCs w:val="24"/>
          <w:highlight w:val="none"/>
        </w:rPr>
        <w:t>。</w:t>
      </w:r>
    </w:p>
    <w:p w14:paraId="6EDA3AE7">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第十四条</w:t>
      </w:r>
      <w:r>
        <w:rPr>
          <w:rFonts w:hint="eastAsia" w:ascii="宋体" w:hAnsi="宋体" w:cs="宋体"/>
          <w:b/>
          <w:bCs/>
          <w:color w:val="auto"/>
          <w:sz w:val="24"/>
          <w:szCs w:val="24"/>
          <w:highlight w:val="none"/>
        </w:rPr>
        <w:t>、不可抗力情况下的免责约定</w:t>
      </w:r>
    </w:p>
    <w:p w14:paraId="6339970F">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 28 日内将有关当局或机构出具的证明文件提交给另一方当事人。</w:t>
      </w:r>
    </w:p>
    <w:p w14:paraId="0F998179">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.2受不可抗力事件影响的一方当事人对于不可抗力事件导致的任何合同义务的迟延履行或不能履行不承担违约责任。但该方当事人应尽快将不可抗力事件结束或消除的情况通知另一方当事人。</w:t>
      </w:r>
    </w:p>
    <w:p w14:paraId="24A36773">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1</w:t>
      </w:r>
      <w:r>
        <w:rPr>
          <w:rFonts w:hint="eastAsia" w:ascii="宋体" w:hAnsi="宋体" w:cs="宋体"/>
          <w:color w:val="auto"/>
          <w:sz w:val="24"/>
          <w:szCs w:val="24"/>
          <w:highlight w:val="none"/>
          <w:lang w:val="en-US" w:eastAsia="zh-CN"/>
        </w:rPr>
        <w:t>4</w:t>
      </w:r>
      <w:r>
        <w:rPr>
          <w:rFonts w:hint="eastAsia" w:ascii="宋体" w:hAnsi="宋体" w:cs="宋体"/>
          <w:color w:val="auto"/>
          <w:sz w:val="24"/>
          <w:szCs w:val="24"/>
          <w:highlight w:val="none"/>
        </w:rPr>
        <w:t>.3双方当事人应在不可抗力事件结束或其影响消除后立即继续履行其合同义务，合同期限也应相应顺延。如果不可抗力事件的影响持续超过</w:t>
      </w:r>
      <w:r>
        <w:rPr>
          <w:rFonts w:hint="eastAsia" w:ascii="宋体" w:hAnsi="宋体" w:cs="宋体"/>
          <w:b/>
          <w:bCs/>
          <w:color w:val="auto"/>
          <w:sz w:val="24"/>
          <w:szCs w:val="24"/>
          <w:highlight w:val="none"/>
          <w:u w:val="single"/>
        </w:rPr>
        <w:t xml:space="preserve"> 90 </w:t>
      </w:r>
      <w:r>
        <w:rPr>
          <w:rFonts w:hint="eastAsia" w:ascii="宋体" w:hAnsi="宋体" w:cs="宋体"/>
          <w:color w:val="auto"/>
          <w:sz w:val="24"/>
          <w:szCs w:val="24"/>
          <w:highlight w:val="none"/>
        </w:rPr>
        <w:t>日，则任何一方当事人均有权以书面通知解除合同。</w:t>
      </w:r>
    </w:p>
    <w:p w14:paraId="22B0EB80">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val="en-US" w:eastAsia="zh-CN"/>
        </w:rPr>
        <w:t>第十五条</w:t>
      </w:r>
      <w:r>
        <w:rPr>
          <w:rFonts w:hint="eastAsia" w:ascii="宋体" w:hAnsi="宋体" w:cs="宋体"/>
          <w:b/>
          <w:bCs/>
          <w:color w:val="auto"/>
          <w:sz w:val="24"/>
          <w:szCs w:val="24"/>
          <w:highlight w:val="none"/>
        </w:rPr>
        <w:t>、生效条件、订立日期</w:t>
      </w:r>
    </w:p>
    <w:p w14:paraId="30998A1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.1本合同自签订之日起生效。</w:t>
      </w:r>
    </w:p>
    <w:p w14:paraId="0C90927A">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lang w:eastAsia="zh-CN"/>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.2合同一式</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份，采购人、成交供应商各执</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rPr>
        <w:t>份</w:t>
      </w:r>
      <w:r>
        <w:rPr>
          <w:rFonts w:hint="eastAsia" w:ascii="宋体" w:hAnsi="宋体" w:cs="宋体"/>
          <w:color w:val="auto"/>
          <w:sz w:val="24"/>
          <w:szCs w:val="24"/>
          <w:highlight w:val="none"/>
          <w:lang w:eastAsia="zh-CN"/>
        </w:rPr>
        <w:t>。</w:t>
      </w:r>
    </w:p>
    <w:p w14:paraId="0E94394E">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lang w:val="en-US" w:eastAsia="zh-CN"/>
        </w:rPr>
        <w:t>15</w:t>
      </w:r>
      <w:r>
        <w:rPr>
          <w:rFonts w:hint="eastAsia" w:ascii="宋体" w:hAnsi="宋体" w:cs="宋体"/>
          <w:color w:val="auto"/>
          <w:sz w:val="24"/>
          <w:szCs w:val="24"/>
          <w:highlight w:val="none"/>
        </w:rPr>
        <w:t>.3如本合同有未尽事宜，以招标文件为准，招标文件未做要求的，由双方依法订立补充合同。</w:t>
      </w:r>
    </w:p>
    <w:p w14:paraId="693F8FEE">
      <w:pPr>
        <w:keepNext w:val="0"/>
        <w:keepLines w:val="0"/>
        <w:pageBreakBefore w:val="0"/>
        <w:widowControl w:val="0"/>
        <w:kinsoku/>
        <w:wordWrap/>
        <w:overflowPunct/>
        <w:topLinePunct w:val="0"/>
        <w:autoSpaceDE/>
        <w:autoSpaceDN/>
        <w:bidi w:val="0"/>
        <w:adjustRightInd/>
        <w:snapToGrid/>
        <w:spacing w:after="0" w:line="384" w:lineRule="auto"/>
        <w:textAlignment w:val="auto"/>
        <w:rPr>
          <w:rFonts w:hint="eastAsia" w:ascii="宋体" w:hAnsi="宋体" w:cs="宋体"/>
          <w:b/>
          <w:bCs/>
          <w:color w:val="auto"/>
          <w:sz w:val="24"/>
          <w:szCs w:val="24"/>
          <w:highlight w:val="none"/>
        </w:rPr>
      </w:pPr>
      <w:r>
        <w:rPr>
          <w:rFonts w:hint="eastAsia" w:ascii="宋体" w:hAnsi="宋体" w:cs="宋体"/>
          <w:b/>
          <w:bCs/>
          <w:color w:val="auto"/>
          <w:sz w:val="24"/>
          <w:szCs w:val="24"/>
          <w:highlight w:val="none"/>
          <w:lang w:eastAsia="zh-CN"/>
        </w:rPr>
        <w:t>第</w:t>
      </w:r>
      <w:r>
        <w:rPr>
          <w:rFonts w:hint="eastAsia" w:ascii="宋体" w:hAnsi="宋体" w:cs="宋体"/>
          <w:b/>
          <w:bCs/>
          <w:color w:val="auto"/>
          <w:sz w:val="24"/>
          <w:szCs w:val="24"/>
          <w:highlight w:val="none"/>
        </w:rPr>
        <w:t>十</w:t>
      </w:r>
      <w:r>
        <w:rPr>
          <w:rFonts w:hint="eastAsia" w:ascii="宋体" w:hAnsi="宋体" w:cs="宋体"/>
          <w:b/>
          <w:bCs/>
          <w:color w:val="auto"/>
          <w:sz w:val="24"/>
          <w:szCs w:val="24"/>
          <w:highlight w:val="none"/>
          <w:lang w:val="en-US" w:eastAsia="zh-CN"/>
        </w:rPr>
        <w:t>六条</w:t>
      </w:r>
      <w:r>
        <w:rPr>
          <w:rFonts w:hint="eastAsia" w:ascii="宋体" w:hAnsi="宋体" w:cs="宋体"/>
          <w:b/>
          <w:bCs/>
          <w:color w:val="auto"/>
          <w:sz w:val="24"/>
          <w:szCs w:val="24"/>
          <w:highlight w:val="none"/>
        </w:rPr>
        <w:t>、其他事项</w:t>
      </w:r>
    </w:p>
    <w:p w14:paraId="4C8EA751">
      <w:pPr>
        <w:keepNext w:val="0"/>
        <w:keepLines w:val="0"/>
        <w:pageBreakBefore w:val="0"/>
        <w:widowControl w:val="0"/>
        <w:kinsoku/>
        <w:wordWrap/>
        <w:overflowPunct/>
        <w:topLinePunct w:val="0"/>
        <w:autoSpaceDE/>
        <w:autoSpaceDN/>
        <w:bidi w:val="0"/>
        <w:adjustRightInd/>
        <w:snapToGrid/>
        <w:spacing w:after="0" w:line="384" w:lineRule="auto"/>
        <w:ind w:firstLine="480" w:firstLineChars="200"/>
        <w:textAlignment w:val="auto"/>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合同其他事项双方另行协商补充：</w:t>
      </w:r>
      <w:r>
        <w:rPr>
          <w:rFonts w:hint="eastAsia" w:ascii="宋体" w:hAnsi="宋体" w:cs="宋体"/>
          <w:color w:val="auto"/>
          <w:sz w:val="24"/>
          <w:szCs w:val="24"/>
          <w:highlight w:val="none"/>
          <w:u w:val="single"/>
        </w:rPr>
        <w:t xml:space="preserve">                /                   </w:t>
      </w:r>
    </w:p>
    <w:p w14:paraId="3B4A1A87">
      <w:pPr>
        <w:pStyle w:val="3"/>
        <w:rPr>
          <w:rFonts w:hint="eastAsia"/>
          <w:highlight w:val="none"/>
        </w:rPr>
      </w:pPr>
    </w:p>
    <w:tbl>
      <w:tblPr>
        <w:tblStyle w:val="4"/>
        <w:tblW w:w="4869" w:type="pct"/>
        <w:tblInd w:w="96"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461"/>
        <w:gridCol w:w="3838"/>
      </w:tblGrid>
      <w:tr w14:paraId="3805901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4950A2D1">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甲  方</w:t>
            </w:r>
          </w:p>
        </w:tc>
        <w:tc>
          <w:tcPr>
            <w:tcW w:w="2312" w:type="pct"/>
            <w:tcBorders>
              <w:tl2br w:val="nil"/>
              <w:tr2bl w:val="nil"/>
            </w:tcBorders>
            <w:noWrap/>
            <w:vAlign w:val="center"/>
          </w:tcPr>
          <w:p w14:paraId="72F25CB0">
            <w:pPr>
              <w:tabs>
                <w:tab w:val="left" w:pos="347"/>
              </w:tabs>
              <w:autoSpaceDE w:val="0"/>
              <w:autoSpaceDN w:val="0"/>
              <w:adjustRightInd w:val="0"/>
              <w:spacing w:after="0"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乙  方</w:t>
            </w:r>
          </w:p>
        </w:tc>
      </w:tr>
      <w:tr w14:paraId="1F36712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2" w:hRule="atLeast"/>
        </w:trPr>
        <w:tc>
          <w:tcPr>
            <w:tcW w:w="2687" w:type="pct"/>
            <w:tcBorders>
              <w:tl2br w:val="nil"/>
              <w:tr2bl w:val="nil"/>
            </w:tcBorders>
            <w:noWrap/>
            <w:vAlign w:val="center"/>
          </w:tcPr>
          <w:p w14:paraId="6ACB4525">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c>
          <w:tcPr>
            <w:tcW w:w="2312" w:type="pct"/>
            <w:tcBorders>
              <w:tl2br w:val="nil"/>
              <w:tr2bl w:val="nil"/>
            </w:tcBorders>
            <w:noWrap/>
            <w:vAlign w:val="center"/>
          </w:tcPr>
          <w:p w14:paraId="2E04B235">
            <w:pPr>
              <w:autoSpaceDE w:val="0"/>
              <w:autoSpaceDN w:val="0"/>
              <w:adjustRightInd w:val="0"/>
              <w:spacing w:line="360" w:lineRule="auto"/>
              <w:jc w:val="center"/>
              <w:rPr>
                <w:rFonts w:hint="eastAsia" w:ascii="宋体" w:hAnsi="宋体" w:cs="宋体"/>
                <w:bCs/>
                <w:color w:val="auto"/>
                <w:sz w:val="24"/>
                <w:szCs w:val="24"/>
                <w:highlight w:val="none"/>
              </w:rPr>
            </w:pPr>
            <w:r>
              <w:rPr>
                <w:rFonts w:hint="eastAsia" w:ascii="宋体" w:hAnsi="宋体" w:cs="宋体"/>
                <w:bCs/>
                <w:color w:val="auto"/>
                <w:sz w:val="24"/>
                <w:szCs w:val="24"/>
                <w:highlight w:val="none"/>
              </w:rPr>
              <w:t>（公章）</w:t>
            </w:r>
          </w:p>
        </w:tc>
      </w:tr>
      <w:tr w14:paraId="4334E8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2687" w:type="pct"/>
            <w:tcBorders>
              <w:tl2br w:val="nil"/>
              <w:tr2bl w:val="nil"/>
            </w:tcBorders>
            <w:noWrap/>
            <w:vAlign w:val="center"/>
          </w:tcPr>
          <w:p w14:paraId="3C10632C">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eastAsia="宋体" w:cs="宋体"/>
                <w:bCs/>
                <w:color w:val="auto"/>
                <w:sz w:val="24"/>
                <w:szCs w:val="24"/>
                <w:highlight w:val="none"/>
              </w:rPr>
              <w:t>地址：</w:t>
            </w:r>
          </w:p>
        </w:tc>
        <w:tc>
          <w:tcPr>
            <w:tcW w:w="2312" w:type="pct"/>
            <w:tcBorders>
              <w:tl2br w:val="nil"/>
              <w:tr2bl w:val="nil"/>
            </w:tcBorders>
            <w:noWrap/>
            <w:vAlign w:val="top"/>
          </w:tcPr>
          <w:p w14:paraId="3D9A7954">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地址：</w:t>
            </w:r>
          </w:p>
        </w:tc>
      </w:tr>
      <w:tr w14:paraId="125B37D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89" w:hRule="atLeast"/>
        </w:trPr>
        <w:tc>
          <w:tcPr>
            <w:tcW w:w="2687" w:type="pct"/>
            <w:tcBorders>
              <w:tl2br w:val="nil"/>
              <w:tr2bl w:val="nil"/>
            </w:tcBorders>
            <w:noWrap/>
            <w:vAlign w:val="center"/>
          </w:tcPr>
          <w:p w14:paraId="673C3262">
            <w:pPr>
              <w:autoSpaceDE w:val="0"/>
              <w:autoSpaceDN w:val="0"/>
              <w:adjustRightInd w:val="0"/>
              <w:spacing w:line="360" w:lineRule="auto"/>
              <w:rPr>
                <w:rFonts w:hint="eastAsia" w:ascii="宋体" w:hAnsi="宋体" w:eastAsia="宋体" w:cs="宋体"/>
                <w:bCs/>
                <w:color w:val="auto"/>
                <w:sz w:val="24"/>
                <w:szCs w:val="24"/>
                <w:highlight w:val="none"/>
                <w:lang w:eastAsia="zh-CN"/>
              </w:rPr>
            </w:pPr>
            <w:r>
              <w:rPr>
                <w:rFonts w:hint="eastAsia" w:ascii="宋体" w:hAnsi="宋体" w:cs="宋体"/>
                <w:bCs/>
                <w:color w:val="auto"/>
                <w:sz w:val="24"/>
                <w:szCs w:val="24"/>
                <w:highlight w:val="none"/>
              </w:rPr>
              <w:t>邮编：</w:t>
            </w:r>
            <w:r>
              <w:rPr>
                <w:rFonts w:hint="eastAsia" w:ascii="宋体" w:hAnsi="宋体" w:cs="宋体"/>
                <w:bCs/>
                <w:color w:val="auto"/>
                <w:sz w:val="24"/>
                <w:szCs w:val="24"/>
                <w:highlight w:val="none"/>
                <w:lang w:val="en-US" w:eastAsia="zh-CN"/>
              </w:rPr>
              <w:t xml:space="preserve"> </w:t>
            </w:r>
          </w:p>
        </w:tc>
        <w:tc>
          <w:tcPr>
            <w:tcW w:w="2312" w:type="pct"/>
            <w:tcBorders>
              <w:tl2br w:val="nil"/>
              <w:tr2bl w:val="nil"/>
            </w:tcBorders>
            <w:noWrap/>
            <w:vAlign w:val="center"/>
          </w:tcPr>
          <w:p w14:paraId="66B8F64A">
            <w:pPr>
              <w:autoSpaceDE w:val="0"/>
              <w:autoSpaceDN w:val="0"/>
              <w:adjustRightInd w:val="0"/>
              <w:spacing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邮编：</w:t>
            </w:r>
          </w:p>
        </w:tc>
      </w:tr>
      <w:tr w14:paraId="22E6FDB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8" w:hRule="atLeast"/>
        </w:trPr>
        <w:tc>
          <w:tcPr>
            <w:tcW w:w="2687" w:type="pct"/>
            <w:tcBorders>
              <w:tl2br w:val="nil"/>
              <w:tr2bl w:val="nil"/>
            </w:tcBorders>
            <w:noWrap/>
            <w:vAlign w:val="center"/>
          </w:tcPr>
          <w:p w14:paraId="14D05104">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c>
          <w:tcPr>
            <w:tcW w:w="2312" w:type="pct"/>
            <w:tcBorders>
              <w:tl2br w:val="nil"/>
              <w:tr2bl w:val="nil"/>
            </w:tcBorders>
            <w:noWrap/>
            <w:vAlign w:val="center"/>
          </w:tcPr>
          <w:p w14:paraId="5D6CA158">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法定代表人：</w:t>
            </w:r>
          </w:p>
        </w:tc>
      </w:tr>
      <w:tr w14:paraId="143947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687" w:type="pct"/>
            <w:tcBorders>
              <w:tl2br w:val="nil"/>
              <w:tr2bl w:val="nil"/>
            </w:tcBorders>
            <w:noWrap/>
            <w:vAlign w:val="center"/>
          </w:tcPr>
          <w:p w14:paraId="04417299">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负责人：</w:t>
            </w:r>
          </w:p>
        </w:tc>
        <w:tc>
          <w:tcPr>
            <w:tcW w:w="2312" w:type="pct"/>
            <w:tcBorders>
              <w:tl2br w:val="nil"/>
              <w:tr2bl w:val="nil"/>
            </w:tcBorders>
            <w:noWrap/>
            <w:vAlign w:val="center"/>
          </w:tcPr>
          <w:p w14:paraId="5BEAE32C">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负责人：</w:t>
            </w:r>
          </w:p>
        </w:tc>
      </w:tr>
      <w:tr w14:paraId="6D547F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2687" w:type="pct"/>
            <w:tcBorders>
              <w:tl2br w:val="nil"/>
              <w:tr2bl w:val="nil"/>
            </w:tcBorders>
            <w:noWrap/>
            <w:vAlign w:val="center"/>
          </w:tcPr>
          <w:p w14:paraId="3CDB4689">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c>
          <w:tcPr>
            <w:tcW w:w="2312" w:type="pct"/>
            <w:tcBorders>
              <w:tl2br w:val="nil"/>
              <w:tr2bl w:val="nil"/>
            </w:tcBorders>
            <w:noWrap/>
            <w:vAlign w:val="center"/>
          </w:tcPr>
          <w:p w14:paraId="2654A37A">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电话：</w:t>
            </w:r>
          </w:p>
        </w:tc>
      </w:tr>
      <w:tr w14:paraId="481845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2687" w:type="pct"/>
            <w:tcBorders>
              <w:tl2br w:val="nil"/>
              <w:tr2bl w:val="nil"/>
            </w:tcBorders>
            <w:noWrap/>
            <w:vAlign w:val="center"/>
          </w:tcPr>
          <w:p w14:paraId="61E634FC">
            <w:pPr>
              <w:tabs>
                <w:tab w:val="left" w:pos="347"/>
              </w:tabs>
              <w:autoSpaceDE w:val="0"/>
              <w:autoSpaceDN w:val="0"/>
              <w:adjustRightInd w:val="0"/>
              <w:spacing w:after="0" w:line="360" w:lineRule="auto"/>
              <w:rPr>
                <w:rFonts w:hint="eastAsia" w:ascii="宋体" w:hAnsi="宋体" w:cs="宋体"/>
                <w:bCs/>
                <w:color w:val="auto"/>
                <w:sz w:val="24"/>
                <w:szCs w:val="24"/>
                <w:highlight w:val="none"/>
              </w:rPr>
            </w:pPr>
          </w:p>
        </w:tc>
        <w:tc>
          <w:tcPr>
            <w:tcW w:w="2312" w:type="pct"/>
            <w:tcBorders>
              <w:tl2br w:val="nil"/>
              <w:tr2bl w:val="nil"/>
            </w:tcBorders>
            <w:noWrap/>
            <w:vAlign w:val="top"/>
          </w:tcPr>
          <w:p w14:paraId="0E7CBB0D">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开户银行：</w:t>
            </w:r>
          </w:p>
        </w:tc>
      </w:tr>
      <w:tr w14:paraId="1B633CD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2687" w:type="pct"/>
            <w:tcBorders>
              <w:tl2br w:val="nil"/>
              <w:tr2bl w:val="nil"/>
            </w:tcBorders>
            <w:noWrap/>
            <w:vAlign w:val="center"/>
          </w:tcPr>
          <w:p w14:paraId="716FF723">
            <w:pPr>
              <w:tabs>
                <w:tab w:val="left" w:pos="347"/>
              </w:tabs>
              <w:autoSpaceDE w:val="0"/>
              <w:autoSpaceDN w:val="0"/>
              <w:adjustRightInd w:val="0"/>
              <w:spacing w:after="0" w:line="360" w:lineRule="auto"/>
              <w:rPr>
                <w:rFonts w:hint="eastAsia" w:ascii="宋体" w:hAnsi="宋体" w:cs="宋体"/>
                <w:bCs/>
                <w:color w:val="auto"/>
                <w:sz w:val="24"/>
                <w:szCs w:val="24"/>
                <w:highlight w:val="none"/>
              </w:rPr>
            </w:pPr>
          </w:p>
        </w:tc>
        <w:tc>
          <w:tcPr>
            <w:tcW w:w="2312" w:type="pct"/>
            <w:tcBorders>
              <w:tl2br w:val="nil"/>
              <w:tr2bl w:val="nil"/>
            </w:tcBorders>
            <w:noWrap/>
            <w:vAlign w:val="center"/>
          </w:tcPr>
          <w:p w14:paraId="1E8569E8">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账号：</w:t>
            </w:r>
          </w:p>
        </w:tc>
      </w:tr>
      <w:tr w14:paraId="537EB54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6" w:hRule="atLeast"/>
        </w:trPr>
        <w:tc>
          <w:tcPr>
            <w:tcW w:w="2687" w:type="pct"/>
            <w:tcBorders>
              <w:tl2br w:val="nil"/>
              <w:tr2bl w:val="nil"/>
            </w:tcBorders>
            <w:noWrap/>
            <w:vAlign w:val="center"/>
          </w:tcPr>
          <w:p w14:paraId="2DAAC98A">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c>
          <w:tcPr>
            <w:tcW w:w="2312" w:type="pct"/>
            <w:tcBorders>
              <w:tl2br w:val="nil"/>
              <w:tr2bl w:val="nil"/>
            </w:tcBorders>
            <w:noWrap/>
            <w:vAlign w:val="center"/>
          </w:tcPr>
          <w:p w14:paraId="6135C763">
            <w:pPr>
              <w:tabs>
                <w:tab w:val="left" w:pos="347"/>
              </w:tabs>
              <w:autoSpaceDE w:val="0"/>
              <w:autoSpaceDN w:val="0"/>
              <w:adjustRightInd w:val="0"/>
              <w:spacing w:after="0" w:line="360" w:lineRule="auto"/>
              <w:rPr>
                <w:rFonts w:hint="eastAsia" w:ascii="宋体" w:hAnsi="宋体" w:cs="宋体"/>
                <w:bCs/>
                <w:color w:val="auto"/>
                <w:sz w:val="24"/>
                <w:szCs w:val="24"/>
                <w:highlight w:val="none"/>
              </w:rPr>
            </w:pPr>
            <w:r>
              <w:rPr>
                <w:rFonts w:hint="eastAsia" w:ascii="宋体" w:hAnsi="宋体" w:cs="宋体"/>
                <w:bCs/>
                <w:color w:val="auto"/>
                <w:sz w:val="24"/>
                <w:szCs w:val="24"/>
                <w:highlight w:val="none"/>
              </w:rPr>
              <w:t>日期：   年   月   日</w:t>
            </w:r>
          </w:p>
        </w:tc>
      </w:tr>
    </w:tbl>
    <w:p w14:paraId="467CBBA1">
      <w:r>
        <w:rPr>
          <w:rFonts w:ascii="宋体" w:hAnsi="宋体"/>
          <w:bCs/>
          <w:color w:val="auto"/>
          <w:highlight w:val="none"/>
        </w:rPr>
        <w:br w:type="page"/>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BjMTUwMjhmNmI2ZmVlMTBkYzRmYzI5MTBmNTk5ODUifQ=="/>
  </w:docVars>
  <w:rsids>
    <w:rsidRoot w:val="515962D7"/>
    <w:rsid w:val="0CF85966"/>
    <w:rsid w:val="2C88151C"/>
    <w:rsid w:val="51596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toc 1"/>
    <w:basedOn w:val="1"/>
    <w:next w:val="1"/>
    <w:qFormat/>
    <w:uiPriority w:val="39"/>
    <w:pPr>
      <w:spacing w:line="240" w:lineRule="auto"/>
    </w:pPr>
  </w:style>
  <w:style w:type="table" w:customStyle="1" w:styleId="6">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5677</Words>
  <Characters>5823</Characters>
  <Lines>0</Lines>
  <Paragraphs>0</Paragraphs>
  <TotalTime>2</TotalTime>
  <ScaleCrop>false</ScaleCrop>
  <LinksUpToDate>false</LinksUpToDate>
  <CharactersWithSpaces>5956</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2024-10-10T08:41:00Z</dcterms:created>
  <dc:creator>刘菲</dc:creator>
  <cp:lastModifiedBy>刘菲</cp:lastModifiedBy>
  <dcterms:modified xsi:type="dcterms:W3CDTF">2024-10-17T07:26:21Z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9246631F81EB48CEB1D7949222D8AA4A_13</vt:lpwstr>
  </property>
</Properties>
</file>