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711173">
      <w:pPr>
        <w:pStyle w:val="3"/>
        <w:keepNext/>
        <w:keepLines/>
        <w:pageBreakBefore w:val="0"/>
        <w:widowControl w:val="0"/>
        <w:numPr>
          <w:ilvl w:val="0"/>
          <w:numId w:val="0"/>
        </w:numPr>
        <w:kinsoku/>
        <w:wordWrap/>
        <w:overflowPunct/>
        <w:topLinePunct w:val="0"/>
        <w:autoSpaceDE/>
        <w:autoSpaceDN/>
        <w:bidi w:val="0"/>
        <w:adjustRightInd/>
        <w:snapToGrid/>
        <w:spacing w:line="240" w:lineRule="auto"/>
        <w:ind w:firstLine="723" w:firstLineChars="200"/>
        <w:jc w:val="center"/>
        <w:textAlignment w:val="auto"/>
        <w:rPr>
          <w:rFonts w:hint="eastAsia" w:ascii="宋体" w:hAnsi="宋体" w:eastAsia="宋体" w:cs="宋体"/>
          <w:b/>
          <w:color w:val="auto"/>
          <w:sz w:val="36"/>
          <w:szCs w:val="36"/>
          <w:highlight w:val="none"/>
          <w:lang w:val="en-US" w:eastAsia="zh-CN"/>
        </w:rPr>
      </w:pPr>
      <w:bookmarkStart w:id="0" w:name="_Toc6987"/>
      <w:r>
        <w:rPr>
          <w:rFonts w:hint="eastAsia" w:ascii="宋体" w:hAnsi="宋体" w:eastAsia="宋体" w:cs="宋体"/>
          <w:b/>
          <w:color w:val="auto"/>
          <w:sz w:val="36"/>
          <w:szCs w:val="36"/>
          <w:highlight w:val="none"/>
          <w:lang w:val="en-US" w:eastAsia="zh-CN"/>
        </w:rPr>
        <w:t>拟签订的合同文本</w:t>
      </w:r>
    </w:p>
    <w:bookmarkEnd w:id="0"/>
    <w:p w14:paraId="72A2F9E8">
      <w:pPr>
        <w:pStyle w:val="3"/>
        <w:keepNext/>
        <w:keepLines/>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采购人（甲方）：</w:t>
      </w:r>
    </w:p>
    <w:p w14:paraId="64B7BED4">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rPr>
      </w:pPr>
      <w:bookmarkStart w:id="1" w:name="_Toc22646"/>
      <w:r>
        <w:rPr>
          <w:rFonts w:hint="eastAsia" w:ascii="宋体" w:hAnsi="宋体" w:eastAsia="宋体" w:cs="宋体"/>
          <w:b w:val="0"/>
          <w:color w:val="auto"/>
          <w:sz w:val="21"/>
          <w:szCs w:val="21"/>
          <w:highlight w:val="none"/>
        </w:rPr>
        <w:t>供应商（乙方）：</w:t>
      </w:r>
      <w:bookmarkEnd w:id="1"/>
    </w:p>
    <w:p w14:paraId="318F5306">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rPr>
      </w:pPr>
      <w:bookmarkStart w:id="2" w:name="_Toc3491"/>
      <w:r>
        <w:rPr>
          <w:rFonts w:hint="eastAsia" w:ascii="宋体" w:hAnsi="宋体" w:eastAsia="宋体" w:cs="宋体"/>
          <w:b w:val="0"/>
          <w:color w:val="auto"/>
          <w:sz w:val="21"/>
          <w:szCs w:val="21"/>
          <w:highlight w:val="none"/>
        </w:rPr>
        <w:t>根据《中华人民共和国政府采购法》、《中华人民共和国民法典》及采购项目</w:t>
      </w:r>
      <w:r>
        <w:rPr>
          <w:rFonts w:hint="eastAsia" w:ascii="宋体" w:hAnsi="宋体" w:eastAsia="宋体" w:cs="宋体"/>
          <w:b w:val="0"/>
          <w:color w:val="auto"/>
          <w:sz w:val="21"/>
          <w:szCs w:val="21"/>
          <w:highlight w:val="none"/>
          <w:u w:val="single"/>
          <w:lang w:val="en-US" w:eastAsia="zh-CN"/>
        </w:rPr>
        <w:t xml:space="preserve">    </w:t>
      </w:r>
      <w:r>
        <w:rPr>
          <w:rFonts w:hint="eastAsia" w:ascii="宋体" w:hAnsi="宋体" w:eastAsia="宋体" w:cs="宋体"/>
          <w:b w:val="0"/>
          <w:color w:val="auto"/>
          <w:sz w:val="21"/>
          <w:szCs w:val="21"/>
          <w:highlight w:val="none"/>
        </w:rPr>
        <w:t>（项目编号</w:t>
      </w:r>
      <w:r>
        <w:rPr>
          <w:rFonts w:hint="eastAsia" w:ascii="宋体" w:hAnsi="宋体" w:eastAsia="宋体" w:cs="宋体"/>
          <w:b w:val="0"/>
          <w:color w:val="auto"/>
          <w:sz w:val="21"/>
          <w:szCs w:val="21"/>
          <w:highlight w:val="none"/>
          <w:lang w:eastAsia="zh-CN"/>
        </w:rPr>
        <w:t>：</w:t>
      </w:r>
      <w:r>
        <w:rPr>
          <w:rFonts w:hint="eastAsia" w:ascii="宋体" w:hAnsi="宋体" w:eastAsia="宋体" w:cs="宋体"/>
          <w:b w:val="0"/>
          <w:color w:val="auto"/>
          <w:sz w:val="21"/>
          <w:szCs w:val="21"/>
          <w:highlight w:val="none"/>
          <w:u w:val="single"/>
          <w:lang w:val="en-US" w:eastAsia="zh-CN"/>
        </w:rPr>
        <w:t xml:space="preserve">      </w:t>
      </w:r>
      <w:r>
        <w:rPr>
          <w:rFonts w:hint="eastAsia" w:ascii="宋体" w:hAnsi="宋体" w:eastAsia="宋体" w:cs="宋体"/>
          <w:b w:val="0"/>
          <w:color w:val="auto"/>
          <w:sz w:val="21"/>
          <w:szCs w:val="21"/>
          <w:highlight w:val="none"/>
        </w:rPr>
        <w:t>）的《竞争性磋商文件》、乙方的《竞争性磋商响应文件》及《</w:t>
      </w:r>
      <w:r>
        <w:rPr>
          <w:rFonts w:hint="eastAsia" w:ascii="宋体" w:hAnsi="宋体" w:eastAsia="宋体" w:cs="宋体"/>
          <w:b w:val="0"/>
          <w:color w:val="auto"/>
          <w:sz w:val="21"/>
          <w:szCs w:val="21"/>
          <w:highlight w:val="none"/>
          <w:lang w:eastAsia="zh-CN"/>
        </w:rPr>
        <w:t>成交通知书</w:t>
      </w:r>
      <w:r>
        <w:rPr>
          <w:rFonts w:hint="eastAsia" w:ascii="宋体" w:hAnsi="宋体" w:eastAsia="宋体" w:cs="宋体"/>
          <w:b w:val="0"/>
          <w:color w:val="auto"/>
          <w:sz w:val="21"/>
          <w:szCs w:val="21"/>
          <w:highlight w:val="none"/>
        </w:rPr>
        <w:t>》，甲、乙双方同意签订本合同。详细技术说明及其他有关合同项目的特定信息由合同附件予以说明，合同附件及本项目的</w:t>
      </w:r>
      <w:r>
        <w:rPr>
          <w:rFonts w:hint="eastAsia" w:ascii="宋体" w:hAnsi="宋体" w:eastAsia="宋体" w:cs="宋体"/>
          <w:b w:val="0"/>
          <w:color w:val="auto"/>
          <w:sz w:val="21"/>
          <w:szCs w:val="21"/>
          <w:highlight w:val="none"/>
          <w:lang w:eastAsia="zh-CN"/>
        </w:rPr>
        <w:t>磋商文件</w:t>
      </w:r>
      <w:r>
        <w:rPr>
          <w:rFonts w:hint="eastAsia" w:ascii="宋体" w:hAnsi="宋体" w:eastAsia="宋体" w:cs="宋体"/>
          <w:b w:val="0"/>
          <w:color w:val="auto"/>
          <w:sz w:val="21"/>
          <w:szCs w:val="21"/>
          <w:highlight w:val="none"/>
        </w:rPr>
        <w:t>、</w:t>
      </w:r>
      <w:r>
        <w:rPr>
          <w:rFonts w:hint="eastAsia" w:ascii="宋体" w:hAnsi="宋体" w:eastAsia="宋体" w:cs="宋体"/>
          <w:b w:val="0"/>
          <w:color w:val="auto"/>
          <w:sz w:val="21"/>
          <w:szCs w:val="21"/>
          <w:highlight w:val="none"/>
          <w:lang w:eastAsia="zh-CN"/>
        </w:rPr>
        <w:t>响应文件</w:t>
      </w:r>
      <w:r>
        <w:rPr>
          <w:rFonts w:hint="eastAsia" w:ascii="宋体" w:hAnsi="宋体" w:eastAsia="宋体" w:cs="宋体"/>
          <w:b w:val="0"/>
          <w:color w:val="auto"/>
          <w:sz w:val="21"/>
          <w:szCs w:val="21"/>
          <w:highlight w:val="none"/>
        </w:rPr>
        <w:t>、《</w:t>
      </w:r>
      <w:r>
        <w:rPr>
          <w:rFonts w:hint="eastAsia" w:ascii="宋体" w:hAnsi="宋体" w:eastAsia="宋体" w:cs="宋体"/>
          <w:b w:val="0"/>
          <w:color w:val="auto"/>
          <w:sz w:val="21"/>
          <w:szCs w:val="21"/>
          <w:highlight w:val="none"/>
          <w:lang w:eastAsia="zh-CN"/>
        </w:rPr>
        <w:t>成交通知书</w:t>
      </w:r>
      <w:r>
        <w:rPr>
          <w:rFonts w:hint="eastAsia" w:ascii="宋体" w:hAnsi="宋体" w:eastAsia="宋体" w:cs="宋体"/>
          <w:b w:val="0"/>
          <w:color w:val="auto"/>
          <w:sz w:val="21"/>
          <w:szCs w:val="21"/>
          <w:highlight w:val="none"/>
        </w:rPr>
        <w:t>》等均为本合同不可分割的部分。双方同意共同遵守如下条款：</w:t>
      </w:r>
      <w:bookmarkEnd w:id="2"/>
      <w:r>
        <w:rPr>
          <w:rFonts w:hint="eastAsia" w:ascii="宋体" w:hAnsi="宋体" w:eastAsia="宋体" w:cs="宋体"/>
          <w:b w:val="0"/>
          <w:color w:val="auto"/>
          <w:sz w:val="21"/>
          <w:szCs w:val="21"/>
          <w:highlight w:val="none"/>
        </w:rPr>
        <w:t xml:space="preserve"> </w:t>
      </w:r>
    </w:p>
    <w:p w14:paraId="7D21A1E5">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bookmarkStart w:id="3" w:name="_Toc13890"/>
      <w:r>
        <w:rPr>
          <w:rFonts w:hint="eastAsia" w:ascii="宋体" w:hAnsi="宋体" w:eastAsia="宋体" w:cs="宋体"/>
          <w:b w:val="0"/>
          <w:color w:val="auto"/>
          <w:sz w:val="21"/>
          <w:szCs w:val="21"/>
          <w:highlight w:val="none"/>
          <w:lang w:val="en-US" w:eastAsia="zh-CN"/>
        </w:rPr>
        <w:t>一、项目概况</w:t>
      </w:r>
      <w:bookmarkEnd w:id="3"/>
      <w:bookmarkStart w:id="55" w:name="_GoBack"/>
      <w:bookmarkEnd w:id="55"/>
    </w:p>
    <w:p w14:paraId="087A996C">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bookmarkStart w:id="4" w:name="_Toc31073"/>
      <w:r>
        <w:rPr>
          <w:rFonts w:hint="eastAsia" w:ascii="宋体" w:hAnsi="宋体" w:eastAsia="宋体" w:cs="宋体"/>
          <w:b w:val="0"/>
          <w:color w:val="auto"/>
          <w:sz w:val="21"/>
          <w:szCs w:val="21"/>
          <w:highlight w:val="none"/>
          <w:lang w:val="en-US" w:eastAsia="zh-CN"/>
        </w:rPr>
        <w:t>1.项目名称：</w:t>
      </w:r>
      <w:r>
        <w:rPr>
          <w:rFonts w:hint="eastAsia" w:ascii="宋体" w:hAnsi="宋体" w:eastAsia="宋体" w:cs="宋体"/>
          <w:b w:val="0"/>
          <w:color w:val="auto"/>
          <w:sz w:val="21"/>
          <w:szCs w:val="21"/>
          <w:highlight w:val="none"/>
          <w:u w:val="single"/>
          <w:lang w:val="en-US" w:eastAsia="zh-CN"/>
        </w:rPr>
        <w:t xml:space="preserve">                          </w:t>
      </w:r>
      <w:r>
        <w:rPr>
          <w:rFonts w:hint="eastAsia" w:ascii="宋体" w:hAnsi="宋体" w:eastAsia="宋体" w:cs="宋体"/>
          <w:b w:val="0"/>
          <w:color w:val="auto"/>
          <w:sz w:val="21"/>
          <w:szCs w:val="21"/>
          <w:highlight w:val="none"/>
          <w:lang w:val="en-US" w:eastAsia="zh-CN"/>
        </w:rPr>
        <w:t xml:space="preserve"> ；</w:t>
      </w:r>
      <w:bookmarkEnd w:id="4"/>
    </w:p>
    <w:p w14:paraId="54AC4D22">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bookmarkStart w:id="5" w:name="_Toc30910"/>
      <w:r>
        <w:rPr>
          <w:rFonts w:hint="eastAsia" w:ascii="宋体" w:hAnsi="宋体" w:eastAsia="宋体" w:cs="宋体"/>
          <w:b w:val="0"/>
          <w:color w:val="auto"/>
          <w:sz w:val="21"/>
          <w:szCs w:val="21"/>
          <w:highlight w:val="none"/>
          <w:lang w:val="en-US" w:eastAsia="zh-CN"/>
        </w:rPr>
        <w:t>2.项目地点：</w:t>
      </w:r>
      <w:r>
        <w:rPr>
          <w:rFonts w:hint="eastAsia" w:ascii="宋体" w:hAnsi="宋体" w:eastAsia="宋体" w:cs="宋体"/>
          <w:b w:val="0"/>
          <w:color w:val="auto"/>
          <w:sz w:val="21"/>
          <w:szCs w:val="21"/>
          <w:highlight w:val="none"/>
          <w:u w:val="single"/>
          <w:lang w:val="en-US" w:eastAsia="zh-CN"/>
        </w:rPr>
        <w:t xml:space="preserve">                          </w:t>
      </w:r>
      <w:r>
        <w:rPr>
          <w:rFonts w:hint="eastAsia" w:ascii="宋体" w:hAnsi="宋体" w:eastAsia="宋体" w:cs="宋体"/>
          <w:b w:val="0"/>
          <w:color w:val="auto"/>
          <w:sz w:val="21"/>
          <w:szCs w:val="21"/>
          <w:highlight w:val="none"/>
          <w:lang w:val="en-US" w:eastAsia="zh-CN"/>
        </w:rPr>
        <w:t xml:space="preserve"> 。</w:t>
      </w:r>
      <w:bookmarkEnd w:id="5"/>
    </w:p>
    <w:p w14:paraId="39C751BE">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bookmarkStart w:id="6" w:name="_Toc24934"/>
      <w:r>
        <w:rPr>
          <w:rFonts w:hint="eastAsia" w:ascii="宋体" w:hAnsi="宋体" w:eastAsia="宋体" w:cs="宋体"/>
          <w:b w:val="0"/>
          <w:color w:val="auto"/>
          <w:sz w:val="21"/>
          <w:szCs w:val="21"/>
          <w:highlight w:val="none"/>
          <w:lang w:val="en-US" w:eastAsia="zh-CN"/>
        </w:rPr>
        <w:t>二、组成本合同的文件</w:t>
      </w:r>
      <w:bookmarkEnd w:id="6"/>
    </w:p>
    <w:p w14:paraId="6A3818CF">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bookmarkStart w:id="7" w:name="_Toc28774"/>
      <w:bookmarkStart w:id="8" w:name="_Toc23481"/>
      <w:r>
        <w:rPr>
          <w:rFonts w:hint="eastAsia" w:ascii="宋体" w:hAnsi="宋体" w:eastAsia="宋体" w:cs="宋体"/>
          <w:b w:val="0"/>
          <w:color w:val="auto"/>
          <w:sz w:val="21"/>
          <w:szCs w:val="21"/>
          <w:highlight w:val="none"/>
          <w:lang w:val="en-US" w:eastAsia="zh-CN"/>
        </w:rPr>
        <w:t>1.本合同书</w:t>
      </w:r>
      <w:bookmarkEnd w:id="7"/>
    </w:p>
    <w:p w14:paraId="0ADFBAF9">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bookmarkStart w:id="9" w:name="_Toc12527"/>
      <w:r>
        <w:rPr>
          <w:rFonts w:hint="eastAsia" w:ascii="宋体" w:hAnsi="宋体" w:eastAsia="宋体" w:cs="宋体"/>
          <w:b w:val="0"/>
          <w:color w:val="auto"/>
          <w:sz w:val="21"/>
          <w:szCs w:val="21"/>
          <w:highlight w:val="none"/>
          <w:lang w:val="en-US" w:eastAsia="zh-CN"/>
        </w:rPr>
        <w:t>2.</w:t>
      </w:r>
      <w:bookmarkEnd w:id="9"/>
      <w:r>
        <w:rPr>
          <w:rFonts w:hint="eastAsia" w:ascii="宋体" w:hAnsi="宋体" w:eastAsia="宋体" w:cs="宋体"/>
          <w:b w:val="0"/>
          <w:color w:val="auto"/>
          <w:sz w:val="21"/>
          <w:szCs w:val="21"/>
          <w:highlight w:val="none"/>
          <w:lang w:val="en-US" w:eastAsia="zh-CN"/>
        </w:rPr>
        <w:t>成交通知书</w:t>
      </w:r>
    </w:p>
    <w:p w14:paraId="49F70E6D">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bookmarkStart w:id="10" w:name="_Toc3429"/>
      <w:r>
        <w:rPr>
          <w:rFonts w:hint="eastAsia" w:ascii="宋体" w:hAnsi="宋体" w:eastAsia="宋体" w:cs="宋体"/>
          <w:b w:val="0"/>
          <w:color w:val="auto"/>
          <w:sz w:val="21"/>
          <w:szCs w:val="21"/>
          <w:highlight w:val="none"/>
          <w:lang w:val="en-US" w:eastAsia="zh-CN"/>
        </w:rPr>
        <w:t>3.项目磋商文件</w:t>
      </w:r>
    </w:p>
    <w:p w14:paraId="64410812">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lang w:val="en-US" w:eastAsia="zh-CN"/>
        </w:rPr>
        <w:t>4.供应商响应文件</w:t>
      </w:r>
    </w:p>
    <w:p w14:paraId="4266974C">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lang w:val="en-US" w:eastAsia="zh-CN"/>
        </w:rPr>
        <w:t>5附录，即：附表内相关服务的范围和内容；</w:t>
      </w:r>
      <w:bookmarkEnd w:id="10"/>
    </w:p>
    <w:p w14:paraId="2A57CF27">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bookmarkStart w:id="11" w:name="_Toc10685"/>
      <w:r>
        <w:rPr>
          <w:rFonts w:hint="eastAsia" w:ascii="宋体" w:hAnsi="宋体" w:eastAsia="宋体" w:cs="宋体"/>
          <w:b w:val="0"/>
          <w:color w:val="auto"/>
          <w:sz w:val="21"/>
          <w:szCs w:val="21"/>
          <w:highlight w:val="none"/>
          <w:lang w:val="en-US" w:eastAsia="zh-CN"/>
        </w:rPr>
        <w:t>本合同签订后，双方依法签订的补充协议也是本合同文件的组成部分。</w:t>
      </w:r>
      <w:bookmarkEnd w:id="11"/>
    </w:p>
    <w:p w14:paraId="5E9A1649">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lang w:val="en-US" w:eastAsia="zh-CN"/>
        </w:rPr>
        <w:t>三、合同价款</w:t>
      </w:r>
      <w:bookmarkEnd w:id="8"/>
    </w:p>
    <w:p w14:paraId="57104162">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bookmarkStart w:id="12" w:name="_Toc7211"/>
      <w:r>
        <w:rPr>
          <w:rFonts w:hint="eastAsia" w:ascii="宋体" w:hAnsi="宋体" w:eastAsia="宋体" w:cs="宋体"/>
          <w:b w:val="0"/>
          <w:color w:val="auto"/>
          <w:sz w:val="21"/>
          <w:szCs w:val="21"/>
          <w:highlight w:val="none"/>
          <w:lang w:val="en-US" w:eastAsia="zh-CN"/>
        </w:rPr>
        <w:t>合同金额（大写）：</w:t>
      </w:r>
      <w:r>
        <w:rPr>
          <w:rFonts w:hint="eastAsia" w:ascii="宋体" w:hAnsi="宋体" w:eastAsia="宋体" w:cs="宋体"/>
          <w:b w:val="0"/>
          <w:color w:val="auto"/>
          <w:sz w:val="21"/>
          <w:szCs w:val="21"/>
          <w:highlight w:val="none"/>
          <w:u w:val="single"/>
          <w:lang w:val="en-US" w:eastAsia="zh-CN"/>
        </w:rPr>
        <w:t xml:space="preserve">                   </w:t>
      </w:r>
      <w:r>
        <w:rPr>
          <w:rFonts w:hint="eastAsia" w:ascii="宋体" w:hAnsi="宋体" w:eastAsia="宋体" w:cs="宋体"/>
          <w:b w:val="0"/>
          <w:color w:val="auto"/>
          <w:sz w:val="21"/>
          <w:szCs w:val="21"/>
          <w:highlight w:val="none"/>
          <w:lang w:val="en-US" w:eastAsia="zh-CN"/>
        </w:rPr>
        <w:t xml:space="preserve"> （¥ </w:t>
      </w:r>
      <w:r>
        <w:rPr>
          <w:rFonts w:hint="eastAsia" w:ascii="宋体" w:hAnsi="宋体" w:eastAsia="宋体" w:cs="宋体"/>
          <w:b w:val="0"/>
          <w:color w:val="auto"/>
          <w:sz w:val="21"/>
          <w:szCs w:val="21"/>
          <w:highlight w:val="none"/>
          <w:u w:val="single"/>
          <w:lang w:val="en-US" w:eastAsia="zh-CN"/>
        </w:rPr>
        <w:t xml:space="preserve">                </w:t>
      </w:r>
      <w:r>
        <w:rPr>
          <w:rFonts w:hint="eastAsia" w:ascii="宋体" w:hAnsi="宋体" w:eastAsia="宋体" w:cs="宋体"/>
          <w:b w:val="0"/>
          <w:color w:val="auto"/>
          <w:sz w:val="21"/>
          <w:szCs w:val="21"/>
          <w:highlight w:val="none"/>
          <w:lang w:val="en-US" w:eastAsia="zh-CN"/>
        </w:rPr>
        <w:t>）。合同总价即成交价，供应商提供产品所发生的一切费用（包括增值税等相关税费）等都已包含于合同价款中。</w:t>
      </w:r>
      <w:bookmarkEnd w:id="12"/>
    </w:p>
    <w:p w14:paraId="16BEE6CB">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bookmarkStart w:id="13" w:name="_Toc21848"/>
      <w:r>
        <w:rPr>
          <w:rFonts w:hint="eastAsia" w:ascii="宋体" w:hAnsi="宋体" w:eastAsia="宋体" w:cs="宋体"/>
          <w:b w:val="0"/>
          <w:color w:val="auto"/>
          <w:sz w:val="21"/>
          <w:szCs w:val="21"/>
          <w:highlight w:val="none"/>
          <w:lang w:val="en-US" w:eastAsia="zh-CN"/>
        </w:rPr>
        <w:t>合同总价一次包死，不受市场价变化或实际工作量变化的影响。</w:t>
      </w:r>
      <w:bookmarkEnd w:id="13"/>
    </w:p>
    <w:p w14:paraId="2D2EA511">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bookmarkStart w:id="14" w:name="_Toc305"/>
      <w:r>
        <w:rPr>
          <w:rFonts w:hint="eastAsia" w:ascii="宋体" w:hAnsi="宋体" w:eastAsia="宋体" w:cs="宋体"/>
          <w:b w:val="0"/>
          <w:color w:val="auto"/>
          <w:sz w:val="21"/>
          <w:szCs w:val="21"/>
          <w:highlight w:val="none"/>
          <w:lang w:val="en-US" w:eastAsia="zh-CN"/>
        </w:rPr>
        <w:t>四、结算方式</w:t>
      </w:r>
      <w:bookmarkEnd w:id="14"/>
    </w:p>
    <w:p w14:paraId="244BFDF9">
      <w:pPr>
        <w:pStyle w:val="3"/>
        <w:keepNext/>
        <w:keepLines/>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bookmarkStart w:id="15" w:name="_Toc25604"/>
      <w:r>
        <w:rPr>
          <w:rFonts w:hint="eastAsia" w:ascii="宋体" w:hAnsi="宋体" w:eastAsia="宋体" w:cs="宋体"/>
          <w:b w:val="0"/>
          <w:color w:val="auto"/>
          <w:sz w:val="21"/>
          <w:szCs w:val="21"/>
          <w:highlight w:val="none"/>
          <w:lang w:val="en-US" w:eastAsia="zh-CN"/>
        </w:rPr>
        <w:t>1.付款条件</w:t>
      </w:r>
    </w:p>
    <w:p w14:paraId="1DC91A0E">
      <w:pPr>
        <w:pStyle w:val="3"/>
        <w:keepNext/>
        <w:keepLines/>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lang w:val="en-US" w:eastAsia="zh-CN"/>
        </w:rPr>
        <w:t>①付款条件说明：按照《陕西省财政厅关于进一步加大政府采购支持中小企业力度的通知》(陕财办采〔2022〕5号)中“授予中小企业政府采购合同付款比例不得低于合同价款的40%。”要求，预付50%服务费，合同签订生效后 ，达到付款条件起 10 日内，支付合同总金额的 50.00%。</w:t>
      </w:r>
    </w:p>
    <w:p w14:paraId="01484795">
      <w:pPr>
        <w:pStyle w:val="3"/>
        <w:keepNext/>
        <w:keepLines/>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lang w:val="en-US" w:eastAsia="zh-CN"/>
        </w:rPr>
        <w:t>②付款条件说明：后续服务费按照财政资金支付进度要求，在服务商向采购人提供保函后，达到付款条件起 10 日内，采购人将剩余服务费拨付服务商，服务商确保专款专用，确保各项合同内容顺利完成（合同期结束前15天，采购人根据项目期服务情况进行核验。若发生合同约定的扣款行为，服务商根据核算结果，将扣款5日内原路径退回采购人账户） 。</w:t>
      </w:r>
    </w:p>
    <w:p w14:paraId="5C6F6A9F">
      <w:pPr>
        <w:pStyle w:val="3"/>
        <w:keepNext/>
        <w:keepLines/>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lang w:val="en-US" w:eastAsia="zh-CN"/>
        </w:rPr>
        <w:t>2.结算方式：供应商提供相关付款申请，经采购人审核供应商提供等额增值税普通发票后，进行结算。</w:t>
      </w:r>
    </w:p>
    <w:p w14:paraId="5E2B0C5C">
      <w:pPr>
        <w:pStyle w:val="3"/>
        <w:keepNext/>
        <w:keepLines/>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lang w:val="en-US" w:eastAsia="zh-CN"/>
        </w:rPr>
        <w:t>五、服务期：</w:t>
      </w:r>
      <w:bookmarkEnd w:id="15"/>
      <w:r>
        <w:rPr>
          <w:rFonts w:hint="eastAsia" w:ascii="宋体" w:hAnsi="宋体" w:eastAsia="宋体" w:cs="宋体"/>
          <w:b w:val="0"/>
          <w:color w:val="auto"/>
          <w:sz w:val="21"/>
          <w:szCs w:val="21"/>
          <w:highlight w:val="none"/>
          <w:lang w:val="en-US" w:eastAsia="zh-CN"/>
        </w:rPr>
        <w:t xml:space="preserve">1年 </w:t>
      </w:r>
    </w:p>
    <w:p w14:paraId="7BB5F182">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bookmarkStart w:id="16" w:name="_Toc19918"/>
      <w:r>
        <w:rPr>
          <w:rFonts w:hint="eastAsia" w:ascii="宋体" w:hAnsi="宋体" w:eastAsia="宋体" w:cs="宋体"/>
          <w:b w:val="0"/>
          <w:color w:val="auto"/>
          <w:sz w:val="21"/>
          <w:szCs w:val="21"/>
          <w:highlight w:val="none"/>
          <w:lang w:val="en-US" w:eastAsia="zh-CN"/>
        </w:rPr>
        <w:t>六、服务内容及要求</w:t>
      </w:r>
      <w:bookmarkEnd w:id="16"/>
    </w:p>
    <w:p w14:paraId="75B307FC">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bookmarkStart w:id="17" w:name="_Toc12866"/>
      <w:r>
        <w:rPr>
          <w:rFonts w:hint="eastAsia" w:ascii="宋体" w:hAnsi="宋体" w:eastAsia="宋体" w:cs="宋体"/>
          <w:b w:val="0"/>
          <w:color w:val="auto"/>
          <w:sz w:val="21"/>
          <w:szCs w:val="21"/>
          <w:highlight w:val="none"/>
          <w:lang w:val="en-US" w:eastAsia="zh-CN"/>
        </w:rPr>
        <w:t>即交付的服务内容、数量与响应文件、磋商文件等所指明的，或者与本合同所指明的服务内容相一致。（附清单）</w:t>
      </w:r>
      <w:bookmarkEnd w:id="17"/>
    </w:p>
    <w:p w14:paraId="77D7E78C">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bookmarkStart w:id="18" w:name="_Toc8416"/>
      <w:r>
        <w:rPr>
          <w:rFonts w:hint="eastAsia" w:ascii="宋体" w:hAnsi="宋体" w:eastAsia="宋体" w:cs="宋体"/>
          <w:b w:val="0"/>
          <w:color w:val="auto"/>
          <w:sz w:val="21"/>
          <w:szCs w:val="21"/>
          <w:highlight w:val="none"/>
          <w:lang w:val="en-US" w:eastAsia="zh-CN"/>
        </w:rPr>
        <w:t>七、双方承诺</w:t>
      </w:r>
      <w:bookmarkEnd w:id="18"/>
    </w:p>
    <w:p w14:paraId="5DD96D9E">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bookmarkStart w:id="19" w:name="_Toc15558"/>
      <w:r>
        <w:rPr>
          <w:rFonts w:hint="eastAsia" w:ascii="宋体" w:hAnsi="宋体" w:eastAsia="宋体" w:cs="宋体"/>
          <w:b w:val="0"/>
          <w:color w:val="auto"/>
          <w:sz w:val="21"/>
          <w:szCs w:val="21"/>
          <w:highlight w:val="none"/>
          <w:lang w:val="en-US" w:eastAsia="zh-CN"/>
        </w:rPr>
        <w:t>1. 供应商向采购人承诺，按照本合同约定提供相关服务。</w:t>
      </w:r>
      <w:bookmarkEnd w:id="19"/>
    </w:p>
    <w:p w14:paraId="3CD99ACD">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bookmarkStart w:id="20" w:name="_Toc16072"/>
      <w:r>
        <w:rPr>
          <w:rFonts w:hint="eastAsia" w:ascii="宋体" w:hAnsi="宋体" w:eastAsia="宋体" w:cs="宋体"/>
          <w:b w:val="0"/>
          <w:color w:val="auto"/>
          <w:sz w:val="21"/>
          <w:szCs w:val="21"/>
          <w:highlight w:val="none"/>
          <w:lang w:val="en-US" w:eastAsia="zh-CN"/>
        </w:rPr>
        <w:t>2. 采购人向供应商承诺，按照本合同约定支付服务款项。</w:t>
      </w:r>
      <w:bookmarkEnd w:id="20"/>
    </w:p>
    <w:p w14:paraId="0DDF9DE8">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bookmarkStart w:id="21" w:name="_Toc20690"/>
      <w:r>
        <w:rPr>
          <w:rFonts w:hint="eastAsia" w:ascii="宋体" w:hAnsi="宋体" w:eastAsia="宋体" w:cs="宋体"/>
          <w:b w:val="0"/>
          <w:color w:val="auto"/>
          <w:sz w:val="21"/>
          <w:szCs w:val="21"/>
          <w:highlight w:val="none"/>
          <w:lang w:val="en-US" w:eastAsia="zh-CN"/>
        </w:rPr>
        <w:t>八、项目服务地点</w:t>
      </w:r>
      <w:bookmarkEnd w:id="21"/>
    </w:p>
    <w:p w14:paraId="22A65E79">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bookmarkStart w:id="22" w:name="_Toc18157"/>
      <w:r>
        <w:rPr>
          <w:rFonts w:hint="eastAsia" w:ascii="宋体" w:hAnsi="宋体" w:eastAsia="宋体" w:cs="宋体"/>
          <w:b w:val="0"/>
          <w:color w:val="auto"/>
          <w:sz w:val="21"/>
          <w:szCs w:val="21"/>
          <w:highlight w:val="none"/>
          <w:lang w:val="en-US" w:eastAsia="zh-CN"/>
        </w:rPr>
        <w:t>采购人指定地点</w:t>
      </w:r>
      <w:bookmarkEnd w:id="22"/>
    </w:p>
    <w:p w14:paraId="7C19C1D2">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bookmarkStart w:id="23" w:name="_Toc17058"/>
      <w:r>
        <w:rPr>
          <w:rFonts w:hint="eastAsia" w:ascii="宋体" w:hAnsi="宋体" w:eastAsia="宋体" w:cs="宋体"/>
          <w:b w:val="0"/>
          <w:color w:val="auto"/>
          <w:sz w:val="21"/>
          <w:szCs w:val="21"/>
          <w:highlight w:val="none"/>
          <w:lang w:val="en-US" w:eastAsia="zh-CN"/>
        </w:rPr>
        <w:t>九、服务和质量要求</w:t>
      </w:r>
      <w:bookmarkEnd w:id="23"/>
    </w:p>
    <w:p w14:paraId="5F495706">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bookmarkStart w:id="24" w:name="_Toc19813"/>
      <w:r>
        <w:rPr>
          <w:rFonts w:hint="eastAsia" w:ascii="宋体" w:hAnsi="宋体" w:eastAsia="宋体" w:cs="宋体"/>
          <w:b w:val="0"/>
          <w:color w:val="auto"/>
          <w:sz w:val="21"/>
          <w:szCs w:val="21"/>
          <w:highlight w:val="none"/>
          <w:lang w:val="en-US" w:eastAsia="zh-CN"/>
        </w:rPr>
        <w:t>必须达到项目采购文件所要求的标准。</w:t>
      </w:r>
      <w:bookmarkEnd w:id="24"/>
    </w:p>
    <w:p w14:paraId="37C4EBC4">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bookmarkStart w:id="25" w:name="_Toc11179"/>
      <w:r>
        <w:rPr>
          <w:rFonts w:hint="eastAsia" w:ascii="宋体" w:hAnsi="宋体" w:eastAsia="宋体" w:cs="宋体"/>
          <w:b w:val="0"/>
          <w:color w:val="auto"/>
          <w:sz w:val="21"/>
          <w:szCs w:val="21"/>
          <w:highlight w:val="none"/>
          <w:lang w:val="en-US" w:eastAsia="zh-CN"/>
        </w:rPr>
        <w:t>十、双方权利和义务</w:t>
      </w:r>
      <w:bookmarkEnd w:id="25"/>
    </w:p>
    <w:p w14:paraId="02C3CB1E">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bookmarkStart w:id="26" w:name="_Toc27802"/>
      <w:r>
        <w:rPr>
          <w:rFonts w:hint="eastAsia" w:ascii="宋体" w:hAnsi="宋体" w:eastAsia="宋体" w:cs="宋体"/>
          <w:b w:val="0"/>
          <w:color w:val="auto"/>
          <w:sz w:val="21"/>
          <w:szCs w:val="21"/>
          <w:highlight w:val="none"/>
          <w:lang w:val="en-US" w:eastAsia="zh-CN"/>
        </w:rPr>
        <w:t>1、采购人有权监督供应商工作执行情况并进行评估考核；</w:t>
      </w:r>
      <w:bookmarkEnd w:id="26"/>
    </w:p>
    <w:p w14:paraId="2874D548">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bookmarkStart w:id="27" w:name="_Toc20535"/>
      <w:r>
        <w:rPr>
          <w:rFonts w:hint="eastAsia" w:ascii="宋体" w:hAnsi="宋体" w:eastAsia="宋体" w:cs="宋体"/>
          <w:b w:val="0"/>
          <w:color w:val="auto"/>
          <w:sz w:val="21"/>
          <w:szCs w:val="21"/>
          <w:highlight w:val="none"/>
          <w:lang w:val="en-US" w:eastAsia="zh-CN"/>
        </w:rPr>
        <w:t>2、采购人有权向供应商提出合理化建议，供应商应予以采纳；</w:t>
      </w:r>
      <w:bookmarkEnd w:id="27"/>
    </w:p>
    <w:p w14:paraId="3C46A36D">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bookmarkStart w:id="28" w:name="_Toc17686"/>
      <w:r>
        <w:rPr>
          <w:rFonts w:hint="eastAsia" w:ascii="宋体" w:hAnsi="宋体" w:eastAsia="宋体" w:cs="宋体"/>
          <w:b w:val="0"/>
          <w:color w:val="auto"/>
          <w:sz w:val="21"/>
          <w:szCs w:val="21"/>
          <w:highlight w:val="none"/>
          <w:lang w:val="en-US" w:eastAsia="zh-CN"/>
        </w:rPr>
        <w:t>3、供应商应严格遵守纪律，文明巡检，廉洁自律、秉公办事，巡检成果资料详实并及时向采购人提交；</w:t>
      </w:r>
      <w:bookmarkEnd w:id="28"/>
    </w:p>
    <w:p w14:paraId="43711952">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bookmarkStart w:id="29" w:name="_Toc3712"/>
      <w:r>
        <w:rPr>
          <w:rFonts w:hint="eastAsia" w:ascii="宋体" w:hAnsi="宋体" w:eastAsia="宋体" w:cs="宋体"/>
          <w:b w:val="0"/>
          <w:color w:val="auto"/>
          <w:sz w:val="21"/>
          <w:szCs w:val="21"/>
          <w:highlight w:val="none"/>
          <w:lang w:val="en-US" w:eastAsia="zh-CN"/>
        </w:rPr>
        <w:t>4、供应商在合同期的一切安全责任以及其他涉及第三方的相关责任由供应商自行负责，与采购人无关；</w:t>
      </w:r>
      <w:bookmarkEnd w:id="29"/>
    </w:p>
    <w:p w14:paraId="059B699A">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bookmarkStart w:id="30" w:name="_Toc25755"/>
      <w:r>
        <w:rPr>
          <w:rFonts w:hint="eastAsia" w:ascii="宋体" w:hAnsi="宋体" w:eastAsia="宋体" w:cs="宋体"/>
          <w:b w:val="0"/>
          <w:color w:val="auto"/>
          <w:sz w:val="21"/>
          <w:szCs w:val="21"/>
          <w:highlight w:val="none"/>
          <w:lang w:val="en-US" w:eastAsia="zh-CN"/>
        </w:rPr>
        <w:t>5、供应商对所查出的重大隐患有权向采购人提出整改建议，并以书面形式呈报采购人协助督导；</w:t>
      </w:r>
      <w:bookmarkEnd w:id="30"/>
    </w:p>
    <w:p w14:paraId="51ED00FE">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lang w:val="en-US" w:eastAsia="zh-CN"/>
        </w:rPr>
        <w:t>6、供应商必须渭河生态区范围内违规违法事件及时掌握并反馈采购人，若出现媒体曝光、上级通报等问题;或因供应商原因造成的失误、未及时发现并上报问题或供应商工作未通过采购人考核的，但并不影响项目的继续进行，每次扣除合同总价的 1%，并继续履行本合同。违约金累计不超过合同总价的 10%。</w:t>
      </w:r>
    </w:p>
    <w:p w14:paraId="21711133">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lang w:val="en-US" w:eastAsia="zh-CN"/>
        </w:rPr>
        <w:t>7、如因供应商原因，对采购人造成经济损失或不良社会影响，供应商负责消除不良影响并自行承担由此发生的费用，采购人有权视情况终止合同，供应商有义务承担赔偿责任。</w:t>
      </w:r>
    </w:p>
    <w:p w14:paraId="17A52414">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lang w:val="en-US" w:eastAsia="zh-CN"/>
        </w:rPr>
        <w:t>8、供应商保证所提供的服务(成果)权属清晰、完整(不存在抵押、查封、扣押等)，且不存在侵犯任何第三方的合法权益。如有违反视为供应商违约。供应商负担由此而产生的一切损失。</w:t>
      </w:r>
    </w:p>
    <w:p w14:paraId="0C325BEB">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lang w:val="en-US" w:eastAsia="zh-CN"/>
        </w:rPr>
        <w:t>供应商若不能履行合同约定的义务，经催告无效，采购人有权向相关主管部门反映，采取在建设交易市场限制投标等措施进行严肃处理。</w:t>
      </w:r>
    </w:p>
    <w:p w14:paraId="5CD4B895">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lang w:val="en-US" w:eastAsia="zh-CN"/>
        </w:rPr>
        <w:t>十一、知识产权</w:t>
      </w:r>
    </w:p>
    <w:p w14:paraId="738D041C">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lang w:val="en-US" w:eastAsia="zh-CN"/>
        </w:rPr>
        <w:t>供应商应对所供产品（服务）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bookmarkStart w:id="31" w:name="_Toc19587"/>
    </w:p>
    <w:p w14:paraId="7CBEC9C7">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lang w:val="en-US" w:eastAsia="zh-CN"/>
        </w:rPr>
        <w:t>十二、合同争议的解决：合同执行中发生争议的，当事人双方应协商解决，协商达不成一致时，可向采购人所在地人民法院提请诉讼。</w:t>
      </w:r>
      <w:bookmarkEnd w:id="31"/>
      <w:bookmarkStart w:id="32" w:name="_Toc31770"/>
      <w:r>
        <w:rPr>
          <w:rFonts w:hint="eastAsia" w:ascii="宋体" w:hAnsi="宋体" w:eastAsia="宋体" w:cs="宋体"/>
          <w:b w:val="0"/>
          <w:color w:val="auto"/>
          <w:sz w:val="21"/>
          <w:szCs w:val="21"/>
          <w:highlight w:val="none"/>
          <w:lang w:val="en-US" w:eastAsia="zh-CN"/>
        </w:rPr>
        <w:t>、</w:t>
      </w:r>
    </w:p>
    <w:p w14:paraId="3A32707F">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lang w:val="en-US" w:eastAsia="zh-CN"/>
        </w:rPr>
        <w:t>十三、不可抗力情况下的免责约定，双方约定不可抗力情况包括：五级以上地震、大风、大雨、大雪。</w:t>
      </w:r>
      <w:bookmarkEnd w:id="32"/>
      <w:bookmarkStart w:id="33" w:name="_Toc2113"/>
    </w:p>
    <w:p w14:paraId="49B0741D">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lang w:val="en-US" w:eastAsia="zh-CN"/>
        </w:rPr>
        <w:t>十四、除本合同约定，合同一经签订，不得擅自变更、中止或者终止合同。对确需变更、调整或者中止、终止合同的，应按规定履行相应的手续。</w:t>
      </w:r>
      <w:bookmarkEnd w:id="33"/>
    </w:p>
    <w:p w14:paraId="75DD3919">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bookmarkStart w:id="34" w:name="_Toc8589"/>
      <w:r>
        <w:rPr>
          <w:rFonts w:hint="eastAsia" w:ascii="宋体" w:hAnsi="宋体" w:eastAsia="宋体" w:cs="宋体"/>
          <w:b w:val="0"/>
          <w:color w:val="auto"/>
          <w:sz w:val="21"/>
          <w:szCs w:val="21"/>
          <w:highlight w:val="none"/>
          <w:lang w:val="en-US" w:eastAsia="zh-CN"/>
        </w:rPr>
        <w:t>十五、其他（在合同中具体明确）</w:t>
      </w:r>
      <w:bookmarkEnd w:id="34"/>
    </w:p>
    <w:p w14:paraId="6477934F">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bookmarkStart w:id="35" w:name="_Toc11279"/>
      <w:r>
        <w:rPr>
          <w:rFonts w:hint="eastAsia" w:ascii="宋体" w:hAnsi="宋体" w:eastAsia="宋体" w:cs="宋体"/>
          <w:b w:val="0"/>
          <w:color w:val="auto"/>
          <w:sz w:val="21"/>
          <w:szCs w:val="21"/>
          <w:highlight w:val="none"/>
          <w:lang w:val="en-US" w:eastAsia="zh-CN"/>
        </w:rPr>
        <w:t>十六、合同订立</w:t>
      </w:r>
      <w:bookmarkEnd w:id="35"/>
    </w:p>
    <w:p w14:paraId="1FB3043E">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bookmarkStart w:id="36" w:name="_Toc25187"/>
      <w:r>
        <w:rPr>
          <w:rFonts w:hint="eastAsia" w:ascii="宋体" w:hAnsi="宋体" w:eastAsia="宋体" w:cs="宋体"/>
          <w:b w:val="0"/>
          <w:color w:val="auto"/>
          <w:sz w:val="21"/>
          <w:szCs w:val="21"/>
          <w:highlight w:val="none"/>
          <w:lang w:val="en-US" w:eastAsia="zh-CN"/>
        </w:rPr>
        <w:t>1. 订立时间： 年 月 日。</w:t>
      </w:r>
      <w:bookmarkEnd w:id="36"/>
    </w:p>
    <w:p w14:paraId="05CDB2DD">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bookmarkStart w:id="37" w:name="_Toc329"/>
      <w:r>
        <w:rPr>
          <w:rFonts w:hint="eastAsia" w:ascii="宋体" w:hAnsi="宋体" w:eastAsia="宋体" w:cs="宋体"/>
          <w:b w:val="0"/>
          <w:color w:val="auto"/>
          <w:sz w:val="21"/>
          <w:szCs w:val="21"/>
          <w:highlight w:val="none"/>
          <w:lang w:val="en-US" w:eastAsia="zh-CN"/>
        </w:rPr>
        <w:t>2. 订立地点：</w:t>
      </w:r>
      <w:r>
        <w:rPr>
          <w:rFonts w:hint="eastAsia" w:ascii="宋体" w:hAnsi="宋体" w:eastAsia="宋体" w:cs="宋体"/>
          <w:b w:val="0"/>
          <w:color w:val="auto"/>
          <w:sz w:val="21"/>
          <w:szCs w:val="21"/>
          <w:highlight w:val="none"/>
          <w:u w:val="single"/>
          <w:lang w:val="en-US" w:eastAsia="zh-CN"/>
        </w:rPr>
        <w:t xml:space="preserve">             </w:t>
      </w:r>
      <w:r>
        <w:rPr>
          <w:rFonts w:hint="eastAsia" w:ascii="宋体" w:hAnsi="宋体" w:eastAsia="宋体" w:cs="宋体"/>
          <w:b w:val="0"/>
          <w:color w:val="auto"/>
          <w:sz w:val="21"/>
          <w:szCs w:val="21"/>
          <w:highlight w:val="none"/>
          <w:lang w:val="en-US" w:eastAsia="zh-CN"/>
        </w:rPr>
        <w:t xml:space="preserve"> 。</w:t>
      </w:r>
      <w:bookmarkEnd w:id="37"/>
    </w:p>
    <w:p w14:paraId="379CC08A">
      <w:pPr>
        <w:pStyle w:val="3"/>
        <w:keepNext/>
        <w:keepLines/>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color w:val="auto"/>
          <w:sz w:val="21"/>
          <w:szCs w:val="21"/>
          <w:highlight w:val="none"/>
          <w:lang w:val="en-US" w:eastAsia="zh-CN"/>
        </w:rPr>
      </w:pPr>
      <w:bookmarkStart w:id="38" w:name="_Toc21666"/>
      <w:r>
        <w:rPr>
          <w:rFonts w:hint="eastAsia" w:ascii="宋体" w:hAnsi="宋体" w:eastAsia="宋体" w:cs="宋体"/>
          <w:b w:val="0"/>
          <w:color w:val="auto"/>
          <w:sz w:val="21"/>
          <w:szCs w:val="21"/>
          <w:highlight w:val="none"/>
          <w:lang w:val="en-US" w:eastAsia="zh-CN"/>
        </w:rPr>
        <w:t>3. 本合同一式4份，具有同等法律效力，双方各执2份。各方签字盖章后生效，合同执行完毕自动失效。（合同的服务承诺则长期有效）。</w:t>
      </w:r>
      <w:bookmarkEnd w:id="38"/>
    </w:p>
    <w:tbl>
      <w:tblPr>
        <w:tblStyle w:val="10"/>
        <w:tblW w:w="88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440"/>
        <w:gridCol w:w="4440"/>
      </w:tblGrid>
      <w:tr w14:paraId="59A79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8" w:hRule="exact"/>
        </w:trPr>
        <w:tc>
          <w:tcPr>
            <w:tcW w:w="4440" w:type="dxa"/>
            <w:noWrap w:val="0"/>
            <w:vAlign w:val="top"/>
          </w:tcPr>
          <w:p w14:paraId="6144C4F4">
            <w:pPr>
              <w:pStyle w:val="3"/>
              <w:spacing w:line="360" w:lineRule="auto"/>
              <w:ind w:firstLine="420" w:firstLineChars="200"/>
              <w:jc w:val="both"/>
              <w:rPr>
                <w:rFonts w:hint="eastAsia" w:ascii="宋体" w:hAnsi="宋体" w:eastAsia="宋体" w:cs="宋体"/>
                <w:color w:val="auto"/>
                <w:highlight w:val="none"/>
                <w:vertAlign w:val="baseline"/>
                <w:lang w:val="en-US" w:eastAsia="zh-CN"/>
              </w:rPr>
            </w:pPr>
            <w:bookmarkStart w:id="39" w:name="_Toc10600"/>
            <w:r>
              <w:rPr>
                <w:rFonts w:hint="eastAsia" w:ascii="宋体" w:hAnsi="宋体" w:eastAsia="宋体" w:cs="宋体"/>
                <w:b w:val="0"/>
                <w:color w:val="auto"/>
                <w:sz w:val="21"/>
                <w:szCs w:val="21"/>
                <w:highlight w:val="none"/>
                <w:lang w:val="en-US" w:eastAsia="zh-CN"/>
              </w:rPr>
              <w:t>采购人： （盖章）</w:t>
            </w:r>
            <w:bookmarkEnd w:id="39"/>
            <w:r>
              <w:rPr>
                <w:rFonts w:hint="eastAsia" w:ascii="宋体" w:hAnsi="宋体" w:eastAsia="宋体" w:cs="宋体"/>
                <w:b w:val="0"/>
                <w:color w:val="auto"/>
                <w:sz w:val="21"/>
                <w:szCs w:val="21"/>
                <w:highlight w:val="none"/>
                <w:lang w:val="en-US" w:eastAsia="zh-CN"/>
              </w:rPr>
              <w:t xml:space="preserve">                 </w:t>
            </w:r>
          </w:p>
        </w:tc>
        <w:tc>
          <w:tcPr>
            <w:tcW w:w="4440" w:type="dxa"/>
            <w:noWrap w:val="0"/>
            <w:vAlign w:val="top"/>
          </w:tcPr>
          <w:p w14:paraId="7B2F598E">
            <w:pPr>
              <w:pStyle w:val="3"/>
              <w:spacing w:line="360" w:lineRule="auto"/>
              <w:ind w:firstLine="420" w:firstLineChars="200"/>
              <w:jc w:val="both"/>
              <w:rPr>
                <w:rFonts w:hint="eastAsia" w:ascii="宋体" w:hAnsi="宋体" w:eastAsia="宋体" w:cs="宋体"/>
                <w:color w:val="auto"/>
                <w:highlight w:val="none"/>
                <w:vertAlign w:val="baseline"/>
                <w:lang w:val="en-US" w:eastAsia="zh-CN"/>
              </w:rPr>
            </w:pPr>
            <w:bookmarkStart w:id="40" w:name="_Toc25049"/>
            <w:r>
              <w:rPr>
                <w:rFonts w:hint="eastAsia" w:ascii="宋体" w:hAnsi="宋体" w:eastAsia="宋体" w:cs="宋体"/>
                <w:b w:val="0"/>
                <w:color w:val="auto"/>
                <w:sz w:val="21"/>
                <w:szCs w:val="21"/>
                <w:highlight w:val="none"/>
                <w:lang w:val="en-US" w:eastAsia="zh-CN"/>
              </w:rPr>
              <w:t>供应商： （盖章）</w:t>
            </w:r>
            <w:bookmarkEnd w:id="40"/>
          </w:p>
        </w:tc>
      </w:tr>
      <w:tr w14:paraId="0809B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8" w:hRule="exact"/>
        </w:trPr>
        <w:tc>
          <w:tcPr>
            <w:tcW w:w="4440" w:type="dxa"/>
            <w:noWrap w:val="0"/>
            <w:vAlign w:val="top"/>
          </w:tcPr>
          <w:p w14:paraId="46A65774">
            <w:pPr>
              <w:pStyle w:val="3"/>
              <w:spacing w:line="360" w:lineRule="auto"/>
              <w:ind w:firstLine="420" w:firstLineChars="200"/>
              <w:jc w:val="both"/>
              <w:rPr>
                <w:rFonts w:hint="eastAsia" w:ascii="宋体" w:hAnsi="宋体" w:eastAsia="宋体" w:cs="宋体"/>
                <w:color w:val="auto"/>
                <w:highlight w:val="none"/>
                <w:vertAlign w:val="baseline"/>
                <w:lang w:val="en-US" w:eastAsia="zh-CN"/>
              </w:rPr>
            </w:pPr>
            <w:bookmarkStart w:id="41" w:name="_Toc27308"/>
            <w:r>
              <w:rPr>
                <w:rFonts w:hint="eastAsia" w:ascii="宋体" w:hAnsi="宋体" w:eastAsia="宋体" w:cs="宋体"/>
                <w:b w:val="0"/>
                <w:color w:val="auto"/>
                <w:sz w:val="21"/>
                <w:szCs w:val="21"/>
                <w:highlight w:val="none"/>
                <w:lang w:val="en-US" w:eastAsia="zh-CN"/>
              </w:rPr>
              <w:t>地址：</w:t>
            </w:r>
            <w:bookmarkEnd w:id="41"/>
          </w:p>
        </w:tc>
        <w:tc>
          <w:tcPr>
            <w:tcW w:w="4440" w:type="dxa"/>
            <w:noWrap w:val="0"/>
            <w:vAlign w:val="top"/>
          </w:tcPr>
          <w:p w14:paraId="4BE07977">
            <w:pPr>
              <w:pStyle w:val="3"/>
              <w:spacing w:line="360" w:lineRule="auto"/>
              <w:ind w:firstLine="420" w:firstLineChars="200"/>
              <w:jc w:val="both"/>
              <w:rPr>
                <w:rFonts w:hint="eastAsia" w:ascii="宋体" w:hAnsi="宋体" w:eastAsia="宋体" w:cs="宋体"/>
                <w:color w:val="auto"/>
                <w:highlight w:val="none"/>
                <w:vertAlign w:val="baseline"/>
                <w:lang w:val="en-US" w:eastAsia="zh-CN"/>
              </w:rPr>
            </w:pPr>
            <w:bookmarkStart w:id="42" w:name="_Toc30318"/>
            <w:r>
              <w:rPr>
                <w:rFonts w:hint="eastAsia" w:ascii="宋体" w:hAnsi="宋体" w:eastAsia="宋体" w:cs="宋体"/>
                <w:b w:val="0"/>
                <w:color w:val="auto"/>
                <w:sz w:val="21"/>
                <w:szCs w:val="21"/>
                <w:highlight w:val="none"/>
                <w:lang w:val="en-US" w:eastAsia="zh-CN"/>
              </w:rPr>
              <w:t>地址：</w:t>
            </w:r>
            <w:bookmarkEnd w:id="42"/>
          </w:p>
        </w:tc>
      </w:tr>
      <w:tr w14:paraId="2CC0F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8" w:hRule="exact"/>
        </w:trPr>
        <w:tc>
          <w:tcPr>
            <w:tcW w:w="4440" w:type="dxa"/>
            <w:noWrap w:val="0"/>
            <w:vAlign w:val="top"/>
          </w:tcPr>
          <w:p w14:paraId="6EA07616">
            <w:pPr>
              <w:pStyle w:val="3"/>
              <w:spacing w:line="360" w:lineRule="auto"/>
              <w:ind w:firstLine="420" w:firstLineChars="200"/>
              <w:jc w:val="both"/>
              <w:rPr>
                <w:rFonts w:hint="eastAsia" w:ascii="宋体" w:hAnsi="宋体" w:eastAsia="宋体" w:cs="宋体"/>
                <w:color w:val="auto"/>
                <w:highlight w:val="none"/>
                <w:vertAlign w:val="baseline"/>
                <w:lang w:val="en-US" w:eastAsia="zh-CN"/>
              </w:rPr>
            </w:pPr>
            <w:bookmarkStart w:id="43" w:name="_Toc27242"/>
            <w:r>
              <w:rPr>
                <w:rFonts w:hint="eastAsia" w:ascii="宋体" w:hAnsi="宋体" w:eastAsia="宋体" w:cs="宋体"/>
                <w:b w:val="0"/>
                <w:color w:val="auto"/>
                <w:sz w:val="21"/>
                <w:szCs w:val="21"/>
                <w:highlight w:val="none"/>
                <w:lang w:val="en-US" w:eastAsia="zh-CN"/>
              </w:rPr>
              <w:t>邮政编码：</w:t>
            </w:r>
            <w:bookmarkEnd w:id="43"/>
            <w:r>
              <w:rPr>
                <w:rFonts w:hint="eastAsia" w:ascii="宋体" w:hAnsi="宋体" w:eastAsia="宋体" w:cs="宋体"/>
                <w:b w:val="0"/>
                <w:color w:val="auto"/>
                <w:sz w:val="21"/>
                <w:szCs w:val="21"/>
                <w:highlight w:val="none"/>
                <w:lang w:val="en-US" w:eastAsia="zh-CN"/>
              </w:rPr>
              <w:t xml:space="preserve"> </w:t>
            </w:r>
          </w:p>
        </w:tc>
        <w:tc>
          <w:tcPr>
            <w:tcW w:w="4440" w:type="dxa"/>
            <w:noWrap w:val="0"/>
            <w:vAlign w:val="top"/>
          </w:tcPr>
          <w:p w14:paraId="6DC27D72">
            <w:pPr>
              <w:pStyle w:val="3"/>
              <w:spacing w:line="360" w:lineRule="auto"/>
              <w:ind w:firstLine="420" w:firstLineChars="200"/>
              <w:jc w:val="both"/>
              <w:rPr>
                <w:rFonts w:hint="eastAsia" w:ascii="宋体" w:hAnsi="宋体" w:eastAsia="宋体" w:cs="宋体"/>
                <w:color w:val="auto"/>
                <w:highlight w:val="none"/>
                <w:vertAlign w:val="baseline"/>
                <w:lang w:val="en-US" w:eastAsia="zh-CN"/>
              </w:rPr>
            </w:pPr>
            <w:bookmarkStart w:id="44" w:name="_Toc27359"/>
            <w:r>
              <w:rPr>
                <w:rFonts w:hint="eastAsia" w:ascii="宋体" w:hAnsi="宋体" w:eastAsia="宋体" w:cs="宋体"/>
                <w:b w:val="0"/>
                <w:color w:val="auto"/>
                <w:sz w:val="21"/>
                <w:szCs w:val="21"/>
                <w:highlight w:val="none"/>
                <w:lang w:val="en-US" w:eastAsia="zh-CN"/>
              </w:rPr>
              <w:t>邮政编码：</w:t>
            </w:r>
            <w:bookmarkEnd w:id="44"/>
          </w:p>
        </w:tc>
      </w:tr>
      <w:tr w14:paraId="4DF5D0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8" w:hRule="exact"/>
        </w:trPr>
        <w:tc>
          <w:tcPr>
            <w:tcW w:w="4440" w:type="dxa"/>
            <w:noWrap w:val="0"/>
            <w:vAlign w:val="top"/>
          </w:tcPr>
          <w:p w14:paraId="47F35148">
            <w:pPr>
              <w:pStyle w:val="3"/>
              <w:spacing w:line="360" w:lineRule="auto"/>
              <w:ind w:firstLine="420" w:firstLineChars="200"/>
              <w:jc w:val="both"/>
              <w:rPr>
                <w:rFonts w:hint="eastAsia" w:ascii="宋体" w:hAnsi="宋体" w:eastAsia="宋体" w:cs="宋体"/>
                <w:color w:val="auto"/>
                <w:highlight w:val="none"/>
                <w:vertAlign w:val="baseline"/>
                <w:lang w:val="en-US" w:eastAsia="zh-CN"/>
              </w:rPr>
            </w:pPr>
            <w:bookmarkStart w:id="45" w:name="_Toc11704"/>
            <w:r>
              <w:rPr>
                <w:rFonts w:hint="eastAsia" w:ascii="宋体" w:hAnsi="宋体" w:eastAsia="宋体" w:cs="宋体"/>
                <w:b w:val="0"/>
                <w:color w:val="auto"/>
                <w:sz w:val="21"/>
                <w:szCs w:val="21"/>
                <w:highlight w:val="none"/>
                <w:lang w:val="en-US" w:eastAsia="zh-CN"/>
              </w:rPr>
              <w:t>法定代表人或其授权的代理人：（签字）</w:t>
            </w:r>
            <w:bookmarkEnd w:id="45"/>
            <w:r>
              <w:rPr>
                <w:rFonts w:hint="eastAsia" w:ascii="宋体" w:hAnsi="宋体" w:eastAsia="宋体" w:cs="宋体"/>
                <w:b w:val="0"/>
                <w:color w:val="auto"/>
                <w:sz w:val="21"/>
                <w:szCs w:val="21"/>
                <w:highlight w:val="none"/>
                <w:lang w:val="en-US" w:eastAsia="zh-CN"/>
              </w:rPr>
              <w:t xml:space="preserve"> </w:t>
            </w:r>
          </w:p>
        </w:tc>
        <w:tc>
          <w:tcPr>
            <w:tcW w:w="4440" w:type="dxa"/>
            <w:noWrap w:val="0"/>
            <w:vAlign w:val="top"/>
          </w:tcPr>
          <w:p w14:paraId="4C0164B7">
            <w:pPr>
              <w:pStyle w:val="3"/>
              <w:spacing w:line="360" w:lineRule="auto"/>
              <w:ind w:firstLine="420" w:firstLineChars="200"/>
              <w:jc w:val="both"/>
              <w:rPr>
                <w:rFonts w:hint="eastAsia" w:ascii="宋体" w:hAnsi="宋体" w:eastAsia="宋体" w:cs="宋体"/>
                <w:color w:val="auto"/>
                <w:highlight w:val="none"/>
                <w:vertAlign w:val="baseline"/>
                <w:lang w:val="en-US" w:eastAsia="zh-CN"/>
              </w:rPr>
            </w:pPr>
            <w:bookmarkStart w:id="46" w:name="_Toc19506"/>
            <w:r>
              <w:rPr>
                <w:rFonts w:hint="eastAsia" w:ascii="宋体" w:hAnsi="宋体" w:eastAsia="宋体" w:cs="宋体"/>
                <w:b w:val="0"/>
                <w:color w:val="auto"/>
                <w:sz w:val="21"/>
                <w:szCs w:val="21"/>
                <w:highlight w:val="none"/>
                <w:lang w:val="en-US" w:eastAsia="zh-CN"/>
              </w:rPr>
              <w:t>法定代表人或的代理人：（签字）</w:t>
            </w:r>
            <w:bookmarkEnd w:id="46"/>
          </w:p>
        </w:tc>
      </w:tr>
      <w:tr w14:paraId="6ED8A5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8" w:hRule="exact"/>
        </w:trPr>
        <w:tc>
          <w:tcPr>
            <w:tcW w:w="4440" w:type="dxa"/>
            <w:noWrap w:val="0"/>
            <w:vAlign w:val="top"/>
          </w:tcPr>
          <w:p w14:paraId="60ED04F8">
            <w:pPr>
              <w:pStyle w:val="3"/>
              <w:spacing w:line="360" w:lineRule="auto"/>
              <w:jc w:val="both"/>
              <w:rPr>
                <w:rFonts w:hint="eastAsia" w:ascii="宋体" w:hAnsi="宋体" w:eastAsia="宋体" w:cs="宋体"/>
                <w:color w:val="auto"/>
                <w:highlight w:val="none"/>
                <w:vertAlign w:val="baseline"/>
                <w:lang w:val="en-US" w:eastAsia="zh-CN"/>
              </w:rPr>
            </w:pPr>
            <w:r>
              <w:rPr>
                <w:rFonts w:hint="eastAsia" w:ascii="宋体" w:hAnsi="宋体" w:eastAsia="宋体" w:cs="宋体"/>
                <w:b w:val="0"/>
                <w:color w:val="auto"/>
                <w:sz w:val="21"/>
                <w:szCs w:val="21"/>
                <w:highlight w:val="none"/>
                <w:lang w:val="en-US" w:eastAsia="zh-CN"/>
              </w:rPr>
              <w:t xml:space="preserve"> </w:t>
            </w:r>
            <w:bookmarkStart w:id="47" w:name="_Toc24741"/>
            <w:r>
              <w:rPr>
                <w:rFonts w:hint="eastAsia" w:ascii="宋体" w:hAnsi="宋体" w:eastAsia="宋体" w:cs="宋体"/>
                <w:b w:val="0"/>
                <w:color w:val="auto"/>
                <w:sz w:val="21"/>
                <w:szCs w:val="21"/>
                <w:highlight w:val="none"/>
                <w:lang w:val="en-US" w:eastAsia="zh-CN"/>
              </w:rPr>
              <w:t xml:space="preserve">   开户银行：</w:t>
            </w:r>
            <w:bookmarkEnd w:id="47"/>
          </w:p>
        </w:tc>
        <w:tc>
          <w:tcPr>
            <w:tcW w:w="4440" w:type="dxa"/>
            <w:noWrap w:val="0"/>
            <w:vAlign w:val="top"/>
          </w:tcPr>
          <w:p w14:paraId="743F8039">
            <w:pPr>
              <w:pStyle w:val="3"/>
              <w:spacing w:line="360" w:lineRule="auto"/>
              <w:ind w:firstLine="420" w:firstLineChars="200"/>
              <w:jc w:val="both"/>
              <w:rPr>
                <w:rFonts w:hint="eastAsia" w:ascii="宋体" w:hAnsi="宋体" w:eastAsia="宋体" w:cs="宋体"/>
                <w:color w:val="auto"/>
                <w:highlight w:val="none"/>
                <w:vertAlign w:val="baseline"/>
                <w:lang w:val="en-US" w:eastAsia="zh-CN"/>
              </w:rPr>
            </w:pPr>
            <w:bookmarkStart w:id="48" w:name="_Toc9429"/>
            <w:r>
              <w:rPr>
                <w:rFonts w:hint="eastAsia" w:ascii="宋体" w:hAnsi="宋体" w:eastAsia="宋体" w:cs="宋体"/>
                <w:b w:val="0"/>
                <w:color w:val="auto"/>
                <w:sz w:val="21"/>
                <w:szCs w:val="21"/>
                <w:highlight w:val="none"/>
                <w:lang w:val="en-US" w:eastAsia="zh-CN"/>
              </w:rPr>
              <w:t>开户银行：</w:t>
            </w:r>
            <w:bookmarkEnd w:id="48"/>
          </w:p>
        </w:tc>
      </w:tr>
      <w:tr w14:paraId="5494D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8" w:hRule="exact"/>
        </w:trPr>
        <w:tc>
          <w:tcPr>
            <w:tcW w:w="4440" w:type="dxa"/>
            <w:noWrap w:val="0"/>
            <w:vAlign w:val="top"/>
          </w:tcPr>
          <w:p w14:paraId="6A664960">
            <w:pPr>
              <w:pStyle w:val="3"/>
              <w:spacing w:line="360" w:lineRule="auto"/>
              <w:ind w:firstLine="420" w:firstLineChars="200"/>
              <w:jc w:val="both"/>
              <w:rPr>
                <w:rFonts w:hint="eastAsia" w:ascii="宋体" w:hAnsi="宋体" w:eastAsia="宋体" w:cs="宋体"/>
                <w:color w:val="auto"/>
                <w:highlight w:val="none"/>
                <w:vertAlign w:val="baseline"/>
                <w:lang w:val="en-US" w:eastAsia="zh-CN"/>
              </w:rPr>
            </w:pPr>
            <w:bookmarkStart w:id="49" w:name="_Toc8219"/>
            <w:r>
              <w:rPr>
                <w:rFonts w:hint="eastAsia" w:ascii="宋体" w:hAnsi="宋体" w:eastAsia="宋体" w:cs="宋体"/>
                <w:b w:val="0"/>
                <w:color w:val="auto"/>
                <w:sz w:val="21"/>
                <w:szCs w:val="21"/>
                <w:highlight w:val="none"/>
                <w:lang w:val="en-US" w:eastAsia="zh-CN"/>
              </w:rPr>
              <w:t>账号：</w:t>
            </w:r>
            <w:bookmarkEnd w:id="49"/>
            <w:r>
              <w:rPr>
                <w:rFonts w:hint="eastAsia" w:ascii="宋体" w:hAnsi="宋体" w:eastAsia="宋体" w:cs="宋体"/>
                <w:b w:val="0"/>
                <w:color w:val="auto"/>
                <w:sz w:val="21"/>
                <w:szCs w:val="21"/>
                <w:highlight w:val="none"/>
                <w:lang w:val="en-US" w:eastAsia="zh-CN"/>
              </w:rPr>
              <w:t xml:space="preserve"> </w:t>
            </w:r>
          </w:p>
        </w:tc>
        <w:tc>
          <w:tcPr>
            <w:tcW w:w="4440" w:type="dxa"/>
            <w:noWrap w:val="0"/>
            <w:vAlign w:val="top"/>
          </w:tcPr>
          <w:p w14:paraId="72B09976">
            <w:pPr>
              <w:pStyle w:val="3"/>
              <w:spacing w:line="360" w:lineRule="auto"/>
              <w:ind w:firstLine="420" w:firstLineChars="200"/>
              <w:jc w:val="both"/>
              <w:rPr>
                <w:rFonts w:hint="eastAsia" w:ascii="宋体" w:hAnsi="宋体" w:eastAsia="宋体" w:cs="宋体"/>
                <w:color w:val="auto"/>
                <w:highlight w:val="none"/>
                <w:vertAlign w:val="baseline"/>
                <w:lang w:val="en-US" w:eastAsia="zh-CN"/>
              </w:rPr>
            </w:pPr>
            <w:bookmarkStart w:id="50" w:name="_Toc12661"/>
            <w:r>
              <w:rPr>
                <w:rFonts w:hint="eastAsia" w:ascii="宋体" w:hAnsi="宋体" w:eastAsia="宋体" w:cs="宋体"/>
                <w:b w:val="0"/>
                <w:color w:val="auto"/>
                <w:sz w:val="21"/>
                <w:szCs w:val="21"/>
                <w:highlight w:val="none"/>
                <w:lang w:val="en-US" w:eastAsia="zh-CN"/>
              </w:rPr>
              <w:t>账号：</w:t>
            </w:r>
            <w:bookmarkEnd w:id="50"/>
            <w:r>
              <w:rPr>
                <w:rFonts w:hint="eastAsia" w:ascii="宋体" w:hAnsi="宋体" w:eastAsia="宋体" w:cs="宋体"/>
                <w:b w:val="0"/>
                <w:color w:val="auto"/>
                <w:sz w:val="21"/>
                <w:szCs w:val="21"/>
                <w:highlight w:val="none"/>
                <w:lang w:val="en-US" w:eastAsia="zh-CN"/>
              </w:rPr>
              <w:t xml:space="preserve"> </w:t>
            </w:r>
          </w:p>
        </w:tc>
      </w:tr>
      <w:tr w14:paraId="16705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8" w:hRule="exact"/>
        </w:trPr>
        <w:tc>
          <w:tcPr>
            <w:tcW w:w="4440" w:type="dxa"/>
            <w:noWrap w:val="0"/>
            <w:vAlign w:val="top"/>
          </w:tcPr>
          <w:p w14:paraId="2B8F8F21">
            <w:pPr>
              <w:pStyle w:val="3"/>
              <w:spacing w:line="360" w:lineRule="auto"/>
              <w:ind w:firstLine="420" w:firstLineChars="200"/>
              <w:jc w:val="both"/>
              <w:rPr>
                <w:rFonts w:hint="eastAsia" w:ascii="宋体" w:hAnsi="宋体" w:eastAsia="宋体" w:cs="宋体"/>
                <w:color w:val="auto"/>
                <w:highlight w:val="none"/>
                <w:vertAlign w:val="baseline"/>
                <w:lang w:val="en-US" w:eastAsia="zh-CN"/>
              </w:rPr>
            </w:pPr>
            <w:bookmarkStart w:id="51" w:name="_Toc9175"/>
            <w:r>
              <w:rPr>
                <w:rFonts w:hint="eastAsia" w:ascii="宋体" w:hAnsi="宋体" w:eastAsia="宋体" w:cs="宋体"/>
                <w:b w:val="0"/>
                <w:color w:val="auto"/>
                <w:sz w:val="21"/>
                <w:szCs w:val="21"/>
                <w:highlight w:val="none"/>
                <w:lang w:val="en-US" w:eastAsia="zh-CN"/>
              </w:rPr>
              <w:t>电话：</w:t>
            </w:r>
            <w:bookmarkEnd w:id="51"/>
          </w:p>
        </w:tc>
        <w:tc>
          <w:tcPr>
            <w:tcW w:w="4440" w:type="dxa"/>
            <w:noWrap w:val="0"/>
            <w:vAlign w:val="top"/>
          </w:tcPr>
          <w:p w14:paraId="56BCFC1B">
            <w:pPr>
              <w:pStyle w:val="3"/>
              <w:spacing w:line="360" w:lineRule="auto"/>
              <w:ind w:firstLine="420" w:firstLineChars="200"/>
              <w:jc w:val="both"/>
              <w:rPr>
                <w:rFonts w:hint="eastAsia" w:ascii="宋体" w:hAnsi="宋体" w:eastAsia="宋体" w:cs="宋体"/>
                <w:color w:val="auto"/>
                <w:highlight w:val="none"/>
                <w:vertAlign w:val="baseline"/>
                <w:lang w:val="en-US" w:eastAsia="zh-CN"/>
              </w:rPr>
            </w:pPr>
            <w:bookmarkStart w:id="52" w:name="_Toc2453"/>
            <w:r>
              <w:rPr>
                <w:rFonts w:hint="eastAsia" w:ascii="宋体" w:hAnsi="宋体" w:eastAsia="宋体" w:cs="宋体"/>
                <w:b w:val="0"/>
                <w:color w:val="auto"/>
                <w:sz w:val="21"/>
                <w:szCs w:val="21"/>
                <w:highlight w:val="none"/>
                <w:lang w:val="en-US" w:eastAsia="zh-CN"/>
              </w:rPr>
              <w:t>电话：</w:t>
            </w:r>
            <w:bookmarkEnd w:id="52"/>
            <w:r>
              <w:rPr>
                <w:rFonts w:hint="eastAsia" w:ascii="宋体" w:hAnsi="宋体" w:eastAsia="宋体" w:cs="宋体"/>
                <w:b w:val="0"/>
                <w:color w:val="auto"/>
                <w:sz w:val="21"/>
                <w:szCs w:val="21"/>
                <w:highlight w:val="none"/>
                <w:lang w:val="en-US" w:eastAsia="zh-CN"/>
              </w:rPr>
              <w:t xml:space="preserve"> </w:t>
            </w:r>
          </w:p>
        </w:tc>
      </w:tr>
      <w:tr w14:paraId="4E68C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8" w:hRule="exact"/>
        </w:trPr>
        <w:tc>
          <w:tcPr>
            <w:tcW w:w="4440" w:type="dxa"/>
            <w:noWrap w:val="0"/>
            <w:vAlign w:val="top"/>
          </w:tcPr>
          <w:p w14:paraId="4CF92777">
            <w:pPr>
              <w:pStyle w:val="3"/>
              <w:spacing w:line="360" w:lineRule="auto"/>
              <w:ind w:firstLine="420" w:firstLineChars="200"/>
              <w:jc w:val="both"/>
              <w:rPr>
                <w:rFonts w:hint="eastAsia" w:ascii="宋体" w:hAnsi="宋体" w:eastAsia="宋体" w:cs="宋体"/>
                <w:color w:val="auto"/>
                <w:highlight w:val="none"/>
                <w:vertAlign w:val="baseline"/>
                <w:lang w:val="en-US" w:eastAsia="zh-CN"/>
              </w:rPr>
            </w:pPr>
            <w:bookmarkStart w:id="53" w:name="_Toc20764"/>
            <w:r>
              <w:rPr>
                <w:rFonts w:hint="eastAsia" w:ascii="宋体" w:hAnsi="宋体" w:eastAsia="宋体" w:cs="宋体"/>
                <w:b w:val="0"/>
                <w:color w:val="auto"/>
                <w:sz w:val="21"/>
                <w:szCs w:val="21"/>
                <w:highlight w:val="none"/>
                <w:lang w:val="en-US" w:eastAsia="zh-CN"/>
              </w:rPr>
              <w:t>传真：</w:t>
            </w:r>
            <w:bookmarkEnd w:id="53"/>
            <w:r>
              <w:rPr>
                <w:rFonts w:hint="eastAsia" w:ascii="宋体" w:hAnsi="宋体" w:eastAsia="宋体" w:cs="宋体"/>
                <w:b w:val="0"/>
                <w:color w:val="auto"/>
                <w:sz w:val="21"/>
                <w:szCs w:val="21"/>
                <w:highlight w:val="none"/>
                <w:lang w:val="en-US" w:eastAsia="zh-CN"/>
              </w:rPr>
              <w:t xml:space="preserve"> </w:t>
            </w:r>
          </w:p>
        </w:tc>
        <w:tc>
          <w:tcPr>
            <w:tcW w:w="4440" w:type="dxa"/>
            <w:noWrap w:val="0"/>
            <w:vAlign w:val="top"/>
          </w:tcPr>
          <w:p w14:paraId="7175C850">
            <w:pPr>
              <w:pStyle w:val="3"/>
              <w:spacing w:line="360" w:lineRule="auto"/>
              <w:ind w:firstLine="420" w:firstLineChars="200"/>
              <w:jc w:val="both"/>
              <w:rPr>
                <w:rFonts w:hint="eastAsia" w:ascii="宋体" w:hAnsi="宋体" w:eastAsia="宋体" w:cs="宋体"/>
                <w:color w:val="auto"/>
                <w:highlight w:val="none"/>
                <w:vertAlign w:val="baseline"/>
                <w:lang w:val="en-US" w:eastAsia="zh-CN"/>
              </w:rPr>
            </w:pPr>
            <w:bookmarkStart w:id="54" w:name="_Toc16886"/>
            <w:r>
              <w:rPr>
                <w:rFonts w:hint="eastAsia" w:ascii="宋体" w:hAnsi="宋体" w:eastAsia="宋体" w:cs="宋体"/>
                <w:b w:val="0"/>
                <w:color w:val="auto"/>
                <w:sz w:val="21"/>
                <w:szCs w:val="21"/>
                <w:highlight w:val="none"/>
                <w:lang w:val="en-US" w:eastAsia="zh-CN"/>
              </w:rPr>
              <w:t>传真：</w:t>
            </w:r>
            <w:bookmarkEnd w:id="54"/>
            <w:r>
              <w:rPr>
                <w:rFonts w:hint="eastAsia" w:ascii="宋体" w:hAnsi="宋体" w:eastAsia="宋体" w:cs="宋体"/>
                <w:b w:val="0"/>
                <w:color w:val="auto"/>
                <w:sz w:val="21"/>
                <w:szCs w:val="21"/>
                <w:highlight w:val="none"/>
                <w:lang w:val="en-US" w:eastAsia="zh-CN"/>
              </w:rPr>
              <w:t xml:space="preserve"> </w:t>
            </w:r>
          </w:p>
        </w:tc>
      </w:tr>
    </w:tbl>
    <w:p w14:paraId="4E717E72">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714F5E"/>
    <w:multiLevelType w:val="multilevel"/>
    <w:tmpl w:val="32714F5E"/>
    <w:lvl w:ilvl="0" w:tentative="0">
      <w:start w:val="1"/>
      <w:numFmt w:val="chineseCountingThousand"/>
      <w:suff w:val="nothing"/>
      <w:lvlText w:val="第%1章"/>
      <w:lvlJc w:val="left"/>
      <w:pPr>
        <w:ind w:left="0" w:firstLine="0"/>
      </w:pPr>
      <w:rPr>
        <w:rFonts w:hint="eastAsia" w:ascii="仿宋_GB2312" w:eastAsia="仿宋_GB2312"/>
        <w:sz w:val="44"/>
      </w:r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pStyle w:val="5"/>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NlNmY1N2M1NzM2ZDVlNDc4Y2JjNjc0YjQwODU1NmQifQ=="/>
  </w:docVars>
  <w:rsids>
    <w:rsidRoot w:val="00000000"/>
    <w:rsid w:val="00661709"/>
    <w:rsid w:val="0A4D7672"/>
    <w:rsid w:val="0B5F0AC8"/>
    <w:rsid w:val="1265559F"/>
    <w:rsid w:val="19076B09"/>
    <w:rsid w:val="36C070D9"/>
    <w:rsid w:val="52EC7EFA"/>
    <w:rsid w:val="650E71D4"/>
    <w:rsid w:val="78944C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nhideWhenUsed="0"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paragraph" w:styleId="5">
    <w:name w:val="heading 7"/>
    <w:basedOn w:val="1"/>
    <w:next w:val="4"/>
    <w:qFormat/>
    <w:uiPriority w:val="0"/>
    <w:pPr>
      <w:keepNext/>
      <w:keepLines/>
      <w:numPr>
        <w:ilvl w:val="6"/>
        <w:numId w:val="1"/>
      </w:numPr>
      <w:spacing w:before="240" w:after="64" w:line="316" w:lineRule="auto"/>
      <w:outlineLvl w:val="6"/>
    </w:pPr>
    <w:rPr>
      <w:b/>
      <w:sz w:val="24"/>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20"/>
    </w:rPr>
  </w:style>
  <w:style w:type="paragraph" w:styleId="4">
    <w:name w:val="Normal Indent"/>
    <w:basedOn w:val="1"/>
    <w:qFormat/>
    <w:uiPriority w:val="0"/>
    <w:pPr>
      <w:ind w:firstLine="420"/>
    </w:pPr>
    <w:rPr>
      <w:szCs w:val="20"/>
    </w:rPr>
  </w:style>
  <w:style w:type="paragraph" w:styleId="6">
    <w:name w:val="Body Text"/>
    <w:basedOn w:val="1"/>
    <w:next w:val="1"/>
    <w:qFormat/>
    <w:uiPriority w:val="0"/>
    <w:rPr>
      <w:color w:val="993300"/>
      <w:sz w:val="24"/>
    </w:rPr>
  </w:style>
  <w:style w:type="paragraph" w:styleId="7">
    <w:name w:val="Body Text Indent"/>
    <w:basedOn w:val="1"/>
    <w:qFormat/>
    <w:uiPriority w:val="0"/>
    <w:pPr>
      <w:ind w:firstLine="630"/>
    </w:pPr>
    <w:rPr>
      <w:sz w:val="32"/>
      <w:szCs w:val="20"/>
    </w:rPr>
  </w:style>
  <w:style w:type="paragraph" w:styleId="8">
    <w:name w:val="Normal (Web)"/>
    <w:basedOn w:val="1"/>
    <w:qFormat/>
    <w:uiPriority w:val="0"/>
    <w:pPr>
      <w:widowControl/>
      <w:spacing w:before="100" w:beforeAutospacing="1" w:after="100" w:afterAutospacing="1"/>
      <w:jc w:val="left"/>
    </w:pPr>
    <w:rPr>
      <w:rFonts w:ascii="宋体" w:hAnsi="宋体"/>
      <w:kern w:val="0"/>
      <w:sz w:val="18"/>
      <w:szCs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1892</Words>
  <Characters>1921</Characters>
  <Lines>0</Lines>
  <Paragraphs>0</Paragraphs>
  <TotalTime>0</TotalTime>
  <ScaleCrop>false</ScaleCrop>
  <LinksUpToDate>false</LinksUpToDate>
  <CharactersWithSpaces>2078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2024-10-09T08:35:00Z</dcterms:created>
  <dc:creator>ZM</dc:creator>
  <cp:lastModifiedBy>王艳丽</cp:lastModifiedBy>
  <cp:lastPrinted>2024-10-14T02:20:00Z</cp:lastPrinted>
  <dcterms:modified xsi:type="dcterms:W3CDTF">2024-10-15T07:51:22Z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1AE7D05853704889AF34AEFA3068DD6C_12</vt:lpwstr>
  </property>
</Properties>
</file>