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版本号：HQX-2025-(003)-220250408001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延安监狱新建监舍楼项目设计（二次）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HQX-2025-(003)-2</w:t>
      </w:r>
      <w:r>
        <w:br/>
      </w:r>
      <w:r>
        <w:br/>
      </w:r>
      <w:r>
        <w:br/>
      </w:r>
    </w:p>
    <w:p>
      <w:pPr>
        <w:pStyle w:val="null3"/>
        <w:jc w:val="center"/>
        <w:outlineLvl w:val="2"/>
      </w:pPr>
      <w:r>
        <w:rPr>
          <w:rFonts w:ascii="仿宋_GB2312" w:hAnsi="仿宋_GB2312" w:cs="仿宋_GB2312" w:eastAsia="仿宋_GB2312"/>
          <w:sz w:val="28"/>
          <w:b/>
        </w:rPr>
        <w:t>陕西省延安监狱</w:t>
      </w:r>
    </w:p>
    <w:p>
      <w:pPr>
        <w:pStyle w:val="null3"/>
        <w:jc w:val="center"/>
        <w:outlineLvl w:val="2"/>
      </w:pPr>
      <w:r>
        <w:rPr>
          <w:rFonts w:ascii="仿宋_GB2312" w:hAnsi="仿宋_GB2312" w:cs="仿宋_GB2312" w:eastAsia="仿宋_GB2312"/>
          <w:sz w:val="28"/>
          <w:b/>
        </w:rPr>
        <w:t>陕西恒谦行工程管理咨询有限公司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陕西恒谦行工程管理咨询有限公司</w:t>
      </w:r>
      <w:r>
        <w:rPr>
          <w:rFonts w:ascii="仿宋_GB2312" w:hAnsi="仿宋_GB2312" w:cs="仿宋_GB2312" w:eastAsia="仿宋_GB2312"/>
        </w:rPr>
        <w:t>（以下简称“代理机构”）受</w:t>
      </w:r>
      <w:r>
        <w:rPr>
          <w:rFonts w:ascii="仿宋_GB2312" w:hAnsi="仿宋_GB2312" w:cs="仿宋_GB2312" w:eastAsia="仿宋_GB2312"/>
        </w:rPr>
        <w:t>陕西省延安监狱</w:t>
      </w:r>
      <w:r>
        <w:rPr>
          <w:rFonts w:ascii="仿宋_GB2312" w:hAnsi="仿宋_GB2312" w:cs="仿宋_GB2312" w:eastAsia="仿宋_GB2312"/>
        </w:rPr>
        <w:t>委托，拟对</w:t>
      </w:r>
      <w:r>
        <w:rPr>
          <w:rFonts w:ascii="仿宋_GB2312" w:hAnsi="仿宋_GB2312" w:cs="仿宋_GB2312" w:eastAsia="仿宋_GB2312"/>
        </w:rPr>
        <w:t>延安监狱新建监舍楼项目设计（二次）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HQX-2025-(003)-2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延安监狱新建监舍楼项目设计（二次）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本项目为延安监狱新建监舍楼项目设计，总建筑面积约为9824㎡（依实际设计面积为准），层数为5层，结构为钢筋砼框架结构。设计内容包含方案设计、初步设计、施工图设计及各阶段的概算文件。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须为具有独立承担民事责任能力的法人或其他组织，出具合法有效的营业执照或事业单位法人证书等国家规定的相关证明，供应商需在项目电子化交易系统中按要求提供证明资料并进行电子签章；</w:t>
      </w:r>
    </w:p>
    <w:p>
      <w:pPr>
        <w:pStyle w:val="null3"/>
      </w:pPr>
      <w:r>
        <w:rPr>
          <w:rFonts w:ascii="仿宋_GB2312" w:hAnsi="仿宋_GB2312" w:cs="仿宋_GB2312" w:eastAsia="仿宋_GB2312"/>
        </w:rPr>
        <w:t>2、供应商须具有良好的商业信誉：：截止响应文件递交截止时间之前，供应商不得在“中国执行信息公开网”网站（http://zxgk.court.gov.cn/shixin/）被列为失信被执行人、不得在“信用中国”网站（https://www.creditchina.gov.cn/）被列入重大税收违法失信主体；未被列入“中国政府采购网(www.ccgp.gov.cn)”政府采购严重违法失信行为记录名单，供应商需在项目电子化交易系统中按要求提供证明资料并进行电子签章；</w:t>
      </w:r>
    </w:p>
    <w:p>
      <w:pPr>
        <w:pStyle w:val="null3"/>
      </w:pPr>
      <w:r>
        <w:rPr>
          <w:rFonts w:ascii="仿宋_GB2312" w:hAnsi="仿宋_GB2312" w:cs="仿宋_GB2312" w:eastAsia="仿宋_GB2312"/>
        </w:rPr>
        <w:t>3、供应商须具有健全的财务会计制度：：法人提供经审计的2023或2024年度的财务报告（成立时间至递交响应文件截止时间不足一年的可提供成立后任意时段的资产负债表、利润表、现金流），或递交响应文件截止时间前六个月内银行出具的资信证明；其他组织提供银行出具的资信证明或财务报表，供应商需在项目电子化交易系统中按要求提供证明资料并进行电子签章；</w:t>
      </w:r>
    </w:p>
    <w:p>
      <w:pPr>
        <w:pStyle w:val="null3"/>
      </w:pPr>
      <w:r>
        <w:rPr>
          <w:rFonts w:ascii="仿宋_GB2312" w:hAnsi="仿宋_GB2312" w:cs="仿宋_GB2312" w:eastAsia="仿宋_GB2312"/>
        </w:rPr>
        <w:t>4、所必需的设备和专业技术能力承诺书：：供应商须具有履行合同所必需的设备和专业技术能力,根据自身情况提供承诺书，供应商需在项目电子化交易系统中按要求提供证明资料并进行电子签章；</w:t>
      </w:r>
    </w:p>
    <w:p>
      <w:pPr>
        <w:pStyle w:val="null3"/>
      </w:pPr>
      <w:r>
        <w:rPr>
          <w:rFonts w:ascii="仿宋_GB2312" w:hAnsi="仿宋_GB2312" w:cs="仿宋_GB2312" w:eastAsia="仿宋_GB2312"/>
        </w:rPr>
        <w:t>5、具有依法缴纳税收的良好记录：：提供递交响应文件截止时间前一年内至少一个月依法缴纳税收的相关凭据（时间以税款所属日期为准，税种须包含增值税或企业所得税，凭据应有税务机关或代收机关的公章或业务专用章）；其他组织提供缴纳税收的凭据；依法免征、减征、零申报的供应商应提供相关文件证明，供应商需在项目电子化交易系统中按要求提供证明资料并进行电子签章；</w:t>
      </w:r>
    </w:p>
    <w:p>
      <w:pPr>
        <w:pStyle w:val="null3"/>
      </w:pPr>
      <w:r>
        <w:rPr>
          <w:rFonts w:ascii="仿宋_GB2312" w:hAnsi="仿宋_GB2312" w:cs="仿宋_GB2312" w:eastAsia="仿宋_GB2312"/>
        </w:rPr>
        <w:t>6、具有依法缴纳社会保障资金的良好记录：：提供递交响应文件截止时间前一年内至少一个月已缴纳的社会保障资金的凭据（社会保障资金缴存单据或社保机构开具的社会保险参保缴费情况证明）；依法不需要缴纳社会保障资金的供应商应提供相关文件证明，供应商需在项目电子化交易系统中按要求提供证明资料并进行电子签章；</w:t>
      </w:r>
    </w:p>
    <w:p>
      <w:pPr>
        <w:pStyle w:val="null3"/>
      </w:pPr>
      <w:r>
        <w:rPr>
          <w:rFonts w:ascii="仿宋_GB2312" w:hAnsi="仿宋_GB2312" w:cs="仿宋_GB2312" w:eastAsia="仿宋_GB2312"/>
        </w:rPr>
        <w:t>7、没有重大违法记录的书面声明：：提供参加本次政府采购活动前三年内在经营活动中没有重大违法记录的书面声明，供应商需在项目电子化交易系统中按要求提供证明资料并进行电子签章；</w:t>
      </w:r>
    </w:p>
    <w:p>
      <w:pPr>
        <w:pStyle w:val="null3"/>
      </w:pPr>
      <w:r>
        <w:rPr>
          <w:rFonts w:ascii="仿宋_GB2312" w:hAnsi="仿宋_GB2312" w:cs="仿宋_GB2312" w:eastAsia="仿宋_GB2312"/>
        </w:rPr>
        <w:t>8、供应商资质要求：：供应商具有建设行政主管部门颁发的【工程设计】综合甲级资质，或【建筑行业设计】乙级及以上资质，或【建筑行业（建筑工程）专业设计】乙级及以上资质，供应商需在项目电子化交易系统中按要求提供证明资料并进行电子签章；</w:t>
      </w:r>
    </w:p>
    <w:p>
      <w:pPr>
        <w:pStyle w:val="null3"/>
      </w:pPr>
      <w:r>
        <w:rPr>
          <w:rFonts w:ascii="仿宋_GB2312" w:hAnsi="仿宋_GB2312" w:cs="仿宋_GB2312" w:eastAsia="仿宋_GB2312"/>
        </w:rPr>
        <w:t>9、拟派项目设计负责人：：拟派设计项目负责人须具备【一级注册建筑师】或【一级注册结构工程师】执业资格，且在本单位注册，供应商需在项目电子化交易系统中按要求提供证明资料并进行电子签章；</w:t>
      </w:r>
    </w:p>
    <w:p>
      <w:pPr>
        <w:pStyle w:val="null3"/>
      </w:pPr>
      <w:r>
        <w:rPr>
          <w:rFonts w:ascii="仿宋_GB2312" w:hAnsi="仿宋_GB2312" w:cs="仿宋_GB2312" w:eastAsia="仿宋_GB2312"/>
        </w:rPr>
        <w:t>10、官方网站可查询：：供应商及其拟派项目设计负责人须在“陕西省住房和城乡建设厅”官方网站可查询，供应商需在项目电子化交易系统中按要求提供证明资料并进行电子签章；</w:t>
      </w:r>
    </w:p>
    <w:p>
      <w:pPr>
        <w:pStyle w:val="null3"/>
      </w:pPr>
      <w:r>
        <w:rPr>
          <w:rFonts w:ascii="仿宋_GB2312" w:hAnsi="仿宋_GB2312" w:cs="仿宋_GB2312" w:eastAsia="仿宋_GB2312"/>
        </w:rPr>
        <w:t>11、控股关系：：单位负责人为同一人或者存在直接控股、管理关系的不同供应商，不得参加同一合同项下的磋商活动，供应商需在项目电子化交易系统中按要求提供证明资料并进行电子签章；</w:t>
      </w:r>
    </w:p>
    <w:p>
      <w:pPr>
        <w:pStyle w:val="null3"/>
      </w:pPr>
      <w:r>
        <w:rPr>
          <w:rFonts w:ascii="仿宋_GB2312" w:hAnsi="仿宋_GB2312" w:cs="仿宋_GB2312" w:eastAsia="仿宋_GB2312"/>
        </w:rPr>
        <w:t>12、法定代表人身份证明书或授权委托书：：供应商应提供法定代表人身份证明书或授权委托书。法定代表人直接参加的，须出具法定代表人身份证明书，并与营业执照上信息一致；被授权人参加的，须出具法定代表人授权委托书，供应商需在项目电子化交易系统中按要求提供证明资料并进行电子签章；</w:t>
      </w:r>
    </w:p>
    <w:p>
      <w:pPr>
        <w:pStyle w:val="null3"/>
      </w:pPr>
      <w:r>
        <w:rPr>
          <w:rFonts w:ascii="仿宋_GB2312" w:hAnsi="仿宋_GB2312" w:cs="仿宋_GB2312" w:eastAsia="仿宋_GB2312"/>
        </w:rPr>
        <w:t>13、非联合体磋商声明：：本项目不接受联合体磋商，供应商需在项目电子化交易系统中按要求提供证明资料并进行电子签章。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陕西省延安监狱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延安市宝塔区柳林镇燕沟赵庄村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贺延伟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0911-2861615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陕西恒谦行工程管理咨询有限公司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陕西省西咸新区沣西新城沣西国际大厦 1 号楼 1004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马梅、梁乐乐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029-38016903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开户名称：陕西恒谦行工程管理咨询有限公司</w:t>
            </w:r>
          </w:p>
          <w:p>
            <w:pPr>
              <w:pStyle w:val="null3"/>
            </w:pPr>
            <w:r>
              <w:rPr>
                <w:rFonts w:ascii="仿宋_GB2312" w:hAnsi="仿宋_GB2312" w:cs="仿宋_GB2312" w:eastAsia="仿宋_GB2312"/>
              </w:rPr>
              <w:t>开户银行：中国建设银行股份有限公司咸阳分行</w:t>
            </w:r>
          </w:p>
          <w:p>
            <w:pPr>
              <w:pStyle w:val="null3"/>
            </w:pPr>
            <w:r>
              <w:rPr>
                <w:rFonts w:ascii="仿宋_GB2312" w:hAnsi="仿宋_GB2312" w:cs="仿宋_GB2312" w:eastAsia="仿宋_GB2312"/>
              </w:rPr>
              <w:t>银行账号：61050163530800000695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代理服务费收费标准：经过双方友好协商，本项目的招标代理服务费为固定总价人民币大写：壹万陆仟元整（小写：16000.00元），由采购人在项目结束后向招标代理机构支付。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陕西省延安监狱</w:t>
      </w:r>
      <w:r>
        <w:rPr>
          <w:rFonts w:ascii="仿宋_GB2312" w:hAnsi="仿宋_GB2312" w:cs="仿宋_GB2312" w:eastAsia="仿宋_GB2312"/>
        </w:rPr>
        <w:t>和</w:t>
      </w:r>
      <w:r>
        <w:rPr>
          <w:rFonts w:ascii="仿宋_GB2312" w:hAnsi="仿宋_GB2312" w:cs="仿宋_GB2312" w:eastAsia="仿宋_GB2312"/>
        </w:rPr>
        <w:t>陕西恒谦行工程管理咨询有限公司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陕西省延安监狱</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陕西恒谦行工程管理咨询有限公司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陕西省延安监狱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陕西恒谦行工程管理咨询有限公司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按照竞争性磋商文件要求执行。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陕西恒谦行工程管理咨询有限公司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陕西恒谦行工程管理咨询有限公司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陕西恒谦行工程管理咨询有限公司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联系人：马梅、梁乐乐</w:t>
      </w:r>
    </w:p>
    <w:p>
      <w:pPr>
        <w:pStyle w:val="null3"/>
      </w:pPr>
      <w:r>
        <w:rPr>
          <w:rFonts w:ascii="仿宋_GB2312" w:hAnsi="仿宋_GB2312" w:cs="仿宋_GB2312" w:eastAsia="仿宋_GB2312"/>
        </w:rPr>
        <w:t>联系电话：029-38016903</w:t>
      </w:r>
    </w:p>
    <w:p>
      <w:pPr>
        <w:pStyle w:val="null3"/>
      </w:pPr>
      <w:r>
        <w:rPr>
          <w:rFonts w:ascii="仿宋_GB2312" w:hAnsi="仿宋_GB2312" w:cs="仿宋_GB2312" w:eastAsia="仿宋_GB2312"/>
        </w:rPr>
        <w:t>地址：陕西省西咸新区沣西新城沣西国际大厦 1 号楼 1004 室</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1,250,000.00</w:t>
      </w:r>
    </w:p>
    <w:p>
      <w:pPr>
        <w:pStyle w:val="null3"/>
      </w:pPr>
      <w:r>
        <w:rPr>
          <w:rFonts w:ascii="仿宋_GB2312" w:hAnsi="仿宋_GB2312" w:cs="仿宋_GB2312" w:eastAsia="仿宋_GB2312"/>
        </w:rPr>
        <w:t>采购包最高限价（元）: 1,250,000.00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监舍楼设计</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其他未列明行业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标的名称：监舍楼设计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设计任务书</w:t>
            </w:r>
          </w:p>
        </w:tc>
        <w:tc>
          <w:tcPr>
            <w:tcW w:type="dxa" w:w="2076"/>
          </w:tcPr>
          <w:p>
            <w:pPr>
              <w:pStyle w:val="null3"/>
              <w:jc w:val="both"/>
            </w:pPr>
            <w:r>
              <w:rPr>
                <w:rFonts w:ascii="仿宋_GB2312" w:hAnsi="仿宋_GB2312" w:cs="仿宋_GB2312" w:eastAsia="仿宋_GB2312"/>
                <w:sz w:val="21"/>
                <w:color w:val="000000"/>
              </w:rPr>
              <w:t>一、项目基本情况</w:t>
            </w:r>
          </w:p>
          <w:p>
            <w:pPr>
              <w:pStyle w:val="null3"/>
              <w:jc w:val="both"/>
            </w:pP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该项目位于陕西省延安市宝塔区柳林镇燕沟路赵庄村。</w:t>
            </w:r>
            <w:r>
              <w:rPr>
                <w:rFonts w:ascii="仿宋_GB2312" w:hAnsi="仿宋_GB2312" w:cs="仿宋_GB2312" w:eastAsia="仿宋_GB2312"/>
                <w:sz w:val="21"/>
                <w:color w:val="000000"/>
              </w:rPr>
              <w:t xml:space="preserve">  </w:t>
            </w:r>
          </w:p>
          <w:p>
            <w:pPr>
              <w:pStyle w:val="null3"/>
              <w:jc w:val="both"/>
            </w:pPr>
            <w:r>
              <w:rPr>
                <w:rFonts w:ascii="仿宋_GB2312" w:hAnsi="仿宋_GB2312" w:cs="仿宋_GB2312" w:eastAsia="仿宋_GB2312"/>
                <w:sz w:val="21"/>
                <w:color w:val="000000"/>
              </w:rPr>
              <w:t>二、项目技术经济指标</w:t>
            </w:r>
          </w:p>
          <w:p>
            <w:pPr>
              <w:pStyle w:val="null3"/>
              <w:ind w:left="21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规划用地面积：</w:t>
            </w:r>
            <w:r>
              <w:rPr>
                <w:rFonts w:ascii="仿宋_GB2312" w:hAnsi="仿宋_GB2312" w:cs="仿宋_GB2312" w:eastAsia="仿宋_GB2312"/>
                <w:sz w:val="21"/>
                <w:color w:val="000000"/>
              </w:rPr>
              <w:t>5452㎡。</w:t>
            </w:r>
          </w:p>
          <w:p>
            <w:pPr>
              <w:pStyle w:val="null3"/>
              <w:ind w:left="210"/>
              <w:jc w:val="both"/>
            </w:pPr>
            <w:r>
              <w:rPr>
                <w:rFonts w:ascii="仿宋_GB2312" w:hAnsi="仿宋_GB2312" w:cs="仿宋_GB2312" w:eastAsia="仿宋_GB2312"/>
                <w:sz w:val="21"/>
              </w:rPr>
              <w:t>2、</w:t>
            </w:r>
            <w:r>
              <w:rPr>
                <w:rFonts w:ascii="仿宋_GB2312" w:hAnsi="仿宋_GB2312" w:cs="仿宋_GB2312" w:eastAsia="仿宋_GB2312"/>
                <w:sz w:val="21"/>
              </w:rPr>
              <w:t>用地性质：</w:t>
            </w:r>
            <w:r>
              <w:rPr>
                <w:rFonts w:ascii="仿宋_GB2312" w:hAnsi="仿宋_GB2312" w:cs="仿宋_GB2312" w:eastAsia="仿宋_GB2312"/>
                <w:sz w:val="21"/>
              </w:rPr>
              <w:t>监狱管理用地</w:t>
            </w:r>
            <w:r>
              <w:rPr>
                <w:rFonts w:ascii="仿宋_GB2312" w:hAnsi="仿宋_GB2312" w:cs="仿宋_GB2312" w:eastAsia="仿宋_GB2312"/>
                <w:sz w:val="21"/>
              </w:rPr>
              <w:t>。</w:t>
            </w:r>
          </w:p>
          <w:p>
            <w:pPr>
              <w:pStyle w:val="null3"/>
              <w:ind w:left="210"/>
              <w:jc w:val="both"/>
            </w:pPr>
            <w:r>
              <w:rPr>
                <w:rFonts w:ascii="仿宋_GB2312" w:hAnsi="仿宋_GB2312" w:cs="仿宋_GB2312" w:eastAsia="仿宋_GB2312"/>
                <w:sz w:val="21"/>
              </w:rPr>
              <w:t>3、</w:t>
            </w:r>
            <w:r>
              <w:rPr>
                <w:rFonts w:ascii="仿宋_GB2312" w:hAnsi="仿宋_GB2312" w:cs="仿宋_GB2312" w:eastAsia="仿宋_GB2312"/>
                <w:sz w:val="21"/>
              </w:rPr>
              <w:t>建筑使用性质：监舍。</w:t>
            </w:r>
          </w:p>
          <w:p>
            <w:pPr>
              <w:pStyle w:val="null3"/>
              <w:ind w:left="210"/>
              <w:jc w:val="both"/>
            </w:pPr>
            <w:r>
              <w:rPr>
                <w:rFonts w:ascii="仿宋_GB2312" w:hAnsi="仿宋_GB2312" w:cs="仿宋_GB2312" w:eastAsia="仿宋_GB2312"/>
                <w:sz w:val="21"/>
              </w:rPr>
              <w:t>4、</w:t>
            </w:r>
            <w:r>
              <w:rPr>
                <w:rFonts w:ascii="仿宋_GB2312" w:hAnsi="仿宋_GB2312" w:cs="仿宋_GB2312" w:eastAsia="仿宋_GB2312"/>
                <w:sz w:val="21"/>
              </w:rPr>
              <w:t>容积率：按照监狱建设</w:t>
            </w:r>
            <w:r>
              <w:rPr>
                <w:rFonts w:ascii="仿宋_GB2312" w:hAnsi="仿宋_GB2312" w:cs="仿宋_GB2312" w:eastAsia="仿宋_GB2312"/>
                <w:sz w:val="21"/>
                <w:color w:val="000000"/>
              </w:rPr>
              <w:t>标准执行。</w:t>
            </w:r>
          </w:p>
          <w:p>
            <w:pPr>
              <w:pStyle w:val="null3"/>
              <w:ind w:left="21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建筑规模：总建筑面积约为</w:t>
            </w:r>
            <w:r>
              <w:rPr>
                <w:rFonts w:ascii="仿宋_GB2312" w:hAnsi="仿宋_GB2312" w:cs="仿宋_GB2312" w:eastAsia="仿宋_GB2312"/>
                <w:sz w:val="21"/>
                <w:color w:val="000000"/>
              </w:rPr>
              <w:t>9824㎡（依实际设计面积为准），层数为5层，结构为钢筋砼框架结构。</w:t>
            </w:r>
          </w:p>
          <w:p>
            <w:pPr>
              <w:pStyle w:val="null3"/>
              <w:ind w:left="210"/>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建筑高度：不应超过</w:t>
            </w:r>
            <w:r>
              <w:rPr>
                <w:rFonts w:ascii="仿宋_GB2312" w:hAnsi="仿宋_GB2312" w:cs="仿宋_GB2312" w:eastAsia="仿宋_GB2312"/>
                <w:sz w:val="21"/>
                <w:color w:val="000000"/>
              </w:rPr>
              <w:t>24M。</w:t>
            </w:r>
          </w:p>
          <w:p>
            <w:pPr>
              <w:pStyle w:val="null3"/>
              <w:ind w:left="210"/>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绿地率：为</w:t>
            </w:r>
            <w:r>
              <w:rPr>
                <w:rFonts w:ascii="仿宋_GB2312" w:hAnsi="仿宋_GB2312" w:cs="仿宋_GB2312" w:eastAsia="仿宋_GB2312"/>
                <w:sz w:val="21"/>
                <w:color w:val="000000"/>
              </w:rPr>
              <w:t>20%。</w:t>
            </w:r>
          </w:p>
          <w:p>
            <w:pPr>
              <w:pStyle w:val="null3"/>
              <w:ind w:left="210"/>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建筑风格：整体以现代建筑风格为主，与周边建筑整体相融合。</w:t>
            </w:r>
          </w:p>
          <w:p>
            <w:pPr>
              <w:pStyle w:val="null3"/>
              <w:ind w:left="210"/>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总体布局要求：严格按照规划审批要求及监狱建设标准进行设计布局。</w:t>
            </w:r>
          </w:p>
          <w:p>
            <w:pPr>
              <w:pStyle w:val="null3"/>
              <w:jc w:val="both"/>
            </w:pPr>
            <w:r>
              <w:rPr>
                <w:rFonts w:ascii="仿宋_GB2312" w:hAnsi="仿宋_GB2312" w:cs="仿宋_GB2312" w:eastAsia="仿宋_GB2312"/>
                <w:sz w:val="21"/>
                <w:color w:val="000000"/>
              </w:rPr>
              <w:t>三、设计理念</w:t>
            </w:r>
          </w:p>
          <w:p>
            <w:pPr>
              <w:pStyle w:val="null3"/>
              <w:ind w:left="33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实用性：注重提高</w:t>
            </w:r>
            <w:r>
              <w:rPr>
                <w:rFonts w:ascii="仿宋_GB2312" w:hAnsi="仿宋_GB2312" w:cs="仿宋_GB2312" w:eastAsia="仿宋_GB2312"/>
                <w:sz w:val="21"/>
                <w:color w:val="000000"/>
              </w:rPr>
              <w:t>ZF使用效率及功能性。室内净高不应低于2.8M,楼内走廊净宽不低于2.4M,符合监狱人性化管理要求。</w:t>
            </w:r>
          </w:p>
          <w:p>
            <w:pPr>
              <w:pStyle w:val="null3"/>
              <w:ind w:left="33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经济性：规划设计和单体设计均要考虑使用资金最大化，力争保证一定资金下设计出建筑精品。</w:t>
            </w:r>
          </w:p>
          <w:p>
            <w:pPr>
              <w:pStyle w:val="null3"/>
              <w:ind w:left="33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规范性：设计方案必须遵守相关建筑设计标准及监狱建设标准，经济技术指标符合国家有关规范和标准。</w:t>
            </w:r>
          </w:p>
          <w:p>
            <w:pPr>
              <w:pStyle w:val="null3"/>
              <w:ind w:left="33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设计范围：建筑设计；结构设计（基础设计）；供排水设计；电气设计；暖通设计；信息化、安全防范设计；室外设计；临建设施设计。</w:t>
            </w:r>
          </w:p>
          <w:p>
            <w:pPr>
              <w:pStyle w:val="null3"/>
              <w:jc w:val="both"/>
            </w:pPr>
            <w:r>
              <w:rPr>
                <w:rFonts w:ascii="仿宋_GB2312" w:hAnsi="仿宋_GB2312" w:cs="仿宋_GB2312" w:eastAsia="仿宋_GB2312"/>
                <w:sz w:val="21"/>
                <w:color w:val="000000"/>
              </w:rPr>
              <w:t>四、规划设计原则</w:t>
            </w:r>
          </w:p>
          <w:p>
            <w:pPr>
              <w:pStyle w:val="null3"/>
              <w:ind w:left="195" w:firstLine="21"/>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建筑布局、造型、色彩应充分考虑与周边建筑关系。</w:t>
            </w:r>
          </w:p>
          <w:p>
            <w:pPr>
              <w:pStyle w:val="null3"/>
              <w:ind w:left="195" w:firstLine="21"/>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单体布置严格按照监狱规划批复及监狱建设标准要求执行。</w:t>
            </w:r>
          </w:p>
          <w:p>
            <w:pPr>
              <w:pStyle w:val="null3"/>
              <w:ind w:left="195" w:firstLine="21"/>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单体建筑一次性设计到位，分为两个年度实施。</w:t>
            </w:r>
          </w:p>
          <w:p>
            <w:pPr>
              <w:pStyle w:val="null3"/>
              <w:ind w:left="195" w:firstLine="21"/>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设计内容包含方案设计、初步设计、施工图设计及各阶段的概算文件</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 </w:t>
            </w:r>
          </w:p>
          <w:p>
            <w:pPr>
              <w:pStyle w:val="null3"/>
              <w:jc w:val="both"/>
            </w:pPr>
            <w:r>
              <w:rPr>
                <w:rFonts w:ascii="仿宋_GB2312" w:hAnsi="仿宋_GB2312" w:cs="仿宋_GB2312" w:eastAsia="仿宋_GB2312"/>
                <w:sz w:val="21"/>
                <w:color w:val="000000"/>
              </w:rPr>
              <w:t>五、设计成果</w:t>
            </w:r>
          </w:p>
          <w:p>
            <w:pPr>
              <w:pStyle w:val="null3"/>
              <w:ind w:firstLine="420"/>
              <w:jc w:val="left"/>
            </w:pPr>
            <w:r>
              <w:rPr>
                <w:rFonts w:ascii="仿宋_GB2312" w:hAnsi="仿宋_GB2312" w:cs="仿宋_GB2312" w:eastAsia="仿宋_GB2312"/>
                <w:sz w:val="21"/>
                <w:color w:val="000000"/>
              </w:rPr>
              <w:t>设计方案</w:t>
            </w:r>
            <w:r>
              <w:rPr>
                <w:rFonts w:ascii="仿宋_GB2312" w:hAnsi="仿宋_GB2312" w:cs="仿宋_GB2312" w:eastAsia="仿宋_GB2312"/>
                <w:sz w:val="21"/>
                <w:color w:val="000000"/>
              </w:rPr>
              <w:t>：</w:t>
            </w:r>
            <w:r>
              <w:rPr>
                <w:rFonts w:ascii="仿宋_GB2312" w:hAnsi="仿宋_GB2312" w:cs="仿宋_GB2312" w:eastAsia="仿宋_GB2312"/>
                <w:sz w:val="21"/>
                <w:color w:val="000000"/>
              </w:rPr>
              <w:t>应</w:t>
            </w:r>
            <w:r>
              <w:rPr>
                <w:rFonts w:ascii="仿宋_GB2312" w:hAnsi="仿宋_GB2312" w:cs="仿宋_GB2312" w:eastAsia="仿宋_GB2312"/>
                <w:sz w:val="21"/>
                <w:color w:val="000000"/>
              </w:rPr>
              <w:t>A3装订，6册，并提供电子版两套、效果图、总平面图、鸟瞰图、竖向分析图等相关图纸。</w:t>
            </w:r>
          </w:p>
          <w:p>
            <w:pPr>
              <w:pStyle w:val="null3"/>
              <w:ind w:firstLine="420"/>
              <w:jc w:val="left"/>
            </w:pPr>
            <w:r>
              <w:rPr>
                <w:rFonts w:ascii="仿宋_GB2312" w:hAnsi="仿宋_GB2312" w:cs="仿宋_GB2312" w:eastAsia="仿宋_GB2312"/>
                <w:sz w:val="21"/>
                <w:color w:val="000000"/>
              </w:rPr>
              <w:t>初步设计：各专业</w:t>
            </w:r>
            <w:r>
              <w:rPr>
                <w:rFonts w:ascii="仿宋_GB2312" w:hAnsi="仿宋_GB2312" w:cs="仿宋_GB2312" w:eastAsia="仿宋_GB2312"/>
                <w:sz w:val="21"/>
                <w:color w:val="000000"/>
              </w:rPr>
              <w:t>初步</w:t>
            </w:r>
            <w:r>
              <w:rPr>
                <w:rFonts w:ascii="仿宋_GB2312" w:hAnsi="仿宋_GB2312" w:cs="仿宋_GB2312" w:eastAsia="仿宋_GB2312"/>
                <w:sz w:val="21"/>
                <w:color w:val="000000"/>
              </w:rPr>
              <w:t>设计图纸提供</w:t>
            </w:r>
            <w:r>
              <w:rPr>
                <w:rFonts w:ascii="仿宋_GB2312" w:hAnsi="仿宋_GB2312" w:cs="仿宋_GB2312" w:eastAsia="仿宋_GB2312"/>
                <w:sz w:val="21"/>
                <w:color w:val="000000"/>
              </w:rPr>
              <w:t>6</w:t>
            </w:r>
            <w:r>
              <w:rPr>
                <w:rFonts w:ascii="仿宋_GB2312" w:hAnsi="仿宋_GB2312" w:cs="仿宋_GB2312" w:eastAsia="仿宋_GB2312"/>
                <w:sz w:val="21"/>
                <w:color w:val="000000"/>
              </w:rPr>
              <w:t>套蓝图</w:t>
            </w:r>
            <w:r>
              <w:rPr>
                <w:rFonts w:ascii="仿宋_GB2312" w:hAnsi="仿宋_GB2312" w:cs="仿宋_GB2312" w:eastAsia="仿宋_GB2312"/>
                <w:sz w:val="21"/>
                <w:color w:val="000000"/>
              </w:rPr>
              <w:t>，</w:t>
            </w:r>
            <w:r>
              <w:rPr>
                <w:rFonts w:ascii="仿宋_GB2312" w:hAnsi="仿宋_GB2312" w:cs="仿宋_GB2312" w:eastAsia="仿宋_GB2312"/>
                <w:sz w:val="21"/>
                <w:color w:val="000000"/>
              </w:rPr>
              <w:t>6套说明</w:t>
            </w:r>
            <w:r>
              <w:rPr>
                <w:rFonts w:ascii="仿宋_GB2312" w:hAnsi="仿宋_GB2312" w:cs="仿宋_GB2312" w:eastAsia="仿宋_GB2312"/>
                <w:sz w:val="21"/>
                <w:color w:val="000000"/>
              </w:rPr>
              <w:t>。</w:t>
            </w:r>
          </w:p>
          <w:p>
            <w:pPr>
              <w:pStyle w:val="null3"/>
              <w:ind w:firstLine="420"/>
              <w:jc w:val="left"/>
            </w:pPr>
            <w:r>
              <w:rPr>
                <w:rFonts w:ascii="仿宋_GB2312" w:hAnsi="仿宋_GB2312" w:cs="仿宋_GB2312" w:eastAsia="仿宋_GB2312"/>
                <w:sz w:val="21"/>
                <w:color w:val="000000"/>
              </w:rPr>
              <w:t>初步设计概算：根据采购人要求提供</w:t>
            </w:r>
            <w:r>
              <w:rPr>
                <w:rFonts w:ascii="仿宋_GB2312" w:hAnsi="仿宋_GB2312" w:cs="仿宋_GB2312" w:eastAsia="仿宋_GB2312"/>
                <w:sz w:val="21"/>
                <w:color w:val="000000"/>
              </w:rPr>
              <w:t>4本。</w:t>
            </w:r>
          </w:p>
          <w:p>
            <w:pPr>
              <w:pStyle w:val="null3"/>
              <w:jc w:val="both"/>
            </w:pPr>
            <w:r>
              <w:rPr>
                <w:rFonts w:ascii="仿宋_GB2312" w:hAnsi="仿宋_GB2312" w:cs="仿宋_GB2312" w:eastAsia="仿宋_GB2312"/>
                <w:sz w:val="21"/>
                <w:color w:val="000000"/>
              </w:rPr>
              <w:t xml:space="preserve">   施工图设计：各专业设计施工图纸提供</w:t>
            </w:r>
            <w:r>
              <w:rPr>
                <w:rFonts w:ascii="仿宋_GB2312" w:hAnsi="仿宋_GB2312" w:cs="仿宋_GB2312" w:eastAsia="仿宋_GB2312"/>
                <w:sz w:val="21"/>
                <w:color w:val="000000"/>
              </w:rPr>
              <w:t>10套蓝图（含两套精装图）。</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服务要求：满足本项目采购需求及采购人要求。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服务地点：采购人指定地点。</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本项目为设计招标，竞争性磋商文件中工程量清单及项目经理等施工要求不适用于本项目，商务条款以此处为准： 1、服务周期：自设计合同签订之日起5日内完成方案设计，方案确认后15日内完成初步设计，初步设计确认后25日内完成施工图设计，施工期间根据实际需要提供设计变更及后期服务，直至项目竣工验收。 2、磋商报价要求：本次招标采用固定费率报价，磋商总价以暂定的工程费用（4150万元）为基数进行计算，磋商总价仅作为本项目评标使用，最终结算设计费用以本项目施工招标后的中标价为基数，乘以本次中标费率进行计算。供应商根据市场价相关信息以及企业自身情况，自主报价，但不得超出本项目的最高限价及采购预算。如超出，将按照无效响应处理。 供应商在充分考虑本项目的实际工作量、技术含量、难易程度、复杂性及市场风险等因素的基础上按竞争性磋商文件中的报价格式要求填报总价，包括但不限于：初步设计、相关审批手续办理、配合费、以及其他完成本竞争性磋商文件规定的义务以及供应商认为有必要计入的其他费用等全部费用，协助采购人通过相关行政主管部门审批，并承担非政策性费用。除合同约定的奖罚规定之外，采购人不因任何原因调整结算价格。 3、付款方式：设计合同签订后，采购人向成交人支付签订合同价款的20%作为预付款，成交人按采购人要求开具增值税发票；初步设计完成后，采购人向成交人支付签订合同价款的10%，成交人按采购人要求开具增值税发票；施工图设计完成后，采购人向成交人支付签订合同价款的20%，成交人按采购人要求开具增值税发票；本项目施工单位确定后，按照施工单位的中标价调整本项目的实际设计费，根据工程及设计进度支付设计费用，工程完工并验收合格后付清本项目设计费，成交人按采购人要求开具增值税发票； 4、服务要求：满足本项目采购需求及采购人要求； 5、 服务地点：采购人指定地点； 6、响应文件填写说明：响应文件格式中出现的施工范围均填写本项目设计范围，施工工期均填写本项目服务周期，项目经理均填写本项目设计项目负责人，已标价工程清单无须填写。 7、本项目为非面向中小企业采购，符合磋商文件规定的小微企业、监狱企业、残疾人福利性单位优惠条件的供应商，价格给予10%的扣除，以扣除后的价格参与评审。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经审计的2023或2024年度的财务报告（成立时间至递交响应文件截止时间不足一年的可提供成立后任意时段的资产负债表、利润表、现金流），或递交响应文件截止时间前六个月内银行出具的资信证明；其他组织提供银行出具的资信证明或财务报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投标人认为需要提交的其他资料.docx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供应商须为具有独立承担民事责任能力的法人或其他组织，出具合法有效的营业执照或事业单位法人证书等国家规定的相关证明，供应商需在项目电子化交易系统中按要求提供证明资料并进行电子签章；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供应商须具有良好的商业信誉：</w:t>
            </w:r>
          </w:p>
        </w:tc>
        <w:tc>
          <w:tcPr>
            <w:tcW w:type="dxa" w:w="3322"/>
          </w:tcPr>
          <w:p>
            <w:pPr>
              <w:pStyle w:val="null3"/>
            </w:pPr>
            <w:r>
              <w:rPr>
                <w:rFonts w:ascii="仿宋_GB2312" w:hAnsi="仿宋_GB2312" w:cs="仿宋_GB2312" w:eastAsia="仿宋_GB2312"/>
              </w:rPr>
              <w:t>截止响应文件递交截止时间之前，供应商不得在“中国执行信息公开网”网站（http://zxgk.court.gov.cn/shixin/）被列为失信被执行人、不得在“信用中国”网站（https://www.creditchina.gov.cn/）被列入重大税收违法失信主体；未被列入“中国政府采购网(www.ccgp.gov.cn)”政府采购严重违法失信行为记录名单，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w:t>
            </w:r>
          </w:p>
        </w:tc>
        <w:tc>
          <w:tcPr>
            <w:tcW w:type="dxa" w:w="3322"/>
          </w:tcPr>
          <w:p>
            <w:pPr>
              <w:pStyle w:val="null3"/>
            </w:pPr>
            <w:r>
              <w:rPr>
                <w:rFonts w:ascii="仿宋_GB2312" w:hAnsi="仿宋_GB2312" w:cs="仿宋_GB2312" w:eastAsia="仿宋_GB2312"/>
              </w:rPr>
              <w:t>法人提供经审计的2023或2024年度的财务报告（成立时间至递交响应文件截止时间不足一年的可提供成立后任意时段的资产负债表、利润表、现金流），或递交响应文件截止时间前六个月内银行出具的资信证明；其他组织提供银行出具的资信证明或财务报表，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所必需的设备和专业技术能力承诺书：</w:t>
            </w:r>
          </w:p>
        </w:tc>
        <w:tc>
          <w:tcPr>
            <w:tcW w:type="dxa" w:w="3322"/>
          </w:tcPr>
          <w:p>
            <w:pPr>
              <w:pStyle w:val="null3"/>
            </w:pPr>
            <w:r>
              <w:rPr>
                <w:rFonts w:ascii="仿宋_GB2312" w:hAnsi="仿宋_GB2312" w:cs="仿宋_GB2312" w:eastAsia="仿宋_GB2312"/>
              </w:rPr>
              <w:t>供应商须具有履行合同所必需的设备和专业技术能力,根据自身情况提供承诺书，供应商需在项目电子化交易系统中按要求提供证明资料并进行电子签章；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具有依法缴纳税收的良好记录：</w:t>
            </w:r>
          </w:p>
        </w:tc>
        <w:tc>
          <w:tcPr>
            <w:tcW w:type="dxa" w:w="3322"/>
          </w:tcPr>
          <w:p>
            <w:pPr>
              <w:pStyle w:val="null3"/>
            </w:pPr>
            <w:r>
              <w:rPr>
                <w:rFonts w:ascii="仿宋_GB2312" w:hAnsi="仿宋_GB2312" w:cs="仿宋_GB2312" w:eastAsia="仿宋_GB2312"/>
              </w:rPr>
              <w:t>提供递交响应文件截止时间前一年内至少一个月依法缴纳税收的相关凭据（时间以税款所属日期为准，税种须包含增值税或企业所得税，凭据应有税务机关或代收机关的公章或业务专用章）；其他组织提供缴纳税收的凭据；依法免征、减征、零申报的供应商应提供相关文件证明，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具有依法缴纳社会保障资金的良好记录：</w:t>
            </w:r>
          </w:p>
        </w:tc>
        <w:tc>
          <w:tcPr>
            <w:tcW w:type="dxa" w:w="3322"/>
          </w:tcPr>
          <w:p>
            <w:pPr>
              <w:pStyle w:val="null3"/>
            </w:pPr>
            <w:r>
              <w:rPr>
                <w:rFonts w:ascii="仿宋_GB2312" w:hAnsi="仿宋_GB2312" w:cs="仿宋_GB2312" w:eastAsia="仿宋_GB2312"/>
              </w:rPr>
              <w:t>提供递交响应文件截止时间前一年内至少一个月已缴纳的社会保障资金的凭据（社会保障资金缴存单据或社保机构开具的社会保险参保缴费情况证明）；依法不需要缴纳社会保障资金的供应商应提供相关文件证明，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有建设行政主管部门颁发的【工程设计】综合甲级资质，或【建筑行业设计】乙级及以上资质，或【建筑行业（建筑工程）专业设计】乙级及以上资质，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拟派项目设计负责人：</w:t>
            </w:r>
          </w:p>
        </w:tc>
        <w:tc>
          <w:tcPr>
            <w:tcW w:type="dxa" w:w="3322"/>
          </w:tcPr>
          <w:p>
            <w:pPr>
              <w:pStyle w:val="null3"/>
            </w:pPr>
            <w:r>
              <w:rPr>
                <w:rFonts w:ascii="仿宋_GB2312" w:hAnsi="仿宋_GB2312" w:cs="仿宋_GB2312" w:eastAsia="仿宋_GB2312"/>
              </w:rPr>
              <w:t>拟派设计项目负责人须具备【一级注册建筑师】或【一级注册结构工程师】执业资格，且在本单位注册，供应商需在项目电子化交易系统中按要求提供证明资料并进行电子签章；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官方网站可查询：</w:t>
            </w:r>
          </w:p>
        </w:tc>
        <w:tc>
          <w:tcPr>
            <w:tcW w:type="dxa" w:w="3322"/>
          </w:tcPr>
          <w:p>
            <w:pPr>
              <w:pStyle w:val="null3"/>
            </w:pPr>
            <w:r>
              <w:rPr>
                <w:rFonts w:ascii="仿宋_GB2312" w:hAnsi="仿宋_GB2312" w:cs="仿宋_GB2312" w:eastAsia="仿宋_GB2312"/>
              </w:rPr>
              <w:t>供应商及其拟派项目设计负责人须在“陕西省住房和城乡建设厅”官方网站可查询，供应商需在项目电子化交易系统中按要求提供证明资料并进行电子签章；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单位负责人为同一人或者存在直接控股、管理关系的不同供应商，不得参加同一合同项下的磋商活动，供应商需在项目电子化交易系统中按要求提供证明资料并进行电子签章；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法定代表人身份证明书或授权委托书：</w:t>
            </w:r>
          </w:p>
        </w:tc>
        <w:tc>
          <w:tcPr>
            <w:tcW w:type="dxa" w:w="3322"/>
          </w:tcPr>
          <w:p>
            <w:pPr>
              <w:pStyle w:val="null3"/>
            </w:pPr>
            <w:r>
              <w:rPr>
                <w:rFonts w:ascii="仿宋_GB2312" w:hAnsi="仿宋_GB2312" w:cs="仿宋_GB2312" w:eastAsia="仿宋_GB2312"/>
              </w:rPr>
              <w:t>供应商应提供法定代表人身份证明书或授权委托书。法定代表人直接参加的，须出具法定代表人身份证明书，并与营业执照上信息一致；被授权人参加的，须出具法定代表人授权委托书，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非联合体磋商声明：</w:t>
            </w:r>
          </w:p>
        </w:tc>
        <w:tc>
          <w:tcPr>
            <w:tcW w:type="dxa" w:w="3322"/>
          </w:tcPr>
          <w:p>
            <w:pPr>
              <w:pStyle w:val="null3"/>
            </w:pPr>
            <w:r>
              <w:rPr>
                <w:rFonts w:ascii="仿宋_GB2312" w:hAnsi="仿宋_GB2312" w:cs="仿宋_GB2312" w:eastAsia="仿宋_GB2312"/>
              </w:rPr>
              <w:t>本项目不接受联合体磋商，供应商需在项目电子化交易系统中按要求提供证明资料并进行电子签章。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响应文件封面 首轮报价表.docx 分项报价表 报价函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供应商名称是否与营业执照、资质证书一致</w:t>
            </w:r>
          </w:p>
        </w:tc>
        <w:tc>
          <w:tcPr>
            <w:tcW w:type="dxa" w:w="3322"/>
          </w:tcPr>
          <w:p>
            <w:pPr>
              <w:pStyle w:val="null3"/>
            </w:pPr>
            <w:r>
              <w:rPr>
                <w:rFonts w:ascii="仿宋_GB2312" w:hAnsi="仿宋_GB2312" w:cs="仿宋_GB2312" w:eastAsia="仿宋_GB2312"/>
              </w:rPr>
              <w:t>供应商名称应与营业执照、资质证书一致</w:t>
            </w:r>
          </w:p>
        </w:tc>
        <w:tc>
          <w:tcPr>
            <w:tcW w:type="dxa" w:w="1661"/>
          </w:tcPr>
          <w:p>
            <w:pPr>
              <w:pStyle w:val="null3"/>
            </w:pPr>
            <w:r>
              <w:rPr>
                <w:rFonts w:ascii="仿宋_GB2312" w:hAnsi="仿宋_GB2312" w:cs="仿宋_GB2312" w:eastAsia="仿宋_GB2312"/>
              </w:rPr>
              <w:t>响应文件封面 首轮报价表.docx 报价函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响应文件是否按竞争性磋商文件要求签署、盖章的</w:t>
            </w:r>
          </w:p>
        </w:tc>
        <w:tc>
          <w:tcPr>
            <w:tcW w:type="dxa" w:w="3322"/>
          </w:tcPr>
          <w:p>
            <w:pPr>
              <w:pStyle w:val="null3"/>
            </w:pPr>
            <w:r>
              <w:rPr>
                <w:rFonts w:ascii="仿宋_GB2312" w:hAnsi="仿宋_GB2312" w:cs="仿宋_GB2312" w:eastAsia="仿宋_GB2312"/>
              </w:rPr>
              <w:t>响应文件需在项目电子化交易系统中按要求填写并进行电子签章。</w:t>
            </w:r>
          </w:p>
        </w:tc>
        <w:tc>
          <w:tcPr>
            <w:tcW w:type="dxa" w:w="1661"/>
          </w:tcPr>
          <w:p>
            <w:pPr>
              <w:pStyle w:val="null3"/>
            </w:pPr>
            <w:r>
              <w:rPr>
                <w:rFonts w:ascii="仿宋_GB2312" w:hAnsi="仿宋_GB2312" w:cs="仿宋_GB2312" w:eastAsia="仿宋_GB2312"/>
              </w:rPr>
              <w:t>响应文件封面 首轮报价表.docx 报价函 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响应文件报价是否唯一</w:t>
            </w:r>
          </w:p>
        </w:tc>
        <w:tc>
          <w:tcPr>
            <w:tcW w:type="dxa" w:w="3322"/>
          </w:tcPr>
          <w:p>
            <w:pPr>
              <w:pStyle w:val="null3"/>
            </w:pPr>
            <w:r>
              <w:rPr>
                <w:rFonts w:ascii="仿宋_GB2312" w:hAnsi="仿宋_GB2312" w:cs="仿宋_GB2312" w:eastAsia="仿宋_GB2312"/>
              </w:rPr>
              <w:t>每次报价只能有一个有效报价，原则上二次报价为最后报价，且二次报价不得超过一次报价。</w:t>
            </w:r>
          </w:p>
        </w:tc>
        <w:tc>
          <w:tcPr>
            <w:tcW w:type="dxa" w:w="1661"/>
          </w:tcPr>
          <w:p>
            <w:pPr>
              <w:pStyle w:val="null3"/>
            </w:pPr>
            <w:r>
              <w:rPr>
                <w:rFonts w:ascii="仿宋_GB2312" w:hAnsi="仿宋_GB2312" w:cs="仿宋_GB2312" w:eastAsia="仿宋_GB2312"/>
              </w:rPr>
              <w:t>响应文件封面 首轮报价表.docx 报价函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供应商是否提交磋商保证金</w:t>
            </w:r>
          </w:p>
        </w:tc>
        <w:tc>
          <w:tcPr>
            <w:tcW w:type="dxa" w:w="3322"/>
          </w:tcPr>
          <w:p>
            <w:pPr>
              <w:pStyle w:val="null3"/>
            </w:pPr>
            <w:r>
              <w:rPr>
                <w:rFonts w:ascii="仿宋_GB2312" w:hAnsi="仿宋_GB2312" w:cs="仿宋_GB2312" w:eastAsia="仿宋_GB2312"/>
              </w:rPr>
              <w:t>供应商应按照竞争性磋商文件的规定提交磋商保证金。</w:t>
            </w:r>
          </w:p>
        </w:tc>
        <w:tc>
          <w:tcPr>
            <w:tcW w:type="dxa" w:w="1661"/>
          </w:tcPr>
          <w:p>
            <w:pPr>
              <w:pStyle w:val="null3"/>
            </w:pPr>
            <w:r>
              <w:rPr>
                <w:rFonts w:ascii="仿宋_GB2312" w:hAnsi="仿宋_GB2312" w:cs="仿宋_GB2312" w:eastAsia="仿宋_GB2312"/>
              </w:rPr>
              <w:t>投标保证金.docx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服务周期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响应文件封面 商务、技术偏离表.docx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服务要求</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响应文件封面 商务、技术偏离表.docx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响应文件中是否含有采购人不能接受的附加条件的或其他情形</w:t>
            </w:r>
          </w:p>
        </w:tc>
        <w:tc>
          <w:tcPr>
            <w:tcW w:type="dxa" w:w="3322"/>
          </w:tcPr>
          <w:p>
            <w:pPr>
              <w:pStyle w:val="null3"/>
            </w:pPr>
            <w:r>
              <w:rPr>
                <w:rFonts w:ascii="仿宋_GB2312" w:hAnsi="仿宋_GB2312" w:cs="仿宋_GB2312" w:eastAsia="仿宋_GB2312"/>
              </w:rPr>
              <w:t>响应文件中未含有采购人不能接受的附加条件的或其他情形。</w:t>
            </w:r>
          </w:p>
        </w:tc>
        <w:tc>
          <w:tcPr>
            <w:tcW w:type="dxa" w:w="1661"/>
          </w:tcPr>
          <w:p>
            <w:pPr>
              <w:pStyle w:val="null3"/>
            </w:pPr>
            <w:r>
              <w:rPr>
                <w:rFonts w:ascii="仿宋_GB2312" w:hAnsi="仿宋_GB2312" w:cs="仿宋_GB2312" w:eastAsia="仿宋_GB2312"/>
              </w:rPr>
              <w:t>响应文件封面 已标价工程量清单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评审得分相同的，按照最后报价由低到高的顺序推荐。评审得分且最后报价相同的，按照设计方案优劣顺序推荐。</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供应商提供自2022年1月1日至本项目响应文件递交截止时间前的类似业绩证明材料，每提供1项得2分，最多得10分。未提供的不得分。 评审依据：提供合同的复印件或扫描件加盖公章，时间以合同签订时间为准。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企业近年完成的类似业绩汇总表.docx</w:t>
            </w:r>
          </w:p>
        </w:tc>
      </w:tr>
      <w:tr>
        <w:tc>
          <w:tcPr>
            <w:tcW w:type="dxa" w:w="831"/>
            <w:vMerge/>
          </w:tcPr>
          <w:p/>
        </w:tc>
        <w:tc>
          <w:tcPr>
            <w:tcW w:type="dxa" w:w="1661"/>
          </w:tcPr>
          <w:p>
            <w:pPr>
              <w:pStyle w:val="null3"/>
            </w:pPr>
            <w:r>
              <w:rPr>
                <w:rFonts w:ascii="仿宋_GB2312" w:hAnsi="仿宋_GB2312" w:cs="仿宋_GB2312" w:eastAsia="仿宋_GB2312"/>
              </w:rPr>
              <w:t>拟派项目设计负责人职称</w:t>
            </w:r>
          </w:p>
        </w:tc>
        <w:tc>
          <w:tcPr>
            <w:tcW w:type="dxa" w:w="2492"/>
          </w:tcPr>
          <w:p>
            <w:pPr>
              <w:pStyle w:val="null3"/>
            </w:pPr>
            <w:r>
              <w:rPr>
                <w:rFonts w:ascii="仿宋_GB2312" w:hAnsi="仿宋_GB2312" w:cs="仿宋_GB2312" w:eastAsia="仿宋_GB2312"/>
              </w:rPr>
              <w:t>拟派项目设计负责人具备正高级职称得3分；副高级职称得2分；其余情况不得分。 评审依据：评审时以供应商提供的加盖供应商公章的拟派项目设计负责人最高职称证书的扫描件或复印件为准，提供多个职称证明材料的，以最高职称材料为准，未提供的不得分。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拟派项目设计负责人简历表.docx</w:t>
            </w:r>
          </w:p>
        </w:tc>
      </w:tr>
      <w:tr>
        <w:tc>
          <w:tcPr>
            <w:tcW w:type="dxa" w:w="831"/>
            <w:vMerge/>
          </w:tcPr>
          <w:p/>
        </w:tc>
        <w:tc>
          <w:tcPr>
            <w:tcW w:type="dxa" w:w="1661"/>
          </w:tcPr>
          <w:p>
            <w:pPr>
              <w:pStyle w:val="null3"/>
            </w:pPr>
            <w:r>
              <w:rPr>
                <w:rFonts w:ascii="仿宋_GB2312" w:hAnsi="仿宋_GB2312" w:cs="仿宋_GB2312" w:eastAsia="仿宋_GB2312"/>
              </w:rPr>
              <w:t>拟派项目设计负责人学历</w:t>
            </w:r>
          </w:p>
        </w:tc>
        <w:tc>
          <w:tcPr>
            <w:tcW w:type="dxa" w:w="2492"/>
          </w:tcPr>
          <w:p>
            <w:pPr>
              <w:pStyle w:val="null3"/>
            </w:pPr>
            <w:r>
              <w:rPr>
                <w:rFonts w:ascii="仿宋_GB2312" w:hAnsi="仿宋_GB2312" w:cs="仿宋_GB2312" w:eastAsia="仿宋_GB2312"/>
              </w:rPr>
              <w:t>拟派项目设计负责人具备本科及以上学历得2分，具备大专学历得1分；其余情况不得分。 评审依据：以供应商提供的加盖公章的拟派项目设计负责人学历证书的扫描件或复印件为准，提供多个学历或学位证书的，以最高学历为准，未提供的不得分。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拟派项目设计负责人简历表.docx</w:t>
            </w:r>
          </w:p>
        </w:tc>
      </w:tr>
      <w:tr>
        <w:tc>
          <w:tcPr>
            <w:tcW w:type="dxa" w:w="831"/>
            <w:vMerge/>
          </w:tcPr>
          <w:p/>
        </w:tc>
        <w:tc>
          <w:tcPr>
            <w:tcW w:type="dxa" w:w="1661"/>
          </w:tcPr>
          <w:p>
            <w:pPr>
              <w:pStyle w:val="null3"/>
            </w:pPr>
            <w:r>
              <w:rPr>
                <w:rFonts w:ascii="仿宋_GB2312" w:hAnsi="仿宋_GB2312" w:cs="仿宋_GB2312" w:eastAsia="仿宋_GB2312"/>
              </w:rPr>
              <w:t>拟派项目设计负责人业绩</w:t>
            </w:r>
          </w:p>
        </w:tc>
        <w:tc>
          <w:tcPr>
            <w:tcW w:type="dxa" w:w="2492"/>
          </w:tcPr>
          <w:p>
            <w:pPr>
              <w:pStyle w:val="null3"/>
            </w:pPr>
            <w:r>
              <w:rPr>
                <w:rFonts w:ascii="仿宋_GB2312" w:hAnsi="仿宋_GB2312" w:cs="仿宋_GB2312" w:eastAsia="仿宋_GB2312"/>
              </w:rPr>
              <w:t>供应商提供自2022年1月1日至本项目响应文件递交截止时间前类似业绩证明材料，每提供1项得2分，最多得5分。未提供的不得分。 评审依据：提供合同的复印件或扫描件加盖公章，时间以合同签订时间为准。上述证明文件中须体现项目设计负责人的姓名。（拟派设计项目负责人业绩与企业业绩可重复计分）。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拟派项目设计负责人简历表.docx</w:t>
            </w:r>
          </w:p>
        </w:tc>
      </w:tr>
      <w:tr>
        <w:tc>
          <w:tcPr>
            <w:tcW w:type="dxa" w:w="831"/>
            <w:vMerge/>
          </w:tcPr>
          <w:p/>
        </w:tc>
        <w:tc>
          <w:tcPr>
            <w:tcW w:type="dxa" w:w="1661"/>
          </w:tcPr>
          <w:p>
            <w:pPr>
              <w:pStyle w:val="null3"/>
            </w:pPr>
            <w:r>
              <w:rPr>
                <w:rFonts w:ascii="仿宋_GB2312" w:hAnsi="仿宋_GB2312" w:cs="仿宋_GB2312" w:eastAsia="仿宋_GB2312"/>
              </w:rPr>
              <w:t>项目组人员构成1</w:t>
            </w:r>
          </w:p>
        </w:tc>
        <w:tc>
          <w:tcPr>
            <w:tcW w:type="dxa" w:w="2492"/>
          </w:tcPr>
          <w:p>
            <w:pPr>
              <w:pStyle w:val="null3"/>
            </w:pPr>
            <w:r>
              <w:rPr>
                <w:rFonts w:ascii="仿宋_GB2312" w:hAnsi="仿宋_GB2312" w:cs="仿宋_GB2312" w:eastAsia="仿宋_GB2312"/>
              </w:rPr>
              <w:t>除项目设计负责人外，项目组人员应专业配备合理，数量最少为7人（建筑专业2人、结构专业1人、给水排水专业1人、暖通空调专业1人、电气专业1人、造价专业1人）；若配备人员少于规定人数，每少1人扣1分，扣完为止。 评审依据：提供身份证和相应专业注册证书，评审时以供应商提供加盖公章的证书复印件为准。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项目组人员构成汇总表.docx</w:t>
            </w:r>
          </w:p>
        </w:tc>
      </w:tr>
      <w:tr>
        <w:tc>
          <w:tcPr>
            <w:tcW w:type="dxa" w:w="831"/>
            <w:vMerge/>
          </w:tcPr>
          <w:p/>
        </w:tc>
        <w:tc>
          <w:tcPr>
            <w:tcW w:type="dxa" w:w="1661"/>
          </w:tcPr>
          <w:p>
            <w:pPr>
              <w:pStyle w:val="null3"/>
            </w:pPr>
            <w:r>
              <w:rPr>
                <w:rFonts w:ascii="仿宋_GB2312" w:hAnsi="仿宋_GB2312" w:cs="仿宋_GB2312" w:eastAsia="仿宋_GB2312"/>
              </w:rPr>
              <w:t>项目组人员构成人员2</w:t>
            </w:r>
          </w:p>
        </w:tc>
        <w:tc>
          <w:tcPr>
            <w:tcW w:type="dxa" w:w="2492"/>
          </w:tcPr>
          <w:p>
            <w:pPr>
              <w:pStyle w:val="null3"/>
            </w:pPr>
            <w:r>
              <w:rPr>
                <w:rFonts w:ascii="仿宋_GB2312" w:hAnsi="仿宋_GB2312" w:cs="仿宋_GB2312" w:eastAsia="仿宋_GB2312"/>
              </w:rPr>
              <w:t>在满足上述基本人员配备的基础上每增加1位注册人员加1分，最多加3分； 评审依据：提供身份证和相应专业注册证书，评审时以供应商提供加盖公章的证书复印件为准，未提供以上资料的相应人员不予认定和赋分。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项目组人员构成汇总表.docx</w:t>
            </w:r>
          </w:p>
        </w:tc>
      </w:tr>
      <w:tr>
        <w:tc>
          <w:tcPr>
            <w:tcW w:type="dxa" w:w="831"/>
            <w:vMerge/>
          </w:tcPr>
          <w:p/>
        </w:tc>
        <w:tc>
          <w:tcPr>
            <w:tcW w:type="dxa" w:w="1661"/>
          </w:tcPr>
          <w:p>
            <w:pPr>
              <w:pStyle w:val="null3"/>
            </w:pPr>
            <w:r>
              <w:rPr>
                <w:rFonts w:ascii="仿宋_GB2312" w:hAnsi="仿宋_GB2312" w:cs="仿宋_GB2312" w:eastAsia="仿宋_GB2312"/>
              </w:rPr>
              <w:t>财务状况</w:t>
            </w:r>
          </w:p>
        </w:tc>
        <w:tc>
          <w:tcPr>
            <w:tcW w:type="dxa" w:w="2492"/>
          </w:tcPr>
          <w:p>
            <w:pPr>
              <w:pStyle w:val="null3"/>
            </w:pPr>
            <w:r>
              <w:rPr>
                <w:rFonts w:ascii="仿宋_GB2312" w:hAnsi="仿宋_GB2312" w:cs="仿宋_GB2312" w:eastAsia="仿宋_GB2312"/>
              </w:rPr>
              <w:t>供应商近三年财务状况良好得2-5分，一般得0-2。 评审依据：响应文件中附经审计后的财务审计报告复印件加盖公章。供应商成立不足三年的，提供企业成立至今的。</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近三年财务状况.docx</w:t>
            </w:r>
          </w:p>
        </w:tc>
      </w:tr>
      <w:tr>
        <w:tc>
          <w:tcPr>
            <w:tcW w:type="dxa" w:w="831"/>
            <w:vMerge/>
          </w:tcPr>
          <w:p/>
        </w:tc>
        <w:tc>
          <w:tcPr>
            <w:tcW w:type="dxa" w:w="1661"/>
          </w:tcPr>
          <w:p>
            <w:pPr>
              <w:pStyle w:val="null3"/>
            </w:pPr>
            <w:r>
              <w:rPr>
                <w:rFonts w:ascii="仿宋_GB2312" w:hAnsi="仿宋_GB2312" w:cs="仿宋_GB2312" w:eastAsia="仿宋_GB2312"/>
              </w:rPr>
              <w:t>设计依据、设计目标</w:t>
            </w:r>
          </w:p>
        </w:tc>
        <w:tc>
          <w:tcPr>
            <w:tcW w:type="dxa" w:w="2492"/>
          </w:tcPr>
          <w:p>
            <w:pPr>
              <w:pStyle w:val="null3"/>
            </w:pPr>
            <w:r>
              <w:rPr>
                <w:rFonts w:ascii="仿宋_GB2312" w:hAnsi="仿宋_GB2312" w:cs="仿宋_GB2312" w:eastAsia="仿宋_GB2312"/>
              </w:rPr>
              <w:t>设计依据符合规范、设计工作目标明确得2-5分，设计依据有缺失、工作目标模糊得0-2分。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设计方案.docx</w:t>
            </w:r>
          </w:p>
        </w:tc>
      </w:tr>
      <w:tr>
        <w:tc>
          <w:tcPr>
            <w:tcW w:type="dxa" w:w="831"/>
            <w:vMerge/>
          </w:tcPr>
          <w:p/>
        </w:tc>
        <w:tc>
          <w:tcPr>
            <w:tcW w:type="dxa" w:w="1661"/>
          </w:tcPr>
          <w:p>
            <w:pPr>
              <w:pStyle w:val="null3"/>
            </w:pPr>
            <w:r>
              <w:rPr>
                <w:rFonts w:ascii="仿宋_GB2312" w:hAnsi="仿宋_GB2312" w:cs="仿宋_GB2312" w:eastAsia="仿宋_GB2312"/>
              </w:rPr>
              <w:t>总体设计思路及方案</w:t>
            </w:r>
          </w:p>
        </w:tc>
        <w:tc>
          <w:tcPr>
            <w:tcW w:type="dxa" w:w="2492"/>
          </w:tcPr>
          <w:p>
            <w:pPr>
              <w:pStyle w:val="null3"/>
            </w:pPr>
            <w:r>
              <w:rPr>
                <w:rFonts w:ascii="仿宋_GB2312" w:hAnsi="仿宋_GB2312" w:cs="仿宋_GB2312" w:eastAsia="仿宋_GB2312"/>
              </w:rPr>
              <w:t>根据各供应商提供的针对本项目的总体设计思路及方案内容进行综合赋分。 设计理念较为先进、功能设计较为齐全，设计整体架构科学性、合理性较强，整体思路较为科学合理、基本满足项目要求的得5-10分； 设计理念传统、功能设计有部分欠缺，设计整体架构缺乏科学性、合理性的得0-5分。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设计方案.docx</w:t>
            </w:r>
          </w:p>
        </w:tc>
      </w:tr>
      <w:tr>
        <w:tc>
          <w:tcPr>
            <w:tcW w:type="dxa" w:w="831"/>
            <w:vMerge/>
          </w:tcPr>
          <w:p/>
        </w:tc>
        <w:tc>
          <w:tcPr>
            <w:tcW w:type="dxa" w:w="1661"/>
          </w:tcPr>
          <w:p>
            <w:pPr>
              <w:pStyle w:val="null3"/>
            </w:pPr>
            <w:r>
              <w:rPr>
                <w:rFonts w:ascii="仿宋_GB2312" w:hAnsi="仿宋_GB2312" w:cs="仿宋_GB2312" w:eastAsia="仿宋_GB2312"/>
              </w:rPr>
              <w:t>项目组人员岗位职责</w:t>
            </w:r>
          </w:p>
        </w:tc>
        <w:tc>
          <w:tcPr>
            <w:tcW w:type="dxa" w:w="2492"/>
          </w:tcPr>
          <w:p>
            <w:pPr>
              <w:pStyle w:val="null3"/>
            </w:pPr>
            <w:r>
              <w:rPr>
                <w:rFonts w:ascii="仿宋_GB2312" w:hAnsi="仿宋_GB2312" w:cs="仿宋_GB2312" w:eastAsia="仿宋_GB2312"/>
              </w:rPr>
              <w:t>项目组人员专业配备齐全，岗位职责明确得2-5分，人员配备有专业短缺，岗位职责模糊得0-2分。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设计方案.docx</w:t>
            </w:r>
          </w:p>
        </w:tc>
      </w:tr>
      <w:tr>
        <w:tc>
          <w:tcPr>
            <w:tcW w:type="dxa" w:w="831"/>
            <w:vMerge/>
          </w:tcPr>
          <w:p/>
        </w:tc>
        <w:tc>
          <w:tcPr>
            <w:tcW w:type="dxa" w:w="1661"/>
          </w:tcPr>
          <w:p>
            <w:pPr>
              <w:pStyle w:val="null3"/>
            </w:pPr>
            <w:r>
              <w:rPr>
                <w:rFonts w:ascii="仿宋_GB2312" w:hAnsi="仿宋_GB2312" w:cs="仿宋_GB2312" w:eastAsia="仿宋_GB2312"/>
              </w:rPr>
              <w:t>设计进度保证措施</w:t>
            </w:r>
          </w:p>
        </w:tc>
        <w:tc>
          <w:tcPr>
            <w:tcW w:type="dxa" w:w="2492"/>
          </w:tcPr>
          <w:p>
            <w:pPr>
              <w:pStyle w:val="null3"/>
            </w:pPr>
            <w:r>
              <w:rPr>
                <w:rFonts w:ascii="仿宋_GB2312" w:hAnsi="仿宋_GB2312" w:cs="仿宋_GB2312" w:eastAsia="仿宋_GB2312"/>
              </w:rPr>
              <w:t>根据供应商针对本项目设计进度保证措施，由磋商小组根据上述内容综合赋分。 进度保证措施科学合理、可以满足本项目的时间要求得5-10分； 进度保证措施基本可行，合理性、针对性稍有欠缺的得0-5分。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设计方案.docx</w:t>
            </w:r>
          </w:p>
        </w:tc>
      </w:tr>
      <w:tr>
        <w:tc>
          <w:tcPr>
            <w:tcW w:type="dxa" w:w="831"/>
            <w:vMerge/>
          </w:tcPr>
          <w:p/>
        </w:tc>
        <w:tc>
          <w:tcPr>
            <w:tcW w:type="dxa" w:w="1661"/>
          </w:tcPr>
          <w:p>
            <w:pPr>
              <w:pStyle w:val="null3"/>
            </w:pPr>
            <w:r>
              <w:rPr>
                <w:rFonts w:ascii="仿宋_GB2312" w:hAnsi="仿宋_GB2312" w:cs="仿宋_GB2312" w:eastAsia="仿宋_GB2312"/>
              </w:rPr>
              <w:t>设计质量保证措施</w:t>
            </w:r>
          </w:p>
        </w:tc>
        <w:tc>
          <w:tcPr>
            <w:tcW w:type="dxa" w:w="2492"/>
          </w:tcPr>
          <w:p>
            <w:pPr>
              <w:pStyle w:val="null3"/>
            </w:pPr>
            <w:r>
              <w:rPr>
                <w:rFonts w:ascii="仿宋_GB2312" w:hAnsi="仿宋_GB2312" w:cs="仿宋_GB2312" w:eastAsia="仿宋_GB2312"/>
              </w:rPr>
              <w:t>根据供应商针对本项目设计服务质量控制措施，由磋商小组根据上述内容综合赋分。 保证措施科学合理、符合本项目质量要求，流程严谨高效得5-10分； 保证措施较为可行、基本能够保障完成质量得0-5分。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设计方案.docx</w:t>
            </w:r>
          </w:p>
        </w:tc>
      </w:tr>
      <w:tr>
        <w:tc>
          <w:tcPr>
            <w:tcW w:type="dxa" w:w="831"/>
            <w:vMerge/>
          </w:tcPr>
          <w:p/>
        </w:tc>
        <w:tc>
          <w:tcPr>
            <w:tcW w:type="dxa" w:w="1661"/>
          </w:tcPr>
          <w:p>
            <w:pPr>
              <w:pStyle w:val="null3"/>
            </w:pPr>
            <w:r>
              <w:rPr>
                <w:rFonts w:ascii="仿宋_GB2312" w:hAnsi="仿宋_GB2312" w:cs="仿宋_GB2312" w:eastAsia="仿宋_GB2312"/>
              </w:rPr>
              <w:t>成本控制保证措施</w:t>
            </w:r>
          </w:p>
        </w:tc>
        <w:tc>
          <w:tcPr>
            <w:tcW w:type="dxa" w:w="2492"/>
          </w:tcPr>
          <w:p>
            <w:pPr>
              <w:pStyle w:val="null3"/>
            </w:pPr>
            <w:r>
              <w:rPr>
                <w:rFonts w:ascii="仿宋_GB2312" w:hAnsi="仿宋_GB2312" w:cs="仿宋_GB2312" w:eastAsia="仿宋_GB2312"/>
              </w:rPr>
              <w:t>根据各供应商提供的本项目的成本控制保证措施综合赋分。 措施内容科学合理、满足项目要求，合理性、针对性强得2-5分； 书面内容有一定的可行性，基本满足项目要求，具有一定的合理性、针对性得0-2分。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设计方案.docx</w:t>
            </w:r>
          </w:p>
        </w:tc>
      </w:tr>
      <w:tr>
        <w:tc>
          <w:tcPr>
            <w:tcW w:type="dxa" w:w="831"/>
            <w:vMerge/>
          </w:tcPr>
          <w:p/>
        </w:tc>
        <w:tc>
          <w:tcPr>
            <w:tcW w:type="dxa" w:w="1661"/>
          </w:tcPr>
          <w:p>
            <w:pPr>
              <w:pStyle w:val="null3"/>
            </w:pPr>
            <w:r>
              <w:rPr>
                <w:rFonts w:ascii="仿宋_GB2312" w:hAnsi="仿宋_GB2312" w:cs="仿宋_GB2312" w:eastAsia="仿宋_GB2312"/>
              </w:rPr>
              <w:t>后续工作配合措施</w:t>
            </w:r>
          </w:p>
        </w:tc>
        <w:tc>
          <w:tcPr>
            <w:tcW w:type="dxa" w:w="2492"/>
          </w:tcPr>
          <w:p>
            <w:pPr>
              <w:pStyle w:val="null3"/>
            </w:pPr>
            <w:r>
              <w:rPr>
                <w:rFonts w:ascii="仿宋_GB2312" w:hAnsi="仿宋_GB2312" w:cs="仿宋_GB2312" w:eastAsia="仿宋_GB2312"/>
              </w:rPr>
              <w:t>后续工作（包括后续施工图设计阶段的技术服务等）的配合措施，由磋商小组根据上述内容综合赋分。 后续工作配合措施内容完善齐全、科学合理、针对性强的得2-5分； 后续工作配合措施内容粗略，不够完善，缺乏科学合理性的得0-2分。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设计方案.docx</w:t>
            </w:r>
          </w:p>
        </w:tc>
      </w:tr>
      <w:tr>
        <w:tc>
          <w:tcPr>
            <w:tcW w:type="dxa" w:w="831"/>
            <w:vMerge/>
          </w:tcPr>
          <w:p/>
        </w:tc>
        <w:tc>
          <w:tcPr>
            <w:tcW w:type="dxa" w:w="1661"/>
          </w:tcPr>
          <w:p>
            <w:pPr>
              <w:pStyle w:val="null3"/>
            </w:pPr>
            <w:r>
              <w:rPr>
                <w:rFonts w:ascii="仿宋_GB2312" w:hAnsi="仿宋_GB2312" w:cs="仿宋_GB2312" w:eastAsia="仿宋_GB2312"/>
              </w:rPr>
              <w:t>重难点的分析及合理化建议</w:t>
            </w:r>
          </w:p>
        </w:tc>
        <w:tc>
          <w:tcPr>
            <w:tcW w:type="dxa" w:w="2492"/>
          </w:tcPr>
          <w:p>
            <w:pPr>
              <w:pStyle w:val="null3"/>
            </w:pPr>
            <w:r>
              <w:rPr>
                <w:rFonts w:ascii="仿宋_GB2312" w:hAnsi="仿宋_GB2312" w:cs="仿宋_GB2312" w:eastAsia="仿宋_GB2312"/>
              </w:rPr>
              <w:t>根据各供应商针对本项目提供的有利于本项目工作顺利进行的合理化建议，由磋商小组根据上述内容综合赋分。 合理化建议针对性强、切实可行的得2-5分； 合理化建议不符合实际或不具备可行性得0-2分。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设计方案.docx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磋商报价采用低价优先法计算，即满足竞争性磋商文件要求且最后磋商总报价最低的报价为评审基准价，其价格分为满分。其他供应商的价格分统一按照下列公式计算： 磋商报价得分=（评审基准价/最后磋商总报价）×10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首轮报价表.docx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5.0000%</w:t>
            </w:r>
          </w:p>
        </w:tc>
        <w:tc>
          <w:tcPr>
            <w:tcW w:type="dxa" w:w="1661"/>
          </w:tcPr>
          <w:p>
            <w:pPr>
              <w:pStyle w:val="null3"/>
            </w:pPr>
            <w:r>
              <w:rPr>
                <w:rFonts w:ascii="仿宋_GB2312" w:hAnsi="仿宋_GB2312" w:cs="仿宋_GB2312" w:eastAsia="仿宋_GB2312"/>
              </w:rPr>
              <w:t>符合磋商文件规定的小微企业、监狱企业、残疾人福利性单位优惠条件的供应商，价格给予5%的扣除，以扣除后的价格参与评审。</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详见附件：首轮报价表.docx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详见附件：商务、技术偏离表.docx</w:t>
      </w:r>
    </w:p>
    <w:p>
      <w:pPr>
        <w:pStyle w:val="null3"/>
        <w:ind w:firstLine="960"/>
      </w:pPr>
      <w:r>
        <w:rPr>
          <w:rFonts w:ascii="仿宋_GB2312" w:hAnsi="仿宋_GB2312" w:cs="仿宋_GB2312" w:eastAsia="仿宋_GB2312"/>
        </w:rPr>
        <w:t>详见附件：投标保证金.docx</w:t>
      </w:r>
    </w:p>
    <w:p>
      <w:pPr>
        <w:pStyle w:val="null3"/>
        <w:ind w:firstLine="960"/>
      </w:pPr>
      <w:r>
        <w:rPr>
          <w:rFonts w:ascii="仿宋_GB2312" w:hAnsi="仿宋_GB2312" w:cs="仿宋_GB2312" w:eastAsia="仿宋_GB2312"/>
        </w:rPr>
        <w:t>详见附件：企业近年完成的类似业绩汇总表.docx</w:t>
      </w:r>
    </w:p>
    <w:p>
      <w:pPr>
        <w:pStyle w:val="null3"/>
        <w:ind w:firstLine="960"/>
      </w:pPr>
      <w:r>
        <w:rPr>
          <w:rFonts w:ascii="仿宋_GB2312" w:hAnsi="仿宋_GB2312" w:cs="仿宋_GB2312" w:eastAsia="仿宋_GB2312"/>
        </w:rPr>
        <w:t>详见附件：拟派项目设计负责人简历表.docx</w:t>
      </w:r>
    </w:p>
    <w:p>
      <w:pPr>
        <w:pStyle w:val="null3"/>
        <w:ind w:firstLine="960"/>
      </w:pPr>
      <w:r>
        <w:rPr>
          <w:rFonts w:ascii="仿宋_GB2312" w:hAnsi="仿宋_GB2312" w:cs="仿宋_GB2312" w:eastAsia="仿宋_GB2312"/>
        </w:rPr>
        <w:t>详见附件：项目组人员构成汇总表.docx</w:t>
      </w:r>
    </w:p>
    <w:p>
      <w:pPr>
        <w:pStyle w:val="null3"/>
        <w:ind w:firstLine="960"/>
      </w:pPr>
      <w:r>
        <w:rPr>
          <w:rFonts w:ascii="仿宋_GB2312" w:hAnsi="仿宋_GB2312" w:cs="仿宋_GB2312" w:eastAsia="仿宋_GB2312"/>
        </w:rPr>
        <w:t>详见附件：近三年财务状况.docx</w:t>
      </w:r>
    </w:p>
    <w:p>
      <w:pPr>
        <w:pStyle w:val="null3"/>
        <w:ind w:firstLine="960"/>
      </w:pPr>
      <w:r>
        <w:rPr>
          <w:rFonts w:ascii="仿宋_GB2312" w:hAnsi="仿宋_GB2312" w:cs="仿宋_GB2312" w:eastAsia="仿宋_GB2312"/>
        </w:rPr>
        <w:t>详见附件：设计方案.docx</w:t>
      </w:r>
    </w:p>
    <w:p>
      <w:pPr>
        <w:pStyle w:val="null3"/>
        <w:ind w:firstLine="960"/>
      </w:pPr>
      <w:r>
        <w:rPr>
          <w:rFonts w:ascii="仿宋_GB2312" w:hAnsi="仿宋_GB2312" w:cs="仿宋_GB2312" w:eastAsia="仿宋_GB2312"/>
        </w:rPr>
        <w:t>详见附件：投标人认为需要提交的其他资料.docx</w:t>
      </w:r>
    </w:p>
    <w:p>
      <w:pPr>
        <w:pStyle w:val="null3"/>
        <w:ind w:firstLine="960"/>
      </w:pPr>
      <w:r>
        <w:rPr>
          <w:rFonts w:ascii="仿宋_GB2312" w:hAnsi="仿宋_GB2312" w:cs="仿宋_GB2312" w:eastAsia="仿宋_GB2312"/>
        </w:rPr>
        <w:t>详见附件：已标价工程量清单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详见附件：建设工程设计合同.docx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