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E684A93">
      <w:pPr>
        <w:jc w:val="right"/>
        <w:rPr>
          <w:rFonts w:hint="eastAsia" w:ascii="宋体" w:hAnsi="宋体" w:eastAsia="宋体" w:cs="宋体"/>
          <w:b/>
          <w:color w:val="auto"/>
          <w:spacing w:val="-20"/>
          <w:sz w:val="32"/>
          <w:szCs w:val="32"/>
          <w:highlight w:val="none"/>
        </w:rPr>
      </w:pPr>
      <w:r>
        <w:rPr>
          <w:rFonts w:hint="eastAsia" w:ascii="宋体" w:hAnsi="宋体" w:eastAsia="宋体" w:cs="宋体"/>
          <w:b/>
          <w:bCs w:val="0"/>
          <w:color w:val="auto"/>
          <w:spacing w:val="-20"/>
          <w:sz w:val="32"/>
          <w:szCs w:val="32"/>
          <w:highlight w:val="none"/>
          <w:lang w:val="en-US" w:eastAsia="zh-CN"/>
        </w:rPr>
        <w:t>合同编号：</w:t>
      </w:r>
    </w:p>
    <w:p w14:paraId="704A64FC">
      <w:pPr>
        <w:rPr>
          <w:rFonts w:hint="eastAsia" w:ascii="宋体" w:hAnsi="宋体" w:eastAsia="宋体" w:cs="宋体"/>
          <w:color w:val="auto"/>
          <w:sz w:val="52"/>
          <w:szCs w:val="52"/>
          <w:highlight w:val="none"/>
        </w:rPr>
      </w:pPr>
    </w:p>
    <w:p w14:paraId="64217858">
      <w:pPr>
        <w:spacing w:line="360" w:lineRule="auto"/>
        <w:jc w:val="center"/>
        <w:rPr>
          <w:rFonts w:hint="eastAsia" w:ascii="宋体" w:hAnsi="宋体" w:eastAsia="宋体" w:cs="宋体"/>
          <w:b/>
          <w:color w:val="auto"/>
          <w:sz w:val="48"/>
          <w:szCs w:val="48"/>
          <w:highlight w:val="none"/>
        </w:rPr>
      </w:pPr>
      <w:r>
        <w:rPr>
          <w:rFonts w:hint="eastAsia" w:ascii="宋体" w:hAnsi="宋体" w:eastAsia="宋体" w:cs="宋体"/>
          <w:b/>
          <w:color w:val="auto"/>
          <w:sz w:val="48"/>
          <w:szCs w:val="48"/>
          <w:highlight w:val="none"/>
          <w:lang w:val="en-US" w:eastAsia="zh-CN"/>
        </w:rPr>
        <w:t>采  购</w:t>
      </w:r>
      <w:r>
        <w:rPr>
          <w:rFonts w:hint="eastAsia" w:ascii="宋体" w:hAnsi="宋体" w:eastAsia="宋体" w:cs="宋体"/>
          <w:b/>
          <w:color w:val="auto"/>
          <w:sz w:val="48"/>
          <w:szCs w:val="48"/>
          <w:highlight w:val="none"/>
        </w:rPr>
        <w:t xml:space="preserve"> 合 同</w:t>
      </w:r>
    </w:p>
    <w:p w14:paraId="2B1244BD">
      <w:pPr>
        <w:spacing w:line="360" w:lineRule="auto"/>
        <w:ind w:firstLine="1767" w:firstLineChars="400"/>
        <w:jc w:val="both"/>
        <w:rPr>
          <w:rFonts w:hint="eastAsia" w:ascii="宋体" w:hAnsi="宋体" w:eastAsia="宋体" w:cs="宋体"/>
          <w:color w:val="auto"/>
          <w:sz w:val="44"/>
          <w:szCs w:val="44"/>
          <w:highlight w:val="none"/>
        </w:rPr>
      </w:pPr>
      <w:r>
        <w:rPr>
          <w:rFonts w:hint="eastAsia" w:ascii="宋体" w:hAnsi="宋体" w:eastAsia="宋体" w:cs="宋体"/>
          <w:b/>
          <w:bCs/>
          <w:color w:val="auto"/>
          <w:sz w:val="44"/>
          <w:szCs w:val="44"/>
          <w:highlight w:val="none"/>
        </w:rPr>
        <w:t>（</w:t>
      </w:r>
      <w:r>
        <w:rPr>
          <w:rFonts w:hint="eastAsia" w:ascii="宋体" w:hAnsi="宋体" w:eastAsia="宋体" w:cs="宋体"/>
          <w:b/>
          <w:bCs/>
          <w:color w:val="auto"/>
          <w:sz w:val="44"/>
          <w:szCs w:val="44"/>
          <w:highlight w:val="none"/>
          <w:lang w:val="en-US" w:eastAsia="zh-CN"/>
        </w:rPr>
        <w:t>项目</w:t>
      </w:r>
      <w:r>
        <w:rPr>
          <w:rFonts w:hint="eastAsia" w:ascii="宋体" w:hAnsi="宋体" w:eastAsia="宋体" w:cs="宋体"/>
          <w:b/>
          <w:bCs/>
          <w:color w:val="auto"/>
          <w:sz w:val="44"/>
          <w:szCs w:val="44"/>
          <w:highlight w:val="none"/>
        </w:rPr>
        <w:t>名称：</w:t>
      </w:r>
      <w:r>
        <w:rPr>
          <w:rFonts w:hint="eastAsia" w:ascii="宋体" w:hAnsi="宋体" w:eastAsia="宋体" w:cs="宋体"/>
          <w:b/>
          <w:bCs/>
          <w:color w:val="auto"/>
          <w:sz w:val="44"/>
          <w:szCs w:val="44"/>
          <w:highlight w:val="none"/>
          <w:lang w:val="en-US" w:eastAsia="zh-CN"/>
        </w:rPr>
        <w:t xml:space="preserve">     </w:t>
      </w:r>
      <w:r>
        <w:rPr>
          <w:rFonts w:hint="eastAsia" w:ascii="宋体" w:hAnsi="宋体" w:eastAsia="宋体" w:cs="宋体"/>
          <w:b/>
          <w:bCs/>
          <w:color w:val="auto"/>
          <w:sz w:val="44"/>
          <w:szCs w:val="44"/>
          <w:highlight w:val="none"/>
        </w:rPr>
        <w:t>）</w:t>
      </w:r>
    </w:p>
    <w:p w14:paraId="366F9AF1">
      <w:pPr>
        <w:spacing w:line="510" w:lineRule="atLeast"/>
        <w:rPr>
          <w:rFonts w:hint="eastAsia" w:ascii="宋体" w:hAnsi="宋体" w:eastAsia="宋体" w:cs="宋体"/>
          <w:b/>
          <w:color w:val="auto"/>
          <w:sz w:val="30"/>
          <w:szCs w:val="30"/>
          <w:highlight w:val="none"/>
        </w:rPr>
      </w:pPr>
    </w:p>
    <w:p w14:paraId="6070278D">
      <w:pPr>
        <w:pStyle w:val="6"/>
        <w:rPr>
          <w:rFonts w:hint="eastAsia" w:ascii="宋体" w:hAnsi="宋体" w:eastAsia="宋体" w:cs="宋体"/>
          <w:b/>
          <w:color w:val="auto"/>
          <w:sz w:val="30"/>
          <w:szCs w:val="30"/>
          <w:highlight w:val="none"/>
        </w:rPr>
      </w:pPr>
    </w:p>
    <w:p w14:paraId="1B212AB6">
      <w:pPr>
        <w:rPr>
          <w:rFonts w:hint="eastAsia" w:ascii="宋体" w:hAnsi="宋体" w:eastAsia="宋体" w:cs="宋体"/>
          <w:color w:val="auto"/>
          <w:highlight w:val="none"/>
        </w:rPr>
      </w:pPr>
    </w:p>
    <w:p w14:paraId="78A5D478">
      <w:pPr>
        <w:pStyle w:val="6"/>
        <w:rPr>
          <w:rFonts w:hint="eastAsia" w:ascii="宋体" w:hAnsi="宋体" w:eastAsia="宋体" w:cs="宋体"/>
          <w:color w:val="auto"/>
          <w:highlight w:val="none"/>
        </w:rPr>
      </w:pPr>
    </w:p>
    <w:p w14:paraId="3B923642">
      <w:pPr>
        <w:spacing w:line="510" w:lineRule="atLeast"/>
        <w:jc w:val="center"/>
        <w:rPr>
          <w:rFonts w:hint="eastAsia" w:ascii="宋体" w:hAnsi="宋体" w:eastAsia="宋体" w:cs="宋体"/>
          <w:b/>
          <w:color w:val="auto"/>
          <w:sz w:val="30"/>
          <w:szCs w:val="30"/>
          <w:highlight w:val="none"/>
        </w:rPr>
      </w:pPr>
    </w:p>
    <w:p w14:paraId="760292C5">
      <w:pPr>
        <w:pStyle w:val="6"/>
        <w:rPr>
          <w:rFonts w:hint="eastAsia" w:ascii="宋体" w:hAnsi="宋体" w:eastAsia="宋体" w:cs="宋体"/>
          <w:b/>
          <w:color w:val="auto"/>
          <w:sz w:val="30"/>
          <w:szCs w:val="30"/>
          <w:highlight w:val="none"/>
        </w:rPr>
      </w:pPr>
    </w:p>
    <w:p w14:paraId="40358D32">
      <w:pPr>
        <w:spacing w:line="510" w:lineRule="atLeast"/>
        <w:jc w:val="both"/>
        <w:rPr>
          <w:rFonts w:hint="eastAsia" w:ascii="宋体" w:hAnsi="宋体" w:eastAsia="宋体" w:cs="宋体"/>
          <w:b/>
          <w:color w:val="auto"/>
          <w:sz w:val="30"/>
          <w:szCs w:val="30"/>
          <w:highlight w:val="none"/>
        </w:rPr>
      </w:pPr>
    </w:p>
    <w:p w14:paraId="3139F151">
      <w:pPr>
        <w:pStyle w:val="6"/>
        <w:rPr>
          <w:rFonts w:hint="eastAsia" w:ascii="宋体" w:hAnsi="宋体" w:eastAsia="宋体" w:cs="宋体"/>
          <w:color w:val="auto"/>
          <w:highlight w:val="none"/>
        </w:rPr>
      </w:pPr>
    </w:p>
    <w:p w14:paraId="316BEAC2">
      <w:pPr>
        <w:spacing w:line="510" w:lineRule="atLeast"/>
        <w:rPr>
          <w:rFonts w:hint="eastAsia" w:ascii="宋体" w:hAnsi="宋体" w:eastAsia="宋体" w:cs="宋体"/>
          <w:b/>
          <w:color w:val="auto"/>
          <w:sz w:val="30"/>
          <w:szCs w:val="30"/>
          <w:highlight w:val="none"/>
        </w:rPr>
      </w:pPr>
    </w:p>
    <w:p w14:paraId="7ABDE620">
      <w:pPr>
        <w:snapToGrid w:val="0"/>
        <w:spacing w:line="360" w:lineRule="auto"/>
        <w:ind w:firstLine="1325" w:firstLineChars="300"/>
        <w:rPr>
          <w:rFonts w:hint="eastAsia" w:ascii="宋体" w:hAnsi="宋体" w:eastAsia="宋体" w:cs="宋体"/>
          <w:b/>
          <w:color w:val="auto"/>
          <w:sz w:val="44"/>
          <w:szCs w:val="44"/>
          <w:highlight w:val="none"/>
          <w:lang w:eastAsia="zh-CN"/>
        </w:rPr>
      </w:pPr>
      <w:r>
        <w:rPr>
          <w:rFonts w:hint="eastAsia" w:ascii="宋体" w:hAnsi="宋体" w:eastAsia="宋体" w:cs="宋体"/>
          <w:b/>
          <w:color w:val="auto"/>
          <w:sz w:val="44"/>
          <w:szCs w:val="44"/>
          <w:highlight w:val="none"/>
        </w:rPr>
        <w:t>甲  方：</w:t>
      </w:r>
      <w:r>
        <w:rPr>
          <w:rFonts w:hint="eastAsia" w:ascii="宋体" w:hAnsi="宋体" w:eastAsia="宋体" w:cs="宋体"/>
          <w:b/>
          <w:color w:val="auto"/>
          <w:sz w:val="44"/>
          <w:szCs w:val="44"/>
          <w:highlight w:val="none"/>
          <w:lang w:eastAsia="zh-CN"/>
        </w:rPr>
        <w:t>陕西省人民医院</w:t>
      </w:r>
    </w:p>
    <w:p w14:paraId="3C524683">
      <w:pPr>
        <w:tabs>
          <w:tab w:val="left" w:pos="480"/>
        </w:tabs>
        <w:snapToGrid w:val="0"/>
        <w:spacing w:line="360" w:lineRule="auto"/>
        <w:ind w:firstLine="1325" w:firstLineChars="300"/>
        <w:rPr>
          <w:rFonts w:hint="eastAsia" w:ascii="宋体" w:hAnsi="宋体" w:eastAsia="宋体" w:cs="宋体"/>
          <w:b/>
          <w:color w:val="auto"/>
          <w:sz w:val="44"/>
          <w:szCs w:val="44"/>
          <w:highlight w:val="none"/>
        </w:rPr>
      </w:pPr>
      <w:r>
        <w:rPr>
          <w:rFonts w:hint="eastAsia" w:ascii="宋体" w:hAnsi="宋体" w:eastAsia="宋体" w:cs="宋体"/>
          <w:b/>
          <w:color w:val="auto"/>
          <w:sz w:val="44"/>
          <w:szCs w:val="44"/>
          <w:highlight w:val="none"/>
        </w:rPr>
        <w:t>乙  方：</w:t>
      </w:r>
    </w:p>
    <w:p w14:paraId="7C55B998">
      <w:pPr>
        <w:spacing w:line="510" w:lineRule="atLeast"/>
        <w:jc w:val="center"/>
        <w:rPr>
          <w:rFonts w:hint="eastAsia" w:ascii="宋体" w:hAnsi="宋体" w:eastAsia="宋体" w:cs="宋体"/>
          <w:b/>
          <w:color w:val="auto"/>
          <w:sz w:val="30"/>
          <w:szCs w:val="30"/>
          <w:highlight w:val="none"/>
        </w:rPr>
      </w:pPr>
    </w:p>
    <w:p w14:paraId="2E604C5C">
      <w:pPr>
        <w:snapToGrid w:val="0"/>
        <w:spacing w:line="360" w:lineRule="auto"/>
        <w:ind w:firstLine="3092" w:firstLineChars="700"/>
        <w:jc w:val="both"/>
        <w:rPr>
          <w:rFonts w:hint="eastAsia" w:ascii="宋体" w:hAnsi="宋体" w:eastAsia="宋体" w:cs="宋体"/>
          <w:b/>
          <w:color w:val="auto"/>
          <w:sz w:val="44"/>
          <w:szCs w:val="44"/>
          <w:highlight w:val="none"/>
        </w:rPr>
      </w:pPr>
      <w:r>
        <w:rPr>
          <w:rFonts w:hint="eastAsia" w:ascii="宋体" w:hAnsi="宋体" w:eastAsia="宋体" w:cs="宋体"/>
          <w:b/>
          <w:color w:val="auto"/>
          <w:sz w:val="44"/>
          <w:szCs w:val="44"/>
          <w:highlight w:val="none"/>
          <w:lang w:val="en-US" w:eastAsia="zh-CN"/>
        </w:rPr>
        <w:t xml:space="preserve"> </w:t>
      </w:r>
      <w:r>
        <w:rPr>
          <w:rFonts w:hint="eastAsia" w:ascii="宋体" w:hAnsi="宋体" w:eastAsia="宋体" w:cs="宋体"/>
          <w:b/>
          <w:color w:val="auto"/>
          <w:sz w:val="44"/>
          <w:szCs w:val="44"/>
          <w:highlight w:val="none"/>
        </w:rPr>
        <w:t>年</w:t>
      </w:r>
      <w:r>
        <w:rPr>
          <w:rFonts w:hint="eastAsia" w:ascii="宋体" w:hAnsi="宋体" w:eastAsia="宋体" w:cs="宋体"/>
          <w:b/>
          <w:color w:val="auto"/>
          <w:sz w:val="44"/>
          <w:szCs w:val="44"/>
          <w:highlight w:val="none"/>
          <w:lang w:val="en-US" w:eastAsia="zh-CN"/>
        </w:rPr>
        <w:t xml:space="preserve">   </w:t>
      </w:r>
      <w:r>
        <w:rPr>
          <w:rFonts w:hint="eastAsia" w:ascii="宋体" w:hAnsi="宋体" w:eastAsia="宋体" w:cs="宋体"/>
          <w:b/>
          <w:color w:val="auto"/>
          <w:sz w:val="44"/>
          <w:szCs w:val="44"/>
          <w:highlight w:val="none"/>
        </w:rPr>
        <w:t>月</w:t>
      </w:r>
    </w:p>
    <w:p w14:paraId="25EAE585">
      <w:pPr>
        <w:snapToGrid w:val="0"/>
        <w:spacing w:line="360" w:lineRule="auto"/>
        <w:ind w:firstLine="3092" w:firstLineChars="700"/>
        <w:jc w:val="both"/>
        <w:rPr>
          <w:rFonts w:hint="eastAsia" w:ascii="宋体" w:hAnsi="宋体" w:eastAsia="宋体" w:cs="宋体"/>
          <w:b/>
          <w:color w:val="auto"/>
          <w:sz w:val="44"/>
          <w:szCs w:val="44"/>
          <w:highlight w:val="none"/>
        </w:rPr>
      </w:pPr>
      <w:r>
        <w:rPr>
          <w:rFonts w:hint="eastAsia" w:ascii="宋体" w:hAnsi="宋体" w:eastAsia="宋体" w:cs="宋体"/>
          <w:b/>
          <w:color w:val="auto"/>
          <w:sz w:val="44"/>
          <w:szCs w:val="44"/>
          <w:highlight w:val="none"/>
        </w:rPr>
        <w:t>中国  西安</w:t>
      </w:r>
    </w:p>
    <w:p w14:paraId="1C27C2C1">
      <w:pPr>
        <w:rPr>
          <w:rFonts w:hint="eastAsia" w:ascii="宋体" w:hAnsi="宋体" w:eastAsia="宋体" w:cs="宋体"/>
          <w:bCs/>
          <w:color w:val="auto"/>
          <w:sz w:val="36"/>
          <w:szCs w:val="36"/>
          <w:highlight w:val="none"/>
        </w:rPr>
      </w:pPr>
      <w:r>
        <w:rPr>
          <w:rFonts w:hint="eastAsia" w:ascii="宋体" w:hAnsi="宋体" w:eastAsia="宋体" w:cs="宋体"/>
          <w:bCs/>
          <w:color w:val="auto"/>
          <w:sz w:val="36"/>
          <w:szCs w:val="36"/>
          <w:highlight w:val="none"/>
        </w:rPr>
        <w:br w:type="page"/>
      </w:r>
    </w:p>
    <w:p w14:paraId="4C12B39E">
      <w:pPr>
        <w:pStyle w:val="3"/>
        <w:numPr>
          <w:ilvl w:val="0"/>
          <w:numId w:val="0"/>
        </w:numPr>
        <w:jc w:val="center"/>
        <w:outlineLvl w:val="0"/>
        <w:rPr>
          <w:rFonts w:hint="eastAsia" w:ascii="宋体" w:hAnsi="宋体" w:eastAsia="宋体" w:cs="宋体"/>
          <w:bCs/>
          <w:color w:val="auto"/>
          <w:sz w:val="36"/>
          <w:szCs w:val="36"/>
          <w:highlight w:val="none"/>
        </w:rPr>
      </w:pPr>
      <w:r>
        <w:rPr>
          <w:rFonts w:hint="eastAsia" w:ascii="宋体" w:hAnsi="宋体" w:eastAsia="宋体" w:cs="宋体"/>
          <w:bCs/>
          <w:color w:val="auto"/>
          <w:sz w:val="36"/>
          <w:szCs w:val="36"/>
          <w:highlight w:val="none"/>
        </w:rPr>
        <w:t>合同条款及格式</w:t>
      </w:r>
    </w:p>
    <w:p w14:paraId="407EC1A0">
      <w:pPr>
        <w:keepNext w:val="0"/>
        <w:keepLines w:val="0"/>
        <w:pageBreakBefore w:val="0"/>
        <w:tabs>
          <w:tab w:val="left" w:pos="735"/>
        </w:tabs>
        <w:kinsoku/>
        <w:wordWrap/>
        <w:overflowPunct/>
        <w:topLinePunct w:val="0"/>
        <w:autoSpaceDE w:val="0"/>
        <w:autoSpaceDN w:val="0"/>
        <w:bidi w:val="0"/>
        <w:adjustRightInd w:val="0"/>
        <w:snapToGrid w:val="0"/>
        <w:spacing w:line="440" w:lineRule="exact"/>
        <w:ind w:firstLine="631"/>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zh-CN"/>
        </w:rPr>
        <w:t>采购人（以下简称甲方）：</w:t>
      </w:r>
      <w:r>
        <w:rPr>
          <w:rFonts w:hint="eastAsia" w:ascii="宋体" w:hAnsi="宋体" w:eastAsia="宋体" w:cs="宋体"/>
          <w:b/>
          <w:bCs/>
          <w:color w:val="auto"/>
          <w:sz w:val="24"/>
          <w:szCs w:val="24"/>
          <w:highlight w:val="none"/>
          <w:u w:val="single"/>
          <w:lang w:val="en-US" w:eastAsia="zh-CN"/>
        </w:rPr>
        <w:t xml:space="preserve">                         </w:t>
      </w:r>
    </w:p>
    <w:p w14:paraId="3520DCD2">
      <w:pPr>
        <w:keepNext w:val="0"/>
        <w:keepLines w:val="0"/>
        <w:pageBreakBefore w:val="0"/>
        <w:tabs>
          <w:tab w:val="left" w:pos="735"/>
        </w:tabs>
        <w:kinsoku/>
        <w:wordWrap/>
        <w:overflowPunct/>
        <w:topLinePunct w:val="0"/>
        <w:autoSpaceDE w:val="0"/>
        <w:autoSpaceDN w:val="0"/>
        <w:bidi w:val="0"/>
        <w:adjustRightInd w:val="0"/>
        <w:snapToGrid w:val="0"/>
        <w:spacing w:line="440" w:lineRule="exact"/>
        <w:ind w:firstLine="631"/>
        <w:rPr>
          <w:rFonts w:hint="eastAsia" w:ascii="宋体" w:hAnsi="宋体" w:eastAsia="宋体" w:cs="宋体"/>
          <w:b/>
          <w:bCs/>
          <w:color w:val="auto"/>
          <w:sz w:val="24"/>
          <w:szCs w:val="24"/>
          <w:highlight w:val="none"/>
          <w:u w:val="single"/>
          <w:lang w:val="zh-CN"/>
        </w:rPr>
      </w:pPr>
      <w:r>
        <w:rPr>
          <w:rFonts w:hint="eastAsia" w:ascii="宋体" w:hAnsi="宋体" w:eastAsia="宋体" w:cs="宋体"/>
          <w:b/>
          <w:bCs/>
          <w:color w:val="auto"/>
          <w:sz w:val="24"/>
          <w:szCs w:val="24"/>
          <w:highlight w:val="none"/>
          <w:lang w:val="zh-CN"/>
        </w:rPr>
        <w:t>供应商（以下简称乙方）：</w:t>
      </w:r>
      <w:r>
        <w:rPr>
          <w:rFonts w:hint="eastAsia" w:ascii="宋体" w:hAnsi="宋体" w:eastAsia="宋体" w:cs="宋体"/>
          <w:b/>
          <w:bCs/>
          <w:color w:val="auto"/>
          <w:sz w:val="24"/>
          <w:szCs w:val="24"/>
          <w:highlight w:val="none"/>
          <w:u w:val="single"/>
          <w:lang w:val="zh-CN"/>
        </w:rPr>
        <w:t xml:space="preserve">                         </w:t>
      </w:r>
    </w:p>
    <w:p w14:paraId="4F56F68E">
      <w:pPr>
        <w:pStyle w:val="6"/>
        <w:rPr>
          <w:rFonts w:hint="eastAsia" w:ascii="宋体" w:hAnsi="宋体" w:eastAsia="宋体" w:cs="宋体"/>
          <w:lang w:val="en-US" w:eastAsia="zh-CN"/>
        </w:rPr>
      </w:pPr>
    </w:p>
    <w:p w14:paraId="0737DDDF">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u w:val="single"/>
          <w:lang w:eastAsia="zh-CN"/>
        </w:rPr>
        <w:t>主院区数字减影血管造影系统球管更换服务采购项目</w:t>
      </w:r>
      <w:r>
        <w:rPr>
          <w:rFonts w:hint="eastAsia" w:ascii="宋体" w:hAnsi="宋体" w:eastAsia="宋体" w:cs="宋体"/>
          <w:color w:val="auto"/>
          <w:sz w:val="24"/>
          <w:szCs w:val="24"/>
          <w:highlight w:val="none"/>
        </w:rPr>
        <w:t>，按照政府采购程序组织</w:t>
      </w:r>
      <w:r>
        <w:rPr>
          <w:rFonts w:hint="eastAsia" w:ascii="宋体" w:hAnsi="宋体" w:eastAsia="宋体" w:cs="宋体"/>
          <w:color w:val="auto"/>
          <w:sz w:val="24"/>
          <w:szCs w:val="24"/>
          <w:highlight w:val="none"/>
          <w:lang w:val="en-US" w:eastAsia="zh-CN"/>
        </w:rPr>
        <w:t>单一来源采购</w:t>
      </w:r>
      <w:r>
        <w:rPr>
          <w:rFonts w:hint="eastAsia" w:ascii="宋体" w:hAnsi="宋体" w:eastAsia="宋体" w:cs="宋体"/>
          <w:color w:val="auto"/>
          <w:sz w:val="24"/>
          <w:szCs w:val="24"/>
          <w:highlight w:val="none"/>
        </w:rPr>
        <w:t>，确定乙方为</w:t>
      </w:r>
      <w:r>
        <w:rPr>
          <w:rFonts w:hint="eastAsia" w:ascii="宋体" w:hAnsi="宋体" w:eastAsia="宋体" w:cs="宋体"/>
          <w:color w:val="auto"/>
          <w:sz w:val="24"/>
          <w:szCs w:val="24"/>
          <w:highlight w:val="none"/>
          <w:lang w:val="en-US" w:eastAsia="zh-CN"/>
        </w:rPr>
        <w:t>成交</w:t>
      </w:r>
      <w:r>
        <w:rPr>
          <w:rFonts w:hint="eastAsia" w:ascii="宋体" w:hAnsi="宋体" w:eastAsia="宋体" w:cs="宋体"/>
          <w:color w:val="auto"/>
          <w:sz w:val="24"/>
          <w:szCs w:val="24"/>
          <w:highlight w:val="none"/>
        </w:rPr>
        <w:t>供应商。根据《中</w:t>
      </w:r>
      <w:r>
        <w:rPr>
          <w:rFonts w:hint="eastAsia" w:ascii="宋体" w:hAnsi="宋体" w:eastAsia="宋体" w:cs="宋体"/>
          <w:color w:val="auto"/>
          <w:sz w:val="24"/>
          <w:szCs w:val="24"/>
          <w:highlight w:val="none"/>
          <w:lang w:eastAsia="zh-CN"/>
        </w:rPr>
        <w:t>华</w:t>
      </w:r>
      <w:r>
        <w:rPr>
          <w:rFonts w:hint="eastAsia" w:ascii="宋体" w:hAnsi="宋体" w:eastAsia="宋体" w:cs="宋体"/>
          <w:color w:val="auto"/>
          <w:sz w:val="24"/>
          <w:szCs w:val="24"/>
          <w:highlight w:val="none"/>
        </w:rPr>
        <w:t>人民共和国</w:t>
      </w:r>
      <w:r>
        <w:rPr>
          <w:rFonts w:hint="eastAsia" w:ascii="宋体" w:hAnsi="宋体" w:eastAsia="宋体" w:cs="宋体"/>
          <w:color w:val="auto"/>
          <w:sz w:val="24"/>
          <w:szCs w:val="24"/>
          <w:highlight w:val="none"/>
          <w:lang w:eastAsia="zh-CN"/>
        </w:rPr>
        <w:t>政府采购</w:t>
      </w:r>
      <w:r>
        <w:rPr>
          <w:rFonts w:hint="eastAsia" w:ascii="宋体" w:hAnsi="宋体" w:eastAsia="宋体" w:cs="宋体"/>
          <w:color w:val="auto"/>
          <w:sz w:val="24"/>
          <w:szCs w:val="24"/>
          <w:highlight w:val="none"/>
        </w:rPr>
        <w:t>法》《中</w:t>
      </w:r>
      <w:r>
        <w:rPr>
          <w:rFonts w:hint="eastAsia" w:ascii="宋体" w:hAnsi="宋体" w:eastAsia="宋体" w:cs="宋体"/>
          <w:color w:val="auto"/>
          <w:sz w:val="24"/>
          <w:szCs w:val="24"/>
          <w:highlight w:val="none"/>
          <w:lang w:eastAsia="zh-CN"/>
        </w:rPr>
        <w:t>华</w:t>
      </w:r>
      <w:r>
        <w:rPr>
          <w:rFonts w:hint="eastAsia" w:ascii="宋体" w:hAnsi="宋体" w:eastAsia="宋体" w:cs="宋体"/>
          <w:color w:val="auto"/>
          <w:sz w:val="24"/>
          <w:szCs w:val="24"/>
          <w:highlight w:val="none"/>
        </w:rPr>
        <w:t>人民共和国</w:t>
      </w:r>
      <w:r>
        <w:rPr>
          <w:rFonts w:hint="eastAsia" w:ascii="宋体" w:hAnsi="宋体" w:eastAsia="宋体" w:cs="宋体"/>
          <w:color w:val="auto"/>
          <w:sz w:val="24"/>
          <w:szCs w:val="24"/>
          <w:highlight w:val="none"/>
          <w:lang w:eastAsia="zh-CN"/>
        </w:rPr>
        <w:t>民法典</w:t>
      </w:r>
      <w:r>
        <w:rPr>
          <w:rFonts w:hint="eastAsia" w:ascii="宋体" w:hAnsi="宋体" w:eastAsia="宋体" w:cs="宋体"/>
          <w:color w:val="auto"/>
          <w:sz w:val="24"/>
          <w:szCs w:val="24"/>
          <w:highlight w:val="none"/>
        </w:rPr>
        <w:t>》及相关法律法规，甲、乙双方就</w:t>
      </w:r>
      <w:r>
        <w:rPr>
          <w:rFonts w:hint="eastAsia" w:ascii="宋体" w:hAnsi="宋体" w:eastAsia="宋体" w:cs="宋体"/>
          <w:color w:val="auto"/>
          <w:sz w:val="24"/>
          <w:szCs w:val="24"/>
          <w:highlight w:val="none"/>
          <w:u w:val="single"/>
          <w:lang w:eastAsia="zh-CN"/>
        </w:rPr>
        <w:t>主院区数字减影血管造影系统球管更换服务采购项目</w:t>
      </w:r>
      <w:r>
        <w:rPr>
          <w:rFonts w:hint="eastAsia" w:ascii="宋体" w:hAnsi="宋体" w:eastAsia="宋体" w:cs="宋体"/>
          <w:color w:val="auto"/>
          <w:sz w:val="24"/>
          <w:szCs w:val="24"/>
          <w:highlight w:val="none"/>
        </w:rPr>
        <w:t>事宜，经协商一致，</w:t>
      </w:r>
      <w:r>
        <w:rPr>
          <w:rFonts w:hint="eastAsia" w:ascii="宋体" w:hAnsi="宋体" w:eastAsia="宋体" w:cs="宋体"/>
          <w:color w:val="auto"/>
          <w:sz w:val="24"/>
          <w:szCs w:val="24"/>
          <w:highlight w:val="none"/>
          <w:lang w:val="en-US" w:eastAsia="zh-CN"/>
        </w:rPr>
        <w:t>招标代理机构确认，</w:t>
      </w:r>
      <w:r>
        <w:rPr>
          <w:rFonts w:hint="eastAsia" w:ascii="宋体" w:hAnsi="宋体" w:eastAsia="宋体" w:cs="宋体"/>
          <w:color w:val="auto"/>
          <w:sz w:val="24"/>
          <w:szCs w:val="24"/>
          <w:highlight w:val="none"/>
        </w:rPr>
        <w:t>达成如下协议：</w:t>
      </w:r>
    </w:p>
    <w:p w14:paraId="5F49B997">
      <w:pPr>
        <w:pStyle w:val="10"/>
        <w:numPr>
          <w:ilvl w:val="0"/>
          <w:numId w:val="1"/>
        </w:numPr>
        <w:spacing w:line="360" w:lineRule="auto"/>
        <w:ind w:left="0" w:leftChars="0" w:firstLine="420" w:firstLineChars="0"/>
        <w:jc w:val="left"/>
        <w:rPr>
          <w:rFonts w:hint="eastAsia" w:ascii="宋体" w:hAnsi="宋体" w:eastAsia="宋体" w:cs="宋体"/>
          <w:b/>
          <w:color w:val="auto"/>
          <w:sz w:val="24"/>
          <w:szCs w:val="24"/>
          <w:highlight w:val="none"/>
          <w:lang w:val="en-US" w:eastAsia="zh-CN"/>
        </w:rPr>
      </w:pPr>
      <w:r>
        <w:rPr>
          <w:rFonts w:hint="eastAsia" w:ascii="宋体" w:hAnsi="宋体" w:eastAsia="宋体" w:cs="宋体"/>
          <w:b/>
          <w:color w:val="auto"/>
          <w:sz w:val="24"/>
          <w:szCs w:val="24"/>
          <w:highlight w:val="none"/>
          <w:lang w:val="en-US" w:eastAsia="zh-CN"/>
        </w:rPr>
        <w:t>合同内容</w:t>
      </w:r>
    </w:p>
    <w:p w14:paraId="13A8154C">
      <w:pPr>
        <w:pStyle w:val="10"/>
        <w:spacing w:line="360" w:lineRule="auto"/>
        <w:ind w:firstLine="0"/>
        <w:jc w:val="left"/>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主院区数字减影血管造影系统球管更换服务采购项目等，具体内容：</w:t>
      </w:r>
    </w:p>
    <w:tbl>
      <w:tblPr>
        <w:tblStyle w:val="8"/>
        <w:tblW w:w="0" w:type="auto"/>
        <w:tblInd w:w="0" w:type="dxa"/>
        <w:tblLayout w:type="fixed"/>
        <w:tblCellMar>
          <w:top w:w="0" w:type="dxa"/>
          <w:left w:w="28" w:type="dxa"/>
          <w:bottom w:w="0" w:type="dxa"/>
          <w:right w:w="28" w:type="dxa"/>
        </w:tblCellMar>
      </w:tblPr>
      <w:tblGrid>
        <w:gridCol w:w="770"/>
        <w:gridCol w:w="2226"/>
        <w:gridCol w:w="1707"/>
        <w:gridCol w:w="1000"/>
        <w:gridCol w:w="1082"/>
        <w:gridCol w:w="957"/>
        <w:gridCol w:w="999"/>
        <w:gridCol w:w="697"/>
      </w:tblGrid>
      <w:tr w14:paraId="291C5914">
        <w:tblPrEx>
          <w:tblCellMar>
            <w:top w:w="0" w:type="dxa"/>
            <w:left w:w="28" w:type="dxa"/>
            <w:bottom w:w="0" w:type="dxa"/>
            <w:right w:w="28" w:type="dxa"/>
          </w:tblCellMar>
        </w:tblPrEx>
        <w:trPr>
          <w:trHeight w:val="705" w:hRule="atLeast"/>
        </w:trPr>
        <w:tc>
          <w:tcPr>
            <w:tcW w:w="770" w:type="dxa"/>
            <w:tcBorders>
              <w:top w:val="single" w:color="auto" w:sz="6" w:space="0"/>
              <w:left w:val="single" w:color="auto" w:sz="6" w:space="0"/>
              <w:bottom w:val="single" w:color="auto" w:sz="6" w:space="0"/>
            </w:tcBorders>
            <w:noWrap w:val="0"/>
            <w:vAlign w:val="center"/>
          </w:tcPr>
          <w:p w14:paraId="42640264">
            <w:pPr>
              <w:snapToGrid w:val="0"/>
              <w:spacing w:line="24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序号</w:t>
            </w:r>
          </w:p>
        </w:tc>
        <w:tc>
          <w:tcPr>
            <w:tcW w:w="2226" w:type="dxa"/>
            <w:tcBorders>
              <w:top w:val="single" w:color="auto" w:sz="6" w:space="0"/>
              <w:left w:val="single" w:color="auto" w:sz="6" w:space="0"/>
              <w:bottom w:val="single" w:color="auto" w:sz="6" w:space="0"/>
              <w:right w:val="single" w:color="auto" w:sz="6" w:space="0"/>
            </w:tcBorders>
            <w:noWrap w:val="0"/>
            <w:vAlign w:val="center"/>
          </w:tcPr>
          <w:p w14:paraId="7E19DAD9">
            <w:pPr>
              <w:snapToGrid w:val="0"/>
              <w:spacing w:line="24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货物名称</w:t>
            </w:r>
          </w:p>
        </w:tc>
        <w:tc>
          <w:tcPr>
            <w:tcW w:w="1707" w:type="dxa"/>
            <w:tcBorders>
              <w:top w:val="single" w:color="auto" w:sz="6" w:space="0"/>
              <w:left w:val="single" w:color="auto" w:sz="6" w:space="0"/>
              <w:bottom w:val="single" w:color="auto" w:sz="6" w:space="0"/>
              <w:right w:val="single" w:color="auto" w:sz="6" w:space="0"/>
            </w:tcBorders>
            <w:noWrap w:val="0"/>
            <w:vAlign w:val="center"/>
          </w:tcPr>
          <w:p w14:paraId="4C691769">
            <w:pPr>
              <w:snapToGrid w:val="0"/>
              <w:spacing w:line="24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规格型号</w:t>
            </w:r>
          </w:p>
        </w:tc>
        <w:tc>
          <w:tcPr>
            <w:tcW w:w="1000" w:type="dxa"/>
            <w:tcBorders>
              <w:top w:val="single" w:color="auto" w:sz="6" w:space="0"/>
              <w:left w:val="single" w:color="auto" w:sz="6" w:space="0"/>
              <w:bottom w:val="single" w:color="auto" w:sz="6" w:space="0"/>
              <w:right w:val="single" w:color="auto" w:sz="4" w:space="0"/>
            </w:tcBorders>
            <w:noWrap w:val="0"/>
            <w:vAlign w:val="center"/>
          </w:tcPr>
          <w:p w14:paraId="1AB14C19">
            <w:pPr>
              <w:snapToGrid w:val="0"/>
              <w:spacing w:line="24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数量</w:t>
            </w:r>
          </w:p>
        </w:tc>
        <w:tc>
          <w:tcPr>
            <w:tcW w:w="1082" w:type="dxa"/>
            <w:tcBorders>
              <w:top w:val="single" w:color="auto" w:sz="6" w:space="0"/>
              <w:left w:val="single" w:color="auto" w:sz="4" w:space="0"/>
              <w:bottom w:val="single" w:color="auto" w:sz="6" w:space="0"/>
              <w:right w:val="single" w:color="auto" w:sz="4" w:space="0"/>
            </w:tcBorders>
            <w:noWrap w:val="0"/>
            <w:vAlign w:val="center"/>
          </w:tcPr>
          <w:p w14:paraId="1794875B">
            <w:pPr>
              <w:snapToGrid w:val="0"/>
              <w:spacing w:line="24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品牌</w:t>
            </w:r>
          </w:p>
        </w:tc>
        <w:tc>
          <w:tcPr>
            <w:tcW w:w="957" w:type="dxa"/>
            <w:tcBorders>
              <w:top w:val="single" w:color="auto" w:sz="6" w:space="0"/>
              <w:left w:val="single" w:color="auto" w:sz="4" w:space="0"/>
              <w:bottom w:val="single" w:color="auto" w:sz="6" w:space="0"/>
              <w:right w:val="single" w:color="auto" w:sz="6" w:space="0"/>
            </w:tcBorders>
            <w:noWrap w:val="0"/>
            <w:vAlign w:val="center"/>
          </w:tcPr>
          <w:p w14:paraId="699D2212">
            <w:pPr>
              <w:snapToGrid w:val="0"/>
              <w:spacing w:line="24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产地</w:t>
            </w:r>
          </w:p>
        </w:tc>
        <w:tc>
          <w:tcPr>
            <w:tcW w:w="999" w:type="dxa"/>
            <w:tcBorders>
              <w:top w:val="single" w:color="auto" w:sz="6" w:space="0"/>
              <w:left w:val="single" w:color="auto" w:sz="6" w:space="0"/>
              <w:bottom w:val="single" w:color="auto" w:sz="6" w:space="0"/>
              <w:right w:val="single" w:color="auto" w:sz="4" w:space="0"/>
            </w:tcBorders>
            <w:noWrap w:val="0"/>
            <w:vAlign w:val="center"/>
          </w:tcPr>
          <w:p w14:paraId="4E2E09F4">
            <w:pPr>
              <w:snapToGrid w:val="0"/>
              <w:spacing w:line="24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金额</w:t>
            </w:r>
          </w:p>
          <w:p w14:paraId="2FF96E17">
            <w:pPr>
              <w:snapToGrid w:val="0"/>
              <w:spacing w:line="24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（万元）</w:t>
            </w:r>
          </w:p>
        </w:tc>
        <w:tc>
          <w:tcPr>
            <w:tcW w:w="697" w:type="dxa"/>
            <w:tcBorders>
              <w:top w:val="single" w:color="auto" w:sz="6" w:space="0"/>
              <w:left w:val="single" w:color="auto" w:sz="4" w:space="0"/>
              <w:bottom w:val="single" w:color="auto" w:sz="6" w:space="0"/>
              <w:right w:val="single" w:color="auto" w:sz="6" w:space="0"/>
            </w:tcBorders>
            <w:noWrap w:val="0"/>
            <w:vAlign w:val="center"/>
          </w:tcPr>
          <w:p w14:paraId="79ABF2B6">
            <w:pPr>
              <w:snapToGrid w:val="0"/>
              <w:spacing w:line="24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备注</w:t>
            </w:r>
          </w:p>
        </w:tc>
      </w:tr>
      <w:tr w14:paraId="3CA288CB">
        <w:tblPrEx>
          <w:tblCellMar>
            <w:top w:w="0" w:type="dxa"/>
            <w:left w:w="28" w:type="dxa"/>
            <w:bottom w:w="0" w:type="dxa"/>
            <w:right w:w="28" w:type="dxa"/>
          </w:tblCellMar>
        </w:tblPrEx>
        <w:trPr>
          <w:trHeight w:val="484" w:hRule="atLeast"/>
        </w:trPr>
        <w:tc>
          <w:tcPr>
            <w:tcW w:w="770" w:type="dxa"/>
            <w:tcBorders>
              <w:top w:val="single" w:color="auto" w:sz="6" w:space="0"/>
              <w:left w:val="single" w:color="auto" w:sz="6" w:space="0"/>
              <w:bottom w:val="single" w:color="auto" w:sz="4" w:space="0"/>
            </w:tcBorders>
            <w:noWrap w:val="0"/>
            <w:vAlign w:val="center"/>
          </w:tcPr>
          <w:p w14:paraId="491B5329">
            <w:pPr>
              <w:adjustRightInd w:val="0"/>
              <w:snapToGrid w:val="0"/>
              <w:spacing w:line="360" w:lineRule="auto"/>
              <w:jc w:val="center"/>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1</w:t>
            </w:r>
          </w:p>
        </w:tc>
        <w:tc>
          <w:tcPr>
            <w:tcW w:w="2226" w:type="dxa"/>
            <w:tcBorders>
              <w:top w:val="single" w:color="auto" w:sz="6" w:space="0"/>
              <w:left w:val="single" w:color="auto" w:sz="6" w:space="0"/>
              <w:bottom w:val="single" w:color="auto" w:sz="4" w:space="0"/>
              <w:right w:val="single" w:color="auto" w:sz="6" w:space="0"/>
            </w:tcBorders>
            <w:noWrap w:val="0"/>
            <w:vAlign w:val="center"/>
          </w:tcPr>
          <w:p w14:paraId="17AF3C49">
            <w:pPr>
              <w:snapToGrid w:val="0"/>
              <w:spacing w:line="240" w:lineRule="auto"/>
              <w:jc w:val="center"/>
              <w:rPr>
                <w:rFonts w:hint="eastAsia" w:ascii="宋体" w:hAnsi="宋体" w:eastAsia="宋体" w:cs="宋体"/>
                <w:color w:val="auto"/>
                <w:sz w:val="22"/>
                <w:szCs w:val="22"/>
                <w:highlight w:val="none"/>
              </w:rPr>
            </w:pPr>
          </w:p>
        </w:tc>
        <w:tc>
          <w:tcPr>
            <w:tcW w:w="1707" w:type="dxa"/>
            <w:tcBorders>
              <w:top w:val="single" w:color="auto" w:sz="6" w:space="0"/>
              <w:left w:val="single" w:color="auto" w:sz="6" w:space="0"/>
              <w:bottom w:val="single" w:color="auto" w:sz="4" w:space="0"/>
              <w:right w:val="single" w:color="auto" w:sz="6" w:space="0"/>
            </w:tcBorders>
            <w:noWrap w:val="0"/>
            <w:vAlign w:val="center"/>
          </w:tcPr>
          <w:p w14:paraId="25986A39">
            <w:pPr>
              <w:snapToGrid w:val="0"/>
              <w:spacing w:line="240" w:lineRule="auto"/>
              <w:jc w:val="center"/>
              <w:rPr>
                <w:rFonts w:hint="eastAsia" w:ascii="宋体" w:hAnsi="宋体" w:eastAsia="宋体" w:cs="宋体"/>
                <w:color w:val="auto"/>
                <w:sz w:val="22"/>
                <w:szCs w:val="22"/>
                <w:highlight w:val="none"/>
              </w:rPr>
            </w:pPr>
          </w:p>
        </w:tc>
        <w:tc>
          <w:tcPr>
            <w:tcW w:w="1000" w:type="dxa"/>
            <w:tcBorders>
              <w:top w:val="single" w:color="auto" w:sz="6" w:space="0"/>
              <w:left w:val="single" w:color="auto" w:sz="6" w:space="0"/>
              <w:bottom w:val="single" w:color="auto" w:sz="6" w:space="0"/>
              <w:right w:val="single" w:color="auto" w:sz="4" w:space="0"/>
            </w:tcBorders>
            <w:noWrap w:val="0"/>
            <w:vAlign w:val="center"/>
          </w:tcPr>
          <w:p w14:paraId="6631F6E0">
            <w:pPr>
              <w:snapToGrid w:val="0"/>
              <w:spacing w:line="240" w:lineRule="auto"/>
              <w:jc w:val="center"/>
              <w:rPr>
                <w:rFonts w:hint="eastAsia" w:ascii="宋体" w:hAnsi="宋体" w:eastAsia="宋体" w:cs="宋体"/>
                <w:color w:val="auto"/>
                <w:sz w:val="22"/>
                <w:szCs w:val="22"/>
                <w:highlight w:val="none"/>
                <w:lang w:val="en-US" w:eastAsia="zh-CN"/>
              </w:rPr>
            </w:pPr>
          </w:p>
        </w:tc>
        <w:tc>
          <w:tcPr>
            <w:tcW w:w="1082" w:type="dxa"/>
            <w:tcBorders>
              <w:top w:val="single" w:color="auto" w:sz="6" w:space="0"/>
              <w:left w:val="single" w:color="auto" w:sz="4" w:space="0"/>
              <w:bottom w:val="single" w:color="auto" w:sz="6" w:space="0"/>
              <w:right w:val="single" w:color="auto" w:sz="4" w:space="0"/>
            </w:tcBorders>
            <w:noWrap w:val="0"/>
            <w:vAlign w:val="center"/>
          </w:tcPr>
          <w:p w14:paraId="3D6DD3C3">
            <w:pPr>
              <w:snapToGrid w:val="0"/>
              <w:spacing w:line="240" w:lineRule="auto"/>
              <w:jc w:val="center"/>
              <w:rPr>
                <w:rFonts w:hint="eastAsia" w:ascii="宋体" w:hAnsi="宋体" w:eastAsia="宋体" w:cs="宋体"/>
                <w:color w:val="auto"/>
                <w:sz w:val="22"/>
                <w:szCs w:val="22"/>
                <w:highlight w:val="none"/>
                <w:lang w:val="en-US" w:eastAsia="zh-CN"/>
              </w:rPr>
            </w:pPr>
          </w:p>
        </w:tc>
        <w:tc>
          <w:tcPr>
            <w:tcW w:w="957" w:type="dxa"/>
            <w:tcBorders>
              <w:top w:val="single" w:color="auto" w:sz="6" w:space="0"/>
              <w:left w:val="single" w:color="auto" w:sz="4" w:space="0"/>
              <w:bottom w:val="single" w:color="auto" w:sz="6" w:space="0"/>
              <w:right w:val="single" w:color="auto" w:sz="6" w:space="0"/>
            </w:tcBorders>
            <w:noWrap w:val="0"/>
            <w:vAlign w:val="center"/>
          </w:tcPr>
          <w:p w14:paraId="4F9824E9">
            <w:pPr>
              <w:snapToGrid w:val="0"/>
              <w:spacing w:line="240" w:lineRule="auto"/>
              <w:jc w:val="center"/>
              <w:rPr>
                <w:rFonts w:hint="eastAsia" w:ascii="宋体" w:hAnsi="宋体" w:eastAsia="宋体" w:cs="宋体"/>
                <w:color w:val="auto"/>
                <w:sz w:val="22"/>
                <w:szCs w:val="22"/>
                <w:highlight w:val="none"/>
                <w:lang w:val="en-US" w:eastAsia="zh-CN"/>
              </w:rPr>
            </w:pPr>
          </w:p>
        </w:tc>
        <w:tc>
          <w:tcPr>
            <w:tcW w:w="999" w:type="dxa"/>
            <w:tcBorders>
              <w:top w:val="single" w:color="auto" w:sz="6" w:space="0"/>
              <w:left w:val="single" w:color="auto" w:sz="6" w:space="0"/>
              <w:bottom w:val="single" w:color="auto" w:sz="4" w:space="0"/>
              <w:right w:val="single" w:color="auto" w:sz="4" w:space="0"/>
            </w:tcBorders>
            <w:noWrap w:val="0"/>
            <w:vAlign w:val="center"/>
          </w:tcPr>
          <w:p w14:paraId="3E86D4AB">
            <w:pPr>
              <w:snapToGrid w:val="0"/>
              <w:spacing w:line="240" w:lineRule="auto"/>
              <w:jc w:val="center"/>
              <w:rPr>
                <w:rFonts w:hint="eastAsia" w:ascii="宋体" w:hAnsi="宋体" w:eastAsia="宋体" w:cs="宋体"/>
                <w:color w:val="auto"/>
                <w:sz w:val="22"/>
                <w:szCs w:val="22"/>
                <w:highlight w:val="none"/>
                <w:lang w:val="en-US" w:eastAsia="zh-CN"/>
              </w:rPr>
            </w:pPr>
          </w:p>
        </w:tc>
        <w:tc>
          <w:tcPr>
            <w:tcW w:w="697" w:type="dxa"/>
            <w:tcBorders>
              <w:top w:val="single" w:color="auto" w:sz="6" w:space="0"/>
              <w:left w:val="single" w:color="auto" w:sz="4" w:space="0"/>
              <w:bottom w:val="single" w:color="auto" w:sz="4" w:space="0"/>
              <w:right w:val="single" w:color="auto" w:sz="6" w:space="0"/>
            </w:tcBorders>
            <w:noWrap w:val="0"/>
            <w:vAlign w:val="center"/>
          </w:tcPr>
          <w:p w14:paraId="652C2972">
            <w:pPr>
              <w:snapToGrid w:val="0"/>
              <w:spacing w:line="240" w:lineRule="auto"/>
              <w:jc w:val="center"/>
              <w:rPr>
                <w:rFonts w:hint="eastAsia" w:ascii="宋体" w:hAnsi="宋体" w:eastAsia="宋体" w:cs="宋体"/>
                <w:color w:val="auto"/>
                <w:sz w:val="22"/>
                <w:szCs w:val="22"/>
                <w:highlight w:val="none"/>
                <w:lang w:val="en-US" w:eastAsia="zh-CN"/>
              </w:rPr>
            </w:pPr>
            <w:r>
              <w:rPr>
                <w:rFonts w:hint="eastAsia" w:ascii="宋体" w:hAnsi="宋体" w:eastAsia="宋体" w:cs="宋体"/>
                <w:color w:val="auto"/>
                <w:sz w:val="22"/>
                <w:szCs w:val="22"/>
                <w:highlight w:val="none"/>
                <w:lang w:val="en-US" w:eastAsia="zh-CN"/>
              </w:rPr>
              <w:t>无</w:t>
            </w:r>
          </w:p>
        </w:tc>
      </w:tr>
      <w:tr w14:paraId="1E3BFCE0">
        <w:tblPrEx>
          <w:tblCellMar>
            <w:top w:w="0" w:type="dxa"/>
            <w:left w:w="28" w:type="dxa"/>
            <w:bottom w:w="0" w:type="dxa"/>
            <w:right w:w="28" w:type="dxa"/>
          </w:tblCellMar>
        </w:tblPrEx>
        <w:trPr>
          <w:trHeight w:val="429" w:hRule="atLeast"/>
        </w:trPr>
        <w:tc>
          <w:tcPr>
            <w:tcW w:w="2996" w:type="dxa"/>
            <w:gridSpan w:val="2"/>
            <w:tcBorders>
              <w:top w:val="single" w:color="auto" w:sz="4" w:space="0"/>
              <w:left w:val="single" w:color="auto" w:sz="6" w:space="0"/>
              <w:bottom w:val="single" w:color="auto" w:sz="4" w:space="0"/>
              <w:right w:val="single" w:color="auto" w:sz="6" w:space="0"/>
            </w:tcBorders>
            <w:noWrap w:val="0"/>
            <w:vAlign w:val="center"/>
          </w:tcPr>
          <w:p w14:paraId="6ACF8F45">
            <w:pPr>
              <w:snapToGrid w:val="0"/>
              <w:spacing w:before="249" w:beforeLines="50" w:line="360" w:lineRule="auto"/>
              <w:jc w:val="center"/>
              <w:rPr>
                <w:rFonts w:hint="eastAsia" w:ascii="宋体" w:hAnsi="宋体" w:eastAsia="宋体" w:cs="宋体"/>
                <w:color w:val="auto"/>
                <w:sz w:val="22"/>
                <w:szCs w:val="22"/>
                <w:highlight w:val="none"/>
                <w:lang w:val="en-US" w:eastAsia="zh-CN"/>
              </w:rPr>
            </w:pPr>
            <w:r>
              <w:rPr>
                <w:rFonts w:hint="eastAsia" w:ascii="宋体" w:hAnsi="宋体" w:eastAsia="宋体" w:cs="宋体"/>
                <w:color w:val="auto"/>
                <w:sz w:val="22"/>
                <w:szCs w:val="22"/>
                <w:highlight w:val="none"/>
                <w:lang w:val="en-US" w:eastAsia="zh-CN"/>
              </w:rPr>
              <w:t>合  计</w:t>
            </w:r>
          </w:p>
        </w:tc>
        <w:tc>
          <w:tcPr>
            <w:tcW w:w="6442" w:type="dxa"/>
            <w:gridSpan w:val="6"/>
            <w:tcBorders>
              <w:top w:val="single" w:color="auto" w:sz="4" w:space="0"/>
              <w:left w:val="single" w:color="auto" w:sz="6" w:space="0"/>
              <w:bottom w:val="single" w:color="auto" w:sz="4" w:space="0"/>
              <w:right w:val="single" w:color="auto" w:sz="4" w:space="0"/>
            </w:tcBorders>
            <w:noWrap w:val="0"/>
            <w:vAlign w:val="center"/>
          </w:tcPr>
          <w:p w14:paraId="2AF3EAF4">
            <w:pPr>
              <w:snapToGrid w:val="0"/>
              <w:spacing w:before="249" w:beforeLines="50" w:line="360" w:lineRule="auto"/>
              <w:rPr>
                <w:rFonts w:hint="eastAsia" w:ascii="宋体" w:hAnsi="宋体" w:eastAsia="宋体" w:cs="宋体"/>
                <w:b/>
                <w:color w:val="auto"/>
                <w:sz w:val="22"/>
                <w:szCs w:val="22"/>
                <w:highlight w:val="none"/>
                <w:u w:val="none"/>
                <w:lang w:val="en-US" w:eastAsia="zh-CN"/>
              </w:rPr>
            </w:pPr>
            <w:r>
              <w:rPr>
                <w:rFonts w:hint="eastAsia" w:ascii="宋体" w:hAnsi="宋体" w:eastAsia="宋体" w:cs="宋体"/>
                <w:b/>
                <w:color w:val="auto"/>
                <w:sz w:val="22"/>
                <w:szCs w:val="22"/>
                <w:highlight w:val="none"/>
                <w:lang w:val="en-US" w:eastAsia="zh-CN"/>
              </w:rPr>
              <w:t>人民币：</w:t>
            </w:r>
            <w:r>
              <w:rPr>
                <w:rFonts w:hint="eastAsia" w:ascii="宋体" w:hAnsi="宋体" w:eastAsia="宋体" w:cs="宋体"/>
                <w:b/>
                <w:color w:val="auto"/>
                <w:sz w:val="22"/>
                <w:szCs w:val="22"/>
                <w:highlight w:val="none"/>
                <w:u w:val="single"/>
                <w:lang w:val="en-US" w:eastAsia="zh-CN"/>
              </w:rPr>
              <w:t>（大写）        元整 （小写）     元</w:t>
            </w:r>
            <w:r>
              <w:rPr>
                <w:rFonts w:hint="eastAsia" w:ascii="宋体" w:hAnsi="宋体" w:eastAsia="宋体" w:cs="宋体"/>
                <w:b/>
                <w:color w:val="auto"/>
                <w:sz w:val="22"/>
                <w:szCs w:val="22"/>
                <w:highlight w:val="none"/>
                <w:u w:val="none"/>
                <w:lang w:val="en-US" w:eastAsia="zh-CN"/>
              </w:rPr>
              <w:t xml:space="preserve">    </w:t>
            </w:r>
          </w:p>
        </w:tc>
      </w:tr>
    </w:tbl>
    <w:p w14:paraId="27668F9D">
      <w:pPr>
        <w:bidi w:val="0"/>
        <w:rPr>
          <w:rFonts w:hint="eastAsia"/>
          <w:lang w:val="en-US" w:eastAsia="zh-CN"/>
        </w:rPr>
      </w:pPr>
    </w:p>
    <w:p w14:paraId="7297D873">
      <w:pPr>
        <w:pStyle w:val="10"/>
        <w:numPr>
          <w:ilvl w:val="0"/>
          <w:numId w:val="1"/>
        </w:numPr>
        <w:spacing w:line="360" w:lineRule="auto"/>
        <w:ind w:left="0" w:leftChars="0" w:firstLine="420" w:firstLineChars="0"/>
        <w:jc w:val="left"/>
        <w:rPr>
          <w:rFonts w:hint="eastAsia" w:ascii="宋体" w:hAnsi="宋体" w:eastAsia="宋体" w:cs="宋体"/>
          <w:b/>
          <w:color w:val="auto"/>
          <w:sz w:val="24"/>
          <w:szCs w:val="24"/>
          <w:highlight w:val="none"/>
          <w:lang w:val="en-US" w:eastAsia="zh-CN"/>
        </w:rPr>
      </w:pPr>
      <w:r>
        <w:rPr>
          <w:rFonts w:hint="eastAsia" w:ascii="宋体" w:hAnsi="宋体" w:eastAsia="宋体" w:cs="宋体"/>
          <w:b/>
          <w:color w:val="auto"/>
          <w:sz w:val="24"/>
          <w:szCs w:val="24"/>
          <w:highlight w:val="none"/>
          <w:lang w:val="en-US" w:eastAsia="zh-CN"/>
        </w:rPr>
        <w:t>合同组成</w:t>
      </w:r>
    </w:p>
    <w:p w14:paraId="26E2DACE">
      <w:pPr>
        <w:numPr>
          <w:ilvl w:val="0"/>
          <w:numId w:val="2"/>
        </w:numPr>
        <w:tabs>
          <w:tab w:val="left" w:pos="735"/>
        </w:tabs>
        <w:adjustRightInd w:val="0"/>
        <w:snapToGrid w:val="0"/>
        <w:spacing w:line="360" w:lineRule="auto"/>
        <w:ind w:left="0" w:leftChars="0" w:firstLine="420" w:firstLine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下述文件是构成本合同不可分割的部分:</w:t>
      </w:r>
    </w:p>
    <w:p w14:paraId="4D3DA37A">
      <w:pPr>
        <w:numPr>
          <w:ilvl w:val="0"/>
          <w:numId w:val="3"/>
        </w:numPr>
        <w:tabs>
          <w:tab w:val="left" w:pos="735"/>
        </w:tabs>
        <w:adjustRightInd w:val="0"/>
        <w:snapToGrid w:val="0"/>
        <w:spacing w:line="360" w:lineRule="auto"/>
        <w:ind w:left="0" w:leftChars="0" w:firstLine="400" w:firstLine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本合同条款及其所有附件。</w:t>
      </w:r>
    </w:p>
    <w:p w14:paraId="51054E81">
      <w:pPr>
        <w:numPr>
          <w:ilvl w:val="0"/>
          <w:numId w:val="3"/>
        </w:numPr>
        <w:tabs>
          <w:tab w:val="left" w:pos="735"/>
        </w:tabs>
        <w:adjustRightInd w:val="0"/>
        <w:snapToGrid w:val="0"/>
        <w:spacing w:line="360" w:lineRule="auto"/>
        <w:ind w:left="0" w:leftChars="0" w:firstLine="400" w:firstLine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甲方的</w:t>
      </w:r>
      <w:r>
        <w:rPr>
          <w:rFonts w:hint="eastAsia" w:ascii="宋体" w:hAnsi="宋体" w:eastAsia="宋体" w:cs="宋体"/>
          <w:color w:val="auto"/>
          <w:sz w:val="24"/>
          <w:szCs w:val="24"/>
          <w:highlight w:val="none"/>
          <w:lang w:val="en-US" w:eastAsia="zh-CN"/>
        </w:rPr>
        <w:t>单一来源谈判文件</w:t>
      </w:r>
      <w:r>
        <w:rPr>
          <w:rFonts w:hint="eastAsia" w:ascii="宋体" w:hAnsi="宋体" w:eastAsia="宋体" w:cs="宋体"/>
          <w:color w:val="auto"/>
          <w:sz w:val="24"/>
          <w:szCs w:val="24"/>
          <w:highlight w:val="none"/>
        </w:rPr>
        <w:t>及澄清文件。</w:t>
      </w:r>
    </w:p>
    <w:p w14:paraId="477ABED8">
      <w:pPr>
        <w:numPr>
          <w:ilvl w:val="0"/>
          <w:numId w:val="3"/>
        </w:numPr>
        <w:tabs>
          <w:tab w:val="left" w:pos="735"/>
        </w:tabs>
        <w:adjustRightInd w:val="0"/>
        <w:snapToGrid w:val="0"/>
        <w:spacing w:line="360" w:lineRule="auto"/>
        <w:ind w:left="0" w:leftChars="0" w:firstLine="400" w:firstLine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乙方的</w:t>
      </w:r>
      <w:r>
        <w:rPr>
          <w:rFonts w:hint="eastAsia" w:ascii="宋体" w:hAnsi="宋体" w:eastAsia="宋体" w:cs="宋体"/>
          <w:color w:val="auto"/>
          <w:sz w:val="24"/>
          <w:szCs w:val="24"/>
          <w:highlight w:val="none"/>
          <w:lang w:val="en-US" w:eastAsia="zh-CN"/>
        </w:rPr>
        <w:t>谈判响应文件</w:t>
      </w:r>
      <w:r>
        <w:rPr>
          <w:rFonts w:hint="eastAsia" w:ascii="宋体" w:hAnsi="宋体" w:eastAsia="宋体" w:cs="宋体"/>
          <w:color w:val="auto"/>
          <w:sz w:val="24"/>
          <w:szCs w:val="24"/>
          <w:highlight w:val="none"/>
        </w:rPr>
        <w:t>及质疑解答文件。</w:t>
      </w:r>
    </w:p>
    <w:p w14:paraId="57DEA439">
      <w:pPr>
        <w:numPr>
          <w:ilvl w:val="0"/>
          <w:numId w:val="3"/>
        </w:numPr>
        <w:tabs>
          <w:tab w:val="left" w:pos="735"/>
        </w:tabs>
        <w:adjustRightInd w:val="0"/>
        <w:snapToGrid w:val="0"/>
        <w:spacing w:line="360" w:lineRule="auto"/>
        <w:ind w:left="0" w:leftChars="0" w:firstLine="400" w:firstLine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成交</w:t>
      </w:r>
      <w:r>
        <w:rPr>
          <w:rFonts w:hint="eastAsia" w:ascii="宋体" w:hAnsi="宋体" w:eastAsia="宋体" w:cs="宋体"/>
          <w:color w:val="auto"/>
          <w:sz w:val="24"/>
          <w:szCs w:val="24"/>
          <w:highlight w:val="none"/>
        </w:rPr>
        <w:t>通知书。</w:t>
      </w:r>
    </w:p>
    <w:p w14:paraId="1893ADA2">
      <w:pPr>
        <w:numPr>
          <w:ilvl w:val="0"/>
          <w:numId w:val="3"/>
        </w:numPr>
        <w:tabs>
          <w:tab w:val="left" w:pos="735"/>
        </w:tabs>
        <w:adjustRightInd w:val="0"/>
        <w:snapToGrid w:val="0"/>
        <w:spacing w:line="360" w:lineRule="auto"/>
        <w:ind w:left="0" w:leftChars="0" w:firstLine="400" w:firstLine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双方与合同有关的往来信函、传真经双方法定代表人或其授权代表签字并加盖单位公章确认后视为本合同的组成部分。</w:t>
      </w:r>
    </w:p>
    <w:p w14:paraId="7CD391E3">
      <w:pPr>
        <w:numPr>
          <w:ilvl w:val="0"/>
          <w:numId w:val="3"/>
        </w:numPr>
        <w:tabs>
          <w:tab w:val="left" w:pos="735"/>
        </w:tabs>
        <w:adjustRightInd w:val="0"/>
        <w:snapToGrid w:val="0"/>
        <w:spacing w:line="360" w:lineRule="auto"/>
        <w:ind w:left="0" w:leftChars="0" w:firstLine="400" w:firstLine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经双方法定代表人或其授权代表签字并加盖单位公章确认的补充协议。</w:t>
      </w:r>
    </w:p>
    <w:p w14:paraId="03201863">
      <w:pPr>
        <w:numPr>
          <w:ilvl w:val="0"/>
          <w:numId w:val="2"/>
        </w:numPr>
        <w:tabs>
          <w:tab w:val="left" w:pos="735"/>
        </w:tabs>
        <w:adjustRightInd w:val="0"/>
        <w:snapToGrid w:val="0"/>
        <w:spacing w:line="360" w:lineRule="auto"/>
        <w:ind w:left="0" w:leftChars="0" w:firstLine="420" w:firstLine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如果乙方的</w:t>
      </w:r>
      <w:r>
        <w:rPr>
          <w:rFonts w:hint="eastAsia" w:ascii="宋体" w:hAnsi="宋体" w:eastAsia="宋体" w:cs="宋体"/>
          <w:color w:val="auto"/>
          <w:sz w:val="24"/>
          <w:szCs w:val="24"/>
          <w:highlight w:val="none"/>
          <w:lang w:eastAsia="zh-CN"/>
        </w:rPr>
        <w:t>谈判响应文件</w:t>
      </w:r>
      <w:r>
        <w:rPr>
          <w:rFonts w:hint="eastAsia" w:ascii="宋体" w:hAnsi="宋体" w:eastAsia="宋体" w:cs="宋体"/>
          <w:color w:val="auto"/>
          <w:sz w:val="24"/>
          <w:szCs w:val="24"/>
          <w:highlight w:val="none"/>
        </w:rPr>
        <w:t>及质疑解答文件内容违背或低于甲方</w:t>
      </w:r>
      <w:r>
        <w:rPr>
          <w:rFonts w:hint="eastAsia" w:ascii="宋体" w:hAnsi="宋体" w:eastAsia="宋体" w:cs="宋体"/>
          <w:color w:val="auto"/>
          <w:sz w:val="24"/>
          <w:szCs w:val="24"/>
          <w:highlight w:val="none"/>
          <w:lang w:eastAsia="zh-CN"/>
        </w:rPr>
        <w:t>单一来源谈判文件</w:t>
      </w:r>
      <w:r>
        <w:rPr>
          <w:rFonts w:hint="eastAsia" w:ascii="宋体" w:hAnsi="宋体" w:eastAsia="宋体" w:cs="宋体"/>
          <w:color w:val="auto"/>
          <w:sz w:val="24"/>
          <w:szCs w:val="24"/>
          <w:highlight w:val="none"/>
        </w:rPr>
        <w:t>要求或任何可能导致影响当次采购目的的情形，均应当被视为乙方自动放弃</w:t>
      </w:r>
      <w:r>
        <w:rPr>
          <w:rFonts w:hint="eastAsia" w:ascii="宋体" w:hAnsi="宋体" w:eastAsia="宋体" w:cs="宋体"/>
          <w:color w:val="auto"/>
          <w:sz w:val="24"/>
          <w:szCs w:val="24"/>
          <w:highlight w:val="none"/>
          <w:lang w:eastAsia="zh-CN"/>
        </w:rPr>
        <w:t>谈判响应文件</w:t>
      </w:r>
      <w:r>
        <w:rPr>
          <w:rFonts w:hint="eastAsia" w:ascii="宋体" w:hAnsi="宋体" w:eastAsia="宋体" w:cs="宋体"/>
          <w:color w:val="auto"/>
          <w:sz w:val="24"/>
          <w:szCs w:val="24"/>
          <w:highlight w:val="none"/>
        </w:rPr>
        <w:t>及质疑解答文件中相应部分而同意以</w:t>
      </w:r>
      <w:r>
        <w:rPr>
          <w:rFonts w:hint="eastAsia" w:ascii="宋体" w:hAnsi="宋体" w:eastAsia="宋体" w:cs="宋体"/>
          <w:color w:val="auto"/>
          <w:sz w:val="24"/>
          <w:szCs w:val="24"/>
          <w:highlight w:val="none"/>
          <w:lang w:eastAsia="zh-CN"/>
        </w:rPr>
        <w:t>单一来源谈判文件</w:t>
      </w:r>
      <w:r>
        <w:rPr>
          <w:rFonts w:hint="eastAsia" w:ascii="宋体" w:hAnsi="宋体" w:eastAsia="宋体" w:cs="宋体"/>
          <w:color w:val="auto"/>
          <w:sz w:val="24"/>
          <w:szCs w:val="24"/>
          <w:highlight w:val="none"/>
        </w:rPr>
        <w:t>相应内容为准。如果乙方的</w:t>
      </w:r>
      <w:r>
        <w:rPr>
          <w:rFonts w:hint="eastAsia" w:ascii="宋体" w:hAnsi="宋体" w:eastAsia="宋体" w:cs="宋体"/>
          <w:color w:val="auto"/>
          <w:sz w:val="24"/>
          <w:szCs w:val="24"/>
          <w:highlight w:val="none"/>
          <w:lang w:eastAsia="zh-CN"/>
        </w:rPr>
        <w:t>谈判响应文件</w:t>
      </w:r>
      <w:r>
        <w:rPr>
          <w:rFonts w:hint="eastAsia" w:ascii="宋体" w:hAnsi="宋体" w:eastAsia="宋体" w:cs="宋体"/>
          <w:color w:val="auto"/>
          <w:sz w:val="24"/>
          <w:szCs w:val="24"/>
          <w:highlight w:val="none"/>
        </w:rPr>
        <w:t>及质疑解答文件内容高于甲方</w:t>
      </w:r>
      <w:r>
        <w:rPr>
          <w:rFonts w:hint="eastAsia" w:ascii="宋体" w:hAnsi="宋体" w:eastAsia="宋体" w:cs="宋体"/>
          <w:color w:val="auto"/>
          <w:sz w:val="24"/>
          <w:szCs w:val="24"/>
          <w:highlight w:val="none"/>
          <w:lang w:eastAsia="zh-CN"/>
        </w:rPr>
        <w:t>单一来源谈判文件</w:t>
      </w:r>
      <w:r>
        <w:rPr>
          <w:rFonts w:hint="eastAsia" w:ascii="宋体" w:hAnsi="宋体" w:eastAsia="宋体" w:cs="宋体"/>
          <w:color w:val="auto"/>
          <w:sz w:val="24"/>
          <w:szCs w:val="24"/>
          <w:highlight w:val="none"/>
        </w:rPr>
        <w:t>要求，则以乙方的</w:t>
      </w:r>
      <w:r>
        <w:rPr>
          <w:rFonts w:hint="eastAsia" w:ascii="宋体" w:hAnsi="宋体" w:eastAsia="宋体" w:cs="宋体"/>
          <w:color w:val="auto"/>
          <w:sz w:val="24"/>
          <w:szCs w:val="24"/>
          <w:highlight w:val="none"/>
          <w:lang w:eastAsia="zh-CN"/>
        </w:rPr>
        <w:t>谈判响应文件</w:t>
      </w:r>
      <w:r>
        <w:rPr>
          <w:rFonts w:hint="eastAsia" w:ascii="宋体" w:hAnsi="宋体" w:eastAsia="宋体" w:cs="宋体"/>
          <w:color w:val="auto"/>
          <w:sz w:val="24"/>
          <w:szCs w:val="24"/>
          <w:highlight w:val="none"/>
        </w:rPr>
        <w:t>及质疑解答文件内容为准。如果合同条款与合同附件有矛盾之处，以合同条款内容为准。如果合同附件之间有矛盾之处，以有利于甲方的附件内容为准。</w:t>
      </w:r>
    </w:p>
    <w:p w14:paraId="4B90A501">
      <w:pPr>
        <w:pStyle w:val="10"/>
        <w:numPr>
          <w:ilvl w:val="0"/>
          <w:numId w:val="1"/>
        </w:numPr>
        <w:spacing w:line="360" w:lineRule="auto"/>
        <w:ind w:left="0" w:leftChars="0" w:firstLine="420" w:firstLineChars="0"/>
        <w:jc w:val="left"/>
        <w:rPr>
          <w:rFonts w:hint="eastAsia" w:ascii="宋体" w:hAnsi="宋体" w:eastAsia="宋体" w:cs="宋体"/>
          <w:b/>
          <w:color w:val="auto"/>
          <w:sz w:val="24"/>
          <w:szCs w:val="24"/>
          <w:highlight w:val="none"/>
          <w:lang w:val="en-US" w:eastAsia="zh-CN"/>
        </w:rPr>
      </w:pPr>
      <w:r>
        <w:rPr>
          <w:rFonts w:hint="eastAsia" w:ascii="宋体" w:hAnsi="宋体" w:eastAsia="宋体" w:cs="宋体"/>
          <w:b/>
          <w:color w:val="auto"/>
          <w:sz w:val="24"/>
          <w:szCs w:val="24"/>
          <w:highlight w:val="none"/>
          <w:lang w:val="en-US" w:eastAsia="zh-CN"/>
        </w:rPr>
        <w:t>合同价款</w:t>
      </w:r>
    </w:p>
    <w:p w14:paraId="631B13C6">
      <w:pPr>
        <w:numPr>
          <w:ilvl w:val="0"/>
          <w:numId w:val="4"/>
        </w:numPr>
        <w:tabs>
          <w:tab w:val="left" w:pos="480"/>
        </w:tabs>
        <w:snapToGrid w:val="0"/>
        <w:spacing w:line="360" w:lineRule="auto"/>
        <w:ind w:left="0" w:leftChars="0" w:firstLine="420" w:firstLine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合同总价款为人民币（大写）</w:t>
      </w:r>
      <w:r>
        <w:rPr>
          <w:rFonts w:hint="eastAsia" w:ascii="宋体" w:hAnsi="宋体" w:eastAsia="宋体" w:cs="宋体"/>
          <w:b/>
          <w:color w:val="auto"/>
          <w:sz w:val="22"/>
          <w:szCs w:val="22"/>
          <w:highlight w:val="none"/>
          <w:lang w:val="en-US" w:eastAsia="zh-CN"/>
        </w:rPr>
        <w:t>人民币：</w:t>
      </w:r>
      <w:r>
        <w:rPr>
          <w:rFonts w:hint="eastAsia" w:ascii="宋体" w:hAnsi="宋体" w:eastAsia="宋体" w:cs="宋体"/>
          <w:b/>
          <w:color w:val="auto"/>
          <w:sz w:val="22"/>
          <w:szCs w:val="22"/>
          <w:highlight w:val="none"/>
          <w:u w:val="single"/>
          <w:lang w:val="en-US" w:eastAsia="zh-CN"/>
        </w:rPr>
        <w:t>（大写）        元整 （小写）     元</w:t>
      </w:r>
      <w:r>
        <w:rPr>
          <w:rFonts w:hint="eastAsia" w:ascii="宋体" w:hAnsi="宋体" w:eastAsia="宋体" w:cs="宋体"/>
          <w:color w:val="auto"/>
          <w:sz w:val="24"/>
          <w:szCs w:val="24"/>
          <w:highlight w:val="none"/>
        </w:rPr>
        <w:t>。</w:t>
      </w:r>
    </w:p>
    <w:p w14:paraId="70E6FAA2">
      <w:pPr>
        <w:numPr>
          <w:ilvl w:val="0"/>
          <w:numId w:val="4"/>
        </w:numPr>
        <w:tabs>
          <w:tab w:val="left" w:pos="480"/>
        </w:tabs>
        <w:snapToGrid w:val="0"/>
        <w:spacing w:line="360" w:lineRule="auto"/>
        <w:ind w:left="0" w:leftChars="0" w:firstLine="420" w:firstLine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合同总价包括：货物费、运输费（含保险费）、安装调试费、检测验收费、培训费及其它费用。</w:t>
      </w:r>
    </w:p>
    <w:p w14:paraId="0898BAC0">
      <w:pPr>
        <w:numPr>
          <w:ilvl w:val="0"/>
          <w:numId w:val="4"/>
        </w:numPr>
        <w:tabs>
          <w:tab w:val="left" w:pos="480"/>
        </w:tabs>
        <w:snapToGrid w:val="0"/>
        <w:spacing w:line="360" w:lineRule="auto"/>
        <w:ind w:left="0" w:leftChars="0" w:firstLine="420" w:firstLine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合同总价一次性包死，不受市场价格变化因素的影响。</w:t>
      </w:r>
    </w:p>
    <w:p w14:paraId="65BC6A50">
      <w:pPr>
        <w:numPr>
          <w:ilvl w:val="0"/>
          <w:numId w:val="4"/>
        </w:numPr>
        <w:tabs>
          <w:tab w:val="left" w:pos="480"/>
        </w:tabs>
        <w:snapToGrid w:val="0"/>
        <w:spacing w:line="360" w:lineRule="auto"/>
        <w:ind w:left="0" w:leftChars="0" w:firstLine="420" w:firstLine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甲方不再另付任何费用。</w:t>
      </w:r>
    </w:p>
    <w:p w14:paraId="4680E2F3">
      <w:pPr>
        <w:pStyle w:val="10"/>
        <w:numPr>
          <w:ilvl w:val="0"/>
          <w:numId w:val="1"/>
        </w:numPr>
        <w:spacing w:line="360" w:lineRule="auto"/>
        <w:ind w:left="0" w:leftChars="0" w:firstLine="420" w:firstLineChars="0"/>
        <w:jc w:val="left"/>
        <w:rPr>
          <w:rFonts w:hint="eastAsia" w:ascii="宋体" w:hAnsi="宋体" w:eastAsia="宋体" w:cs="宋体"/>
          <w:b/>
          <w:color w:val="auto"/>
          <w:sz w:val="24"/>
          <w:szCs w:val="24"/>
          <w:highlight w:val="none"/>
          <w:lang w:val="en-US" w:eastAsia="zh-CN"/>
        </w:rPr>
      </w:pPr>
      <w:r>
        <w:rPr>
          <w:rFonts w:hint="eastAsia" w:ascii="宋体" w:hAnsi="宋体" w:eastAsia="宋体" w:cs="宋体"/>
          <w:b/>
          <w:color w:val="auto"/>
          <w:sz w:val="24"/>
          <w:szCs w:val="24"/>
          <w:highlight w:val="none"/>
          <w:lang w:val="en-US" w:eastAsia="zh-CN"/>
        </w:rPr>
        <w:t>合同结算</w:t>
      </w:r>
    </w:p>
    <w:p w14:paraId="553D3E57">
      <w:pPr>
        <w:pStyle w:val="7"/>
        <w:keepNext w:val="0"/>
        <w:keepLines w:val="0"/>
        <w:widowControl/>
        <w:numPr>
          <w:ilvl w:val="0"/>
          <w:numId w:val="5"/>
        </w:numPr>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leftChars="0" w:right="0" w:firstLine="420" w:firstLineChars="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lang w:val="en-US" w:eastAsia="zh-CN"/>
        </w:rPr>
        <w:t>验收合格并经甲方盖章确认之日起，30日内，甲方付合同总额100%的货款。即</w:t>
      </w:r>
      <w:r>
        <w:rPr>
          <w:rFonts w:hint="eastAsia" w:ascii="宋体" w:hAnsi="宋体" w:eastAsia="宋体" w:cs="宋体"/>
          <w:b/>
          <w:color w:val="auto"/>
          <w:sz w:val="22"/>
          <w:szCs w:val="22"/>
          <w:highlight w:val="none"/>
          <w:lang w:val="en-US" w:eastAsia="zh-CN"/>
        </w:rPr>
        <w:t>人民币：</w:t>
      </w:r>
      <w:r>
        <w:rPr>
          <w:rFonts w:hint="eastAsia" w:ascii="宋体" w:hAnsi="宋体" w:eastAsia="宋体" w:cs="宋体"/>
          <w:b/>
          <w:color w:val="auto"/>
          <w:sz w:val="22"/>
          <w:szCs w:val="22"/>
          <w:highlight w:val="none"/>
          <w:u w:val="single"/>
          <w:lang w:val="en-US" w:eastAsia="zh-CN"/>
        </w:rPr>
        <w:t>（大写）        元整 （小写）     元</w:t>
      </w:r>
      <w:r>
        <w:rPr>
          <w:rFonts w:hint="eastAsia" w:ascii="宋体" w:hAnsi="宋体" w:eastAsia="宋体" w:cs="宋体"/>
          <w:bCs/>
          <w:color w:val="auto"/>
          <w:sz w:val="24"/>
          <w:szCs w:val="24"/>
          <w:highlight w:val="none"/>
          <w:lang w:val="en-US" w:eastAsia="zh-CN"/>
        </w:rPr>
        <w:t>。</w:t>
      </w:r>
    </w:p>
    <w:p w14:paraId="43174DCA">
      <w:pPr>
        <w:keepNext w:val="0"/>
        <w:keepLines w:val="0"/>
        <w:pageBreakBefore w:val="0"/>
        <w:numPr>
          <w:ilvl w:val="0"/>
          <w:numId w:val="5"/>
        </w:numPr>
        <w:tabs>
          <w:tab w:val="left" w:pos="480"/>
        </w:tabs>
        <w:kinsoku/>
        <w:wordWrap/>
        <w:overflowPunct/>
        <w:topLinePunct w:val="0"/>
        <w:bidi w:val="0"/>
        <w:adjustRightInd/>
        <w:snapToGrid w:val="0"/>
        <w:spacing w:line="360" w:lineRule="auto"/>
        <w:ind w:left="0" w:leftChars="0" w:right="0" w:firstLine="420" w:firstLine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支付方式：银行转帐。</w:t>
      </w:r>
    </w:p>
    <w:p w14:paraId="417106CB">
      <w:pPr>
        <w:keepNext w:val="0"/>
        <w:keepLines w:val="0"/>
        <w:pageBreakBefore w:val="0"/>
        <w:numPr>
          <w:ilvl w:val="0"/>
          <w:numId w:val="5"/>
        </w:numPr>
        <w:tabs>
          <w:tab w:val="left" w:pos="480"/>
        </w:tabs>
        <w:kinsoku/>
        <w:wordWrap/>
        <w:overflowPunct/>
        <w:topLinePunct w:val="0"/>
        <w:bidi w:val="0"/>
        <w:adjustRightInd/>
        <w:snapToGrid w:val="0"/>
        <w:spacing w:line="360" w:lineRule="auto"/>
        <w:ind w:left="0" w:leftChars="0" w:right="0" w:firstLine="420" w:firstLine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结算方式：付款时，乙方将发票（按合同总价直开甲方）、持</w:t>
      </w:r>
      <w:r>
        <w:rPr>
          <w:rFonts w:hint="eastAsia" w:ascii="宋体" w:hAnsi="宋体" w:eastAsia="宋体" w:cs="宋体"/>
          <w:color w:val="auto"/>
          <w:sz w:val="24"/>
          <w:szCs w:val="24"/>
          <w:highlight w:val="none"/>
          <w:lang w:val="en-US" w:eastAsia="zh-CN"/>
        </w:rPr>
        <w:t>成交</w:t>
      </w:r>
      <w:r>
        <w:rPr>
          <w:rFonts w:hint="eastAsia" w:ascii="宋体" w:hAnsi="宋体" w:eastAsia="宋体" w:cs="宋体"/>
          <w:color w:val="auto"/>
          <w:sz w:val="24"/>
          <w:szCs w:val="24"/>
          <w:highlight w:val="none"/>
        </w:rPr>
        <w:t>通知书、合同、发票及发票复印件、甲、乙双方设备验收单，与甲方办理资金结算。</w:t>
      </w:r>
    </w:p>
    <w:p w14:paraId="5A432995">
      <w:pPr>
        <w:pStyle w:val="10"/>
        <w:numPr>
          <w:ilvl w:val="0"/>
          <w:numId w:val="1"/>
        </w:numPr>
        <w:spacing w:line="360" w:lineRule="auto"/>
        <w:ind w:left="0" w:leftChars="0" w:firstLine="420" w:firstLineChars="0"/>
        <w:jc w:val="left"/>
        <w:rPr>
          <w:rFonts w:hint="eastAsia" w:ascii="宋体" w:hAnsi="宋体" w:eastAsia="宋体" w:cs="宋体"/>
          <w:b/>
          <w:color w:val="auto"/>
          <w:sz w:val="24"/>
          <w:szCs w:val="24"/>
          <w:highlight w:val="none"/>
          <w:lang w:val="en-US" w:eastAsia="zh-CN"/>
        </w:rPr>
      </w:pPr>
      <w:r>
        <w:rPr>
          <w:rFonts w:hint="eastAsia" w:ascii="宋体" w:hAnsi="宋体" w:eastAsia="宋体" w:cs="宋体"/>
          <w:b/>
          <w:color w:val="auto"/>
          <w:sz w:val="24"/>
          <w:szCs w:val="24"/>
          <w:highlight w:val="none"/>
          <w:lang w:val="en-US" w:eastAsia="zh-CN"/>
        </w:rPr>
        <w:t>服务地点及交货期</w:t>
      </w:r>
    </w:p>
    <w:p w14:paraId="6C373677">
      <w:pPr>
        <w:numPr>
          <w:ilvl w:val="0"/>
          <w:numId w:val="6"/>
        </w:numPr>
        <w:snapToGrid w:val="0"/>
        <w:spacing w:line="360" w:lineRule="auto"/>
        <w:ind w:left="0" w:leftChars="0" w:firstLine="420" w:firstLineChars="0"/>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服务地点：采购人指定地点。</w:t>
      </w:r>
    </w:p>
    <w:p w14:paraId="31171432">
      <w:pPr>
        <w:numPr>
          <w:ilvl w:val="0"/>
          <w:numId w:val="6"/>
        </w:numPr>
        <w:snapToGrid w:val="0"/>
        <w:spacing w:line="360" w:lineRule="auto"/>
        <w:ind w:left="0" w:leftChars="0" w:firstLine="420" w:firstLineChars="0"/>
        <w:textAlignment w:val="baseline"/>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安装时间</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 xml:space="preserve">   </w:t>
      </w:r>
    </w:p>
    <w:p w14:paraId="2CBDE9EA">
      <w:pPr>
        <w:pStyle w:val="10"/>
        <w:numPr>
          <w:ilvl w:val="0"/>
          <w:numId w:val="1"/>
        </w:numPr>
        <w:spacing w:line="360" w:lineRule="auto"/>
        <w:ind w:left="0" w:leftChars="0" w:firstLine="420" w:firstLineChars="0"/>
        <w:jc w:val="left"/>
        <w:rPr>
          <w:rFonts w:hint="eastAsia" w:ascii="宋体" w:hAnsi="宋体" w:eastAsia="宋体" w:cs="宋体"/>
          <w:b/>
          <w:color w:val="auto"/>
          <w:sz w:val="24"/>
          <w:szCs w:val="24"/>
          <w:highlight w:val="none"/>
          <w:lang w:val="en-US" w:eastAsia="zh-CN"/>
        </w:rPr>
      </w:pPr>
      <w:r>
        <w:rPr>
          <w:rFonts w:hint="eastAsia" w:ascii="宋体" w:hAnsi="宋体" w:eastAsia="宋体" w:cs="宋体"/>
          <w:b/>
          <w:color w:val="auto"/>
          <w:sz w:val="24"/>
          <w:szCs w:val="24"/>
          <w:highlight w:val="none"/>
          <w:lang w:val="en-US" w:eastAsia="zh-CN"/>
        </w:rPr>
        <w:t>双方的权利和义务</w:t>
      </w:r>
    </w:p>
    <w:p w14:paraId="0B6B5492">
      <w:pPr>
        <w:numPr>
          <w:ilvl w:val="0"/>
          <w:numId w:val="7"/>
        </w:numPr>
        <w:snapToGrid w:val="0"/>
        <w:spacing w:line="360" w:lineRule="auto"/>
        <w:ind w:left="0" w:leftChars="0" w:firstLine="420" w:firstLineChars="0"/>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甲方的权利和义务</w:t>
      </w:r>
    </w:p>
    <w:p w14:paraId="08CF6773">
      <w:pPr>
        <w:keepNext w:val="0"/>
        <w:keepLines w:val="0"/>
        <w:pageBreakBefore w:val="0"/>
        <w:numPr>
          <w:ilvl w:val="0"/>
          <w:numId w:val="0"/>
        </w:numPr>
        <w:tabs>
          <w:tab w:val="left" w:pos="480"/>
        </w:tabs>
        <w:kinsoku/>
        <w:wordWrap/>
        <w:overflowPunct/>
        <w:topLinePunct w:val="0"/>
        <w:bidi w:val="0"/>
        <w:adjustRightInd/>
        <w:snapToGrid w:val="0"/>
        <w:spacing w:line="360" w:lineRule="auto"/>
        <w:ind w:left="420" w:leftChars="0" w:right="0" w:right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甲方权利：组织使用单位严格按照</w:t>
      </w:r>
      <w:r>
        <w:rPr>
          <w:rFonts w:hint="eastAsia" w:ascii="宋体" w:hAnsi="宋体" w:eastAsia="宋体" w:cs="宋体"/>
          <w:color w:val="auto"/>
          <w:sz w:val="24"/>
          <w:szCs w:val="24"/>
          <w:highlight w:val="none"/>
          <w:lang w:eastAsia="zh-CN"/>
        </w:rPr>
        <w:t>谈判文件</w:t>
      </w:r>
      <w:r>
        <w:rPr>
          <w:rFonts w:hint="eastAsia" w:ascii="宋体" w:hAnsi="宋体" w:eastAsia="宋体" w:cs="宋体"/>
          <w:color w:val="auto"/>
          <w:sz w:val="24"/>
          <w:szCs w:val="24"/>
          <w:highlight w:val="none"/>
        </w:rPr>
        <w:t>及</w:t>
      </w:r>
      <w:r>
        <w:rPr>
          <w:rFonts w:hint="eastAsia" w:ascii="宋体" w:hAnsi="宋体" w:eastAsia="宋体" w:cs="宋体"/>
          <w:color w:val="auto"/>
          <w:sz w:val="24"/>
          <w:szCs w:val="24"/>
          <w:highlight w:val="none"/>
          <w:lang w:val="en-US" w:eastAsia="zh-CN"/>
        </w:rPr>
        <w:t>响应</w:t>
      </w:r>
      <w:r>
        <w:rPr>
          <w:rFonts w:hint="eastAsia" w:ascii="宋体" w:hAnsi="宋体" w:eastAsia="宋体" w:cs="宋体"/>
          <w:color w:val="auto"/>
          <w:sz w:val="24"/>
          <w:szCs w:val="24"/>
          <w:highlight w:val="none"/>
        </w:rPr>
        <w:t>文件要求和标准验收货物。</w:t>
      </w:r>
    </w:p>
    <w:p w14:paraId="671B8641">
      <w:pPr>
        <w:keepNext w:val="0"/>
        <w:keepLines w:val="0"/>
        <w:pageBreakBefore w:val="0"/>
        <w:numPr>
          <w:ilvl w:val="0"/>
          <w:numId w:val="0"/>
        </w:numPr>
        <w:tabs>
          <w:tab w:val="left" w:pos="480"/>
        </w:tabs>
        <w:kinsoku/>
        <w:wordWrap/>
        <w:overflowPunct/>
        <w:topLinePunct w:val="0"/>
        <w:bidi w:val="0"/>
        <w:adjustRightInd/>
        <w:snapToGrid w:val="0"/>
        <w:spacing w:line="360" w:lineRule="auto"/>
        <w:ind w:left="420" w:leftChars="0" w:right="0" w:right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甲方义务：积极配合乙方验收、安装、调试工作。</w:t>
      </w:r>
    </w:p>
    <w:p w14:paraId="4B30484D">
      <w:pPr>
        <w:numPr>
          <w:ilvl w:val="0"/>
          <w:numId w:val="7"/>
        </w:numPr>
        <w:snapToGrid w:val="0"/>
        <w:spacing w:line="360" w:lineRule="auto"/>
        <w:ind w:left="0" w:leftChars="0" w:firstLine="420" w:firstLineChars="0"/>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乙方的权利和义务</w:t>
      </w:r>
    </w:p>
    <w:p w14:paraId="094E2F29">
      <w:pPr>
        <w:keepNext w:val="0"/>
        <w:keepLines w:val="0"/>
        <w:pageBreakBefore w:val="0"/>
        <w:numPr>
          <w:ilvl w:val="0"/>
          <w:numId w:val="0"/>
        </w:numPr>
        <w:tabs>
          <w:tab w:val="left" w:pos="480"/>
        </w:tabs>
        <w:kinsoku/>
        <w:wordWrap/>
        <w:overflowPunct/>
        <w:topLinePunct w:val="0"/>
        <w:bidi w:val="0"/>
        <w:adjustRightInd/>
        <w:snapToGrid w:val="0"/>
        <w:spacing w:line="360" w:lineRule="auto"/>
        <w:ind w:left="420" w:leftChars="0" w:right="0" w:right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乙方权利：按照合同约定要求甲方及时付款。</w:t>
      </w:r>
    </w:p>
    <w:p w14:paraId="65613BDC">
      <w:pPr>
        <w:keepNext w:val="0"/>
        <w:keepLines w:val="0"/>
        <w:pageBreakBefore w:val="0"/>
        <w:numPr>
          <w:ilvl w:val="0"/>
          <w:numId w:val="0"/>
        </w:numPr>
        <w:tabs>
          <w:tab w:val="left" w:pos="480"/>
        </w:tabs>
        <w:kinsoku/>
        <w:wordWrap/>
        <w:overflowPunct/>
        <w:topLinePunct w:val="0"/>
        <w:bidi w:val="0"/>
        <w:adjustRightInd/>
        <w:snapToGrid w:val="0"/>
        <w:spacing w:line="360" w:lineRule="auto"/>
        <w:ind w:left="420" w:leftChars="0" w:right="0" w:right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乙方义务：按照合同约定时间，按甲方指定地点提供货物，配合验收工作，并负责安装、调试、提供现场技术培训，保证使用人员正常操作设备的各种功能。</w:t>
      </w:r>
    </w:p>
    <w:p w14:paraId="7C9937D5">
      <w:pPr>
        <w:pStyle w:val="10"/>
        <w:numPr>
          <w:ilvl w:val="0"/>
          <w:numId w:val="1"/>
        </w:numPr>
        <w:spacing w:line="360" w:lineRule="auto"/>
        <w:ind w:left="0" w:leftChars="0" w:firstLine="420" w:firstLineChars="0"/>
        <w:jc w:val="left"/>
        <w:rPr>
          <w:rFonts w:hint="eastAsia" w:ascii="宋体" w:hAnsi="宋体" w:eastAsia="宋体" w:cs="宋体"/>
          <w:b/>
          <w:color w:val="auto"/>
          <w:sz w:val="24"/>
          <w:szCs w:val="24"/>
          <w:highlight w:val="none"/>
          <w:lang w:val="en-US" w:eastAsia="zh-CN"/>
        </w:rPr>
      </w:pPr>
      <w:r>
        <w:rPr>
          <w:rFonts w:hint="eastAsia" w:ascii="宋体" w:hAnsi="宋体" w:eastAsia="宋体" w:cs="宋体"/>
          <w:b/>
          <w:color w:val="auto"/>
          <w:sz w:val="24"/>
          <w:szCs w:val="24"/>
          <w:highlight w:val="none"/>
          <w:lang w:val="en-US" w:eastAsia="zh-CN"/>
        </w:rPr>
        <w:t>质量保证及索赔</w:t>
      </w:r>
    </w:p>
    <w:p w14:paraId="7C5B148A">
      <w:pPr>
        <w:numPr>
          <w:ilvl w:val="0"/>
          <w:numId w:val="0"/>
        </w:numPr>
        <w:tabs>
          <w:tab w:val="left" w:pos="480"/>
        </w:tabs>
        <w:snapToGrid w:val="0"/>
        <w:spacing w:line="360" w:lineRule="auto"/>
        <w:ind w:left="420" w:left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乙方所供</w:t>
      </w:r>
      <w:r>
        <w:rPr>
          <w:rFonts w:hint="eastAsia" w:ascii="宋体" w:hAnsi="宋体" w:eastAsia="宋体" w:cs="宋体"/>
          <w:color w:val="auto"/>
          <w:sz w:val="24"/>
          <w:szCs w:val="24"/>
          <w:highlight w:val="none"/>
          <w:lang w:val="en-US" w:eastAsia="zh-CN"/>
        </w:rPr>
        <w:t>服务</w:t>
      </w:r>
      <w:r>
        <w:rPr>
          <w:rFonts w:hint="eastAsia" w:ascii="宋体" w:hAnsi="宋体" w:eastAsia="宋体" w:cs="宋体"/>
          <w:color w:val="auto"/>
          <w:sz w:val="24"/>
          <w:szCs w:val="24"/>
          <w:highlight w:val="none"/>
        </w:rPr>
        <w:t>必须执行下列条款：</w:t>
      </w:r>
    </w:p>
    <w:p w14:paraId="18A8C250">
      <w:pPr>
        <w:keepNext w:val="0"/>
        <w:keepLines w:val="0"/>
        <w:pageBreakBefore w:val="0"/>
        <w:widowControl/>
        <w:numPr>
          <w:ilvl w:val="0"/>
          <w:numId w:val="8"/>
        </w:numPr>
        <w:tabs>
          <w:tab w:val="left" w:pos="480"/>
        </w:tabs>
        <w:kinsoku/>
        <w:wordWrap/>
        <w:overflowPunct/>
        <w:topLinePunct w:val="0"/>
        <w:autoSpaceDE w:val="0"/>
        <w:autoSpaceDN w:val="0"/>
        <w:bidi w:val="0"/>
        <w:adjustRightInd w:val="0"/>
        <w:snapToGrid w:val="0"/>
        <w:spacing w:line="360" w:lineRule="auto"/>
        <w:ind w:left="0" w:leftChars="0" w:firstLine="420" w:firstLineChars="0"/>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保证技术指标先进、质量性能可靠、进货渠道正常，配置合理，全面满足谈判要求。货物的质量技术标准按国家法律法规规定的标准，</w:t>
      </w:r>
      <w:r>
        <w:rPr>
          <w:rFonts w:hint="eastAsia" w:ascii="宋体" w:hAnsi="宋体" w:eastAsia="宋体" w:cs="宋体"/>
          <w:color w:val="auto"/>
          <w:sz w:val="24"/>
          <w:szCs w:val="24"/>
          <w:highlight w:val="none"/>
          <w:lang w:eastAsia="zh-CN"/>
        </w:rPr>
        <w:t>单一来源谈判文件</w:t>
      </w:r>
      <w:r>
        <w:rPr>
          <w:rFonts w:hint="eastAsia" w:ascii="宋体" w:hAnsi="宋体" w:eastAsia="宋体" w:cs="宋体"/>
          <w:color w:val="auto"/>
          <w:sz w:val="24"/>
          <w:szCs w:val="24"/>
          <w:highlight w:val="none"/>
        </w:rPr>
        <w:t>和乙方</w:t>
      </w:r>
      <w:r>
        <w:rPr>
          <w:rFonts w:hint="eastAsia" w:ascii="宋体" w:hAnsi="宋体" w:eastAsia="宋体" w:cs="宋体"/>
          <w:color w:val="auto"/>
          <w:sz w:val="24"/>
          <w:szCs w:val="24"/>
          <w:highlight w:val="none"/>
          <w:lang w:eastAsia="zh-CN"/>
        </w:rPr>
        <w:t>谈判响应文件</w:t>
      </w:r>
      <w:r>
        <w:rPr>
          <w:rFonts w:hint="eastAsia" w:ascii="宋体" w:hAnsi="宋体" w:eastAsia="宋体" w:cs="宋体"/>
          <w:color w:val="auto"/>
          <w:sz w:val="24"/>
          <w:szCs w:val="24"/>
          <w:highlight w:val="none"/>
        </w:rPr>
        <w:t>所需求的技术标准执行。进口产品保证是原产地生产的原装产品，否则按退货处理。</w:t>
      </w:r>
    </w:p>
    <w:p w14:paraId="627BCC14">
      <w:pPr>
        <w:numPr>
          <w:ilvl w:val="0"/>
          <w:numId w:val="8"/>
        </w:numPr>
        <w:tabs>
          <w:tab w:val="left" w:pos="480"/>
        </w:tabs>
        <w:snapToGrid w:val="0"/>
        <w:spacing w:line="360" w:lineRule="auto"/>
        <w:ind w:left="0" w:leftChars="0" w:firstLine="420" w:firstLine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应提供设备的技术白皮书，投标响应及参数数据应和设备的技术白皮书一致，在验收时发现不一致，合同自动终止，并追究其相应的法律责任。</w:t>
      </w:r>
    </w:p>
    <w:p w14:paraId="339D708A">
      <w:pPr>
        <w:numPr>
          <w:ilvl w:val="0"/>
          <w:numId w:val="8"/>
        </w:numPr>
        <w:tabs>
          <w:tab w:val="left" w:pos="480"/>
        </w:tabs>
        <w:snapToGrid w:val="0"/>
        <w:spacing w:line="360" w:lineRule="auto"/>
        <w:ind w:left="0" w:leftChars="0" w:firstLine="420" w:firstLine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符合国家有关规范要求，确保达到最佳运行状态。</w:t>
      </w:r>
    </w:p>
    <w:p w14:paraId="14236B2F">
      <w:pPr>
        <w:numPr>
          <w:ilvl w:val="0"/>
          <w:numId w:val="8"/>
        </w:numPr>
        <w:tabs>
          <w:tab w:val="left" w:pos="480"/>
        </w:tabs>
        <w:snapToGrid w:val="0"/>
        <w:spacing w:line="360" w:lineRule="auto"/>
        <w:ind w:left="0" w:leftChars="0" w:firstLine="420" w:firstLine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具有良好的外观，适合安装场所的使用。</w:t>
      </w:r>
    </w:p>
    <w:p w14:paraId="04E2A0FD">
      <w:pPr>
        <w:numPr>
          <w:ilvl w:val="0"/>
          <w:numId w:val="8"/>
        </w:numPr>
        <w:tabs>
          <w:tab w:val="left" w:pos="480"/>
        </w:tabs>
        <w:snapToGrid w:val="0"/>
        <w:spacing w:line="360" w:lineRule="auto"/>
        <w:ind w:left="0" w:leftChars="0" w:firstLine="420" w:firstLine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质保期</w:t>
      </w:r>
      <w:r>
        <w:rPr>
          <w:rFonts w:hint="eastAsia" w:ascii="宋体" w:hAnsi="宋体" w:eastAsia="宋体" w:cs="宋体"/>
          <w:color w:val="auto"/>
          <w:sz w:val="24"/>
          <w:szCs w:val="24"/>
          <w:highlight w:val="none"/>
        </w:rPr>
        <w:t>：自验收合格之日起一年。</w:t>
      </w:r>
    </w:p>
    <w:p w14:paraId="63D5EAB8">
      <w:pPr>
        <w:numPr>
          <w:ilvl w:val="0"/>
          <w:numId w:val="8"/>
        </w:numPr>
        <w:tabs>
          <w:tab w:val="left" w:pos="480"/>
        </w:tabs>
        <w:snapToGrid w:val="0"/>
        <w:spacing w:line="360" w:lineRule="auto"/>
        <w:ind w:left="0" w:leftChars="0" w:firstLine="420" w:firstLine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不得对设备设置密码，否则承担发生的所有损失。</w:t>
      </w:r>
    </w:p>
    <w:p w14:paraId="3BE69BE6">
      <w:pPr>
        <w:numPr>
          <w:ilvl w:val="0"/>
          <w:numId w:val="8"/>
        </w:numPr>
        <w:tabs>
          <w:tab w:val="left" w:pos="480"/>
        </w:tabs>
        <w:snapToGrid w:val="0"/>
        <w:spacing w:line="360" w:lineRule="auto"/>
        <w:ind w:left="0" w:leftChars="0" w:firstLine="420" w:firstLine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乙方保证所供货物是全新的、未使用过的，并完全符合合同规定的质量、规格、技术指标(包括合同附件)等要求。乙方应保证其货物在正确安装、正常使用和保养条件下，在其使用寿命内应具有满意的性能。在货物最终验收后的质量保证期内，乙方应对由于设计、工艺或材料的缺陷而产生的故障负责。质保期满后如出现此类问题亦应负责。</w:t>
      </w:r>
    </w:p>
    <w:p w14:paraId="0319CA64">
      <w:pPr>
        <w:numPr>
          <w:ilvl w:val="0"/>
          <w:numId w:val="8"/>
        </w:numPr>
        <w:tabs>
          <w:tab w:val="left" w:pos="480"/>
        </w:tabs>
        <w:snapToGrid w:val="0"/>
        <w:spacing w:line="360" w:lineRule="auto"/>
        <w:ind w:left="0" w:leftChars="0" w:firstLine="420" w:firstLine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在质保期内，如果货物的质量、规格、技术指标等与合同有任何一项不符，甲方应尽快以书面形式向乙方提出索赔。</w:t>
      </w:r>
    </w:p>
    <w:p w14:paraId="03E53781">
      <w:pPr>
        <w:pStyle w:val="10"/>
        <w:numPr>
          <w:ilvl w:val="0"/>
          <w:numId w:val="1"/>
        </w:numPr>
        <w:spacing w:line="360" w:lineRule="auto"/>
        <w:ind w:left="0" w:leftChars="0" w:firstLine="420" w:firstLineChars="0"/>
        <w:jc w:val="left"/>
        <w:rPr>
          <w:rFonts w:hint="eastAsia" w:ascii="宋体" w:hAnsi="宋体" w:eastAsia="宋体" w:cs="宋体"/>
          <w:b/>
          <w:color w:val="auto"/>
          <w:sz w:val="24"/>
          <w:szCs w:val="24"/>
          <w:highlight w:val="none"/>
          <w:lang w:val="en-US" w:eastAsia="zh-CN"/>
        </w:rPr>
      </w:pPr>
      <w:r>
        <w:rPr>
          <w:rFonts w:hint="eastAsia" w:ascii="宋体" w:hAnsi="宋体" w:eastAsia="宋体" w:cs="宋体"/>
          <w:b/>
          <w:color w:val="auto"/>
          <w:sz w:val="24"/>
          <w:szCs w:val="24"/>
          <w:highlight w:val="none"/>
          <w:lang w:val="en-US" w:eastAsia="zh-CN"/>
        </w:rPr>
        <w:t>售后服务</w:t>
      </w:r>
    </w:p>
    <w:p w14:paraId="4C42646F">
      <w:pPr>
        <w:snapToGrid w:val="0"/>
        <w:spacing w:line="360" w:lineRule="auto"/>
        <w:ind w:firstLine="240" w:firstLineChars="1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乙方所供货物提供以下售后服务：</w:t>
      </w:r>
    </w:p>
    <w:p w14:paraId="13F4E7A1">
      <w:pPr>
        <w:tabs>
          <w:tab w:val="left" w:pos="480"/>
        </w:tabs>
        <w:snapToGrid w:val="0"/>
        <w:spacing w:line="360" w:lineRule="auto"/>
        <w:ind w:firstLine="480" w:firstLineChars="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质保期内：</w:t>
      </w:r>
    </w:p>
    <w:p w14:paraId="51CDDA09">
      <w:pPr>
        <w:numPr>
          <w:ilvl w:val="0"/>
          <w:numId w:val="9"/>
        </w:numPr>
        <w:tabs>
          <w:tab w:val="left" w:pos="480"/>
        </w:tabs>
        <w:snapToGrid w:val="0"/>
        <w:spacing w:line="360" w:lineRule="auto"/>
        <w:ind w:left="0" w:leftChars="0" w:firstLine="420" w:firstLineChars="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发生质量问题，接到甲方通知后，应于当日派出专业的维修人员到现场进行检测维修，</w:t>
      </w:r>
      <w:r>
        <w:rPr>
          <w:rFonts w:hint="eastAsia" w:ascii="宋体" w:hAnsi="宋体" w:eastAsia="宋体" w:cs="宋体"/>
          <w:color w:val="auto"/>
          <w:sz w:val="24"/>
          <w:szCs w:val="24"/>
          <w:highlight w:val="none"/>
          <w:lang w:val="en-US" w:eastAsia="zh-CN"/>
        </w:rPr>
        <w:t>响应时间不超过</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val="en-US" w:eastAsia="zh-CN"/>
        </w:rPr>
        <w:t>小时</w:t>
      </w:r>
      <w:r>
        <w:rPr>
          <w:rFonts w:hint="eastAsia" w:ascii="宋体" w:hAnsi="宋体" w:eastAsia="宋体" w:cs="宋体"/>
          <w:color w:val="auto"/>
          <w:sz w:val="24"/>
          <w:szCs w:val="24"/>
          <w:highlight w:val="none"/>
          <w:lang w:eastAsia="zh-CN"/>
        </w:rPr>
        <w:t>。发生的全部费用由乙方承担，若需送回生产厂，乙方承担往返费用;</w:t>
      </w:r>
    </w:p>
    <w:p w14:paraId="26802462">
      <w:pPr>
        <w:numPr>
          <w:ilvl w:val="0"/>
          <w:numId w:val="9"/>
        </w:numPr>
        <w:tabs>
          <w:tab w:val="left" w:pos="480"/>
        </w:tabs>
        <w:snapToGrid w:val="0"/>
        <w:spacing w:line="360" w:lineRule="auto"/>
        <w:ind w:left="0" w:leftChars="0" w:firstLine="420" w:firstLineChars="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每月派技术人员到现场走访，给予检查维护;</w:t>
      </w:r>
    </w:p>
    <w:p w14:paraId="5526B642">
      <w:pPr>
        <w:numPr>
          <w:ilvl w:val="0"/>
          <w:numId w:val="9"/>
        </w:numPr>
        <w:tabs>
          <w:tab w:val="left" w:pos="480"/>
        </w:tabs>
        <w:snapToGrid w:val="0"/>
        <w:spacing w:line="360" w:lineRule="auto"/>
        <w:ind w:left="0" w:leftChars="0" w:firstLine="420" w:firstLineChars="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排除故障的期限不得超过</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小时。否则甲方有权指定第三方维修，维修费用由乙方承担。甲方可在货款和其他应付乙方款项中扣除。</w:t>
      </w:r>
    </w:p>
    <w:p w14:paraId="7852D892">
      <w:pPr>
        <w:numPr>
          <w:ilvl w:val="0"/>
          <w:numId w:val="9"/>
        </w:numPr>
        <w:tabs>
          <w:tab w:val="left" w:pos="480"/>
        </w:tabs>
        <w:snapToGrid w:val="0"/>
        <w:spacing w:line="360" w:lineRule="auto"/>
        <w:ind w:left="0" w:leftChars="0" w:firstLine="420" w:firstLineChars="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eastAsia="zh-CN"/>
        </w:rPr>
        <w:t>物品在</w:t>
      </w:r>
      <w:r>
        <w:rPr>
          <w:rFonts w:hint="eastAsia" w:ascii="宋体" w:hAnsi="宋体" w:eastAsia="宋体" w:cs="宋体"/>
          <w:color w:val="auto"/>
          <w:sz w:val="24"/>
          <w:szCs w:val="24"/>
          <w:highlight w:val="none"/>
          <w:lang w:val="en-US" w:eastAsia="zh-CN"/>
        </w:rPr>
        <w:t>质保期</w:t>
      </w:r>
      <w:r>
        <w:rPr>
          <w:rFonts w:hint="eastAsia" w:ascii="宋体" w:hAnsi="宋体" w:eastAsia="宋体" w:cs="宋体"/>
          <w:color w:val="auto"/>
          <w:sz w:val="24"/>
          <w:szCs w:val="24"/>
          <w:highlight w:val="none"/>
          <w:lang w:eastAsia="zh-CN"/>
        </w:rPr>
        <w:t>内，如果出现两次以上因质量问题引起的故障，乙方公司负责</w:t>
      </w:r>
      <w:r>
        <w:rPr>
          <w:rFonts w:hint="eastAsia" w:ascii="宋体" w:hAnsi="宋体" w:eastAsia="宋体" w:cs="宋体"/>
          <w:color w:val="auto"/>
          <w:sz w:val="24"/>
          <w:szCs w:val="24"/>
          <w:highlight w:val="none"/>
          <w:lang w:val="en-US" w:eastAsia="zh-CN"/>
        </w:rPr>
        <w:t>无偿</w:t>
      </w:r>
      <w:r>
        <w:rPr>
          <w:rFonts w:hint="eastAsia" w:ascii="宋体" w:hAnsi="宋体" w:eastAsia="宋体" w:cs="宋体"/>
          <w:color w:val="auto"/>
          <w:sz w:val="24"/>
          <w:szCs w:val="24"/>
          <w:highlight w:val="none"/>
          <w:lang w:eastAsia="zh-CN"/>
        </w:rPr>
        <w:t>更</w:t>
      </w:r>
      <w:r>
        <w:rPr>
          <w:rFonts w:hint="eastAsia" w:ascii="宋体" w:hAnsi="宋体" w:eastAsia="宋体" w:cs="宋体"/>
          <w:color w:val="auto"/>
          <w:sz w:val="24"/>
          <w:szCs w:val="24"/>
          <w:highlight w:val="none"/>
          <w:lang w:val="en-US" w:eastAsia="zh-CN"/>
        </w:rPr>
        <w:t>换同类新的物品。</w:t>
      </w:r>
    </w:p>
    <w:p w14:paraId="3CCEB2E3">
      <w:pPr>
        <w:numPr>
          <w:ilvl w:val="0"/>
          <w:numId w:val="9"/>
        </w:numPr>
        <w:tabs>
          <w:tab w:val="left" w:pos="480"/>
        </w:tabs>
        <w:snapToGrid w:val="0"/>
        <w:spacing w:line="360" w:lineRule="auto"/>
        <w:ind w:left="0" w:leftChars="0" w:firstLine="420" w:firstLineChars="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如因乙方物品质量问题，导致甲方损失，乙方应</w:t>
      </w:r>
      <w:r>
        <w:rPr>
          <w:rFonts w:hint="eastAsia" w:ascii="宋体" w:hAnsi="宋体" w:eastAsia="宋体" w:cs="宋体"/>
          <w:color w:val="auto"/>
          <w:sz w:val="24"/>
          <w:szCs w:val="24"/>
          <w:highlight w:val="none"/>
          <w:lang w:val="en-US" w:eastAsia="zh-CN"/>
        </w:rPr>
        <w:t>予</w:t>
      </w:r>
      <w:r>
        <w:rPr>
          <w:rFonts w:hint="eastAsia" w:ascii="宋体" w:hAnsi="宋体" w:eastAsia="宋体" w:cs="宋体"/>
          <w:color w:val="auto"/>
          <w:sz w:val="24"/>
          <w:szCs w:val="24"/>
          <w:highlight w:val="none"/>
          <w:lang w:eastAsia="zh-CN"/>
        </w:rPr>
        <w:t>以赔偿。</w:t>
      </w:r>
    </w:p>
    <w:p w14:paraId="312E010D">
      <w:pPr>
        <w:numPr>
          <w:ilvl w:val="0"/>
          <w:numId w:val="9"/>
        </w:numPr>
        <w:tabs>
          <w:tab w:val="left" w:pos="480"/>
        </w:tabs>
        <w:snapToGrid w:val="0"/>
        <w:spacing w:line="360" w:lineRule="auto"/>
        <w:ind w:left="0" w:leftChars="0" w:firstLine="420" w:firstLineChars="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乙方配备</w:t>
      </w:r>
      <w:r>
        <w:rPr>
          <w:rFonts w:hint="eastAsia" w:ascii="宋体" w:hAnsi="宋体" w:eastAsia="宋体" w:cs="宋体"/>
          <w:color w:val="auto"/>
          <w:sz w:val="24"/>
          <w:szCs w:val="24"/>
          <w:highlight w:val="none"/>
          <w:lang w:val="en-US" w:eastAsia="zh-CN"/>
        </w:rPr>
        <w:t>一</w:t>
      </w:r>
      <w:r>
        <w:rPr>
          <w:rFonts w:hint="eastAsia" w:ascii="宋体" w:hAnsi="宋体" w:eastAsia="宋体" w:cs="宋体"/>
          <w:color w:val="auto"/>
          <w:sz w:val="24"/>
          <w:szCs w:val="24"/>
          <w:highlight w:val="none"/>
          <w:lang w:eastAsia="zh-CN"/>
        </w:rPr>
        <w:t>名专业的技术人员， 配合甲方进行产品验收、安装、调试、使用培训、维护培训等工作，并且全部费用计入产品售价。</w:t>
      </w:r>
    </w:p>
    <w:p w14:paraId="61D88A8C">
      <w:pPr>
        <w:numPr>
          <w:ilvl w:val="0"/>
          <w:numId w:val="9"/>
        </w:numPr>
        <w:tabs>
          <w:tab w:val="left" w:pos="480"/>
        </w:tabs>
        <w:snapToGrid w:val="0"/>
        <w:spacing w:line="360" w:lineRule="auto"/>
        <w:ind w:left="0" w:leftChars="0" w:firstLine="420" w:firstLineChars="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针对于球管提供原厂免费维修(含人损)，提供7x24小时电话支持(包含法定节假日)，并提供专线电话</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小时内响应解决，必要时提供替代产品。</w:t>
      </w:r>
    </w:p>
    <w:p w14:paraId="1A60A3EF">
      <w:pPr>
        <w:numPr>
          <w:ilvl w:val="0"/>
          <w:numId w:val="9"/>
        </w:numPr>
        <w:tabs>
          <w:tab w:val="left" w:pos="480"/>
        </w:tabs>
        <w:snapToGrid w:val="0"/>
        <w:spacing w:line="360" w:lineRule="auto"/>
        <w:ind w:left="0" w:leftChars="0" w:firstLine="420" w:firstLineChars="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若球管出现质量问题，经两次维修后仍无法正常使用，乙方无偿为甲方更换同型号、同规格的球管。</w:t>
      </w:r>
    </w:p>
    <w:p w14:paraId="4653142A">
      <w:pPr>
        <w:pStyle w:val="10"/>
        <w:numPr>
          <w:ilvl w:val="0"/>
          <w:numId w:val="1"/>
        </w:numPr>
        <w:spacing w:line="360" w:lineRule="auto"/>
        <w:ind w:left="0" w:leftChars="0" w:firstLine="420" w:firstLineChars="0"/>
        <w:jc w:val="left"/>
        <w:rPr>
          <w:rFonts w:hint="eastAsia" w:ascii="宋体" w:hAnsi="宋体" w:eastAsia="宋体" w:cs="宋体"/>
          <w:b/>
          <w:color w:val="auto"/>
          <w:sz w:val="24"/>
          <w:szCs w:val="24"/>
          <w:highlight w:val="none"/>
          <w:lang w:val="en-US" w:eastAsia="zh-CN"/>
        </w:rPr>
      </w:pPr>
      <w:r>
        <w:rPr>
          <w:rFonts w:hint="eastAsia" w:ascii="宋体" w:hAnsi="宋体" w:eastAsia="宋体" w:cs="宋体"/>
          <w:b/>
          <w:color w:val="auto"/>
          <w:sz w:val="24"/>
          <w:szCs w:val="24"/>
          <w:highlight w:val="none"/>
          <w:lang w:val="en-US" w:eastAsia="zh-CN"/>
        </w:rPr>
        <w:t>培训</w:t>
      </w:r>
    </w:p>
    <w:p w14:paraId="08688B26">
      <w:pPr>
        <w:tabs>
          <w:tab w:val="left" w:pos="480"/>
        </w:tabs>
        <w:snapToGrid w:val="0"/>
        <w:spacing w:line="360" w:lineRule="auto"/>
        <w:ind w:firstLine="470" w:firstLineChars="196"/>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乙方现场免费为甲方工作人员进行培训，</w:t>
      </w:r>
      <w:r>
        <w:rPr>
          <w:rFonts w:hint="eastAsia" w:ascii="宋体" w:hAnsi="宋体" w:eastAsia="宋体" w:cs="宋体"/>
          <w:color w:val="auto"/>
          <w:sz w:val="24"/>
          <w:szCs w:val="24"/>
          <w:highlight w:val="none"/>
        </w:rPr>
        <w:t>受培训人员不限，以受培训人员熟练掌握技术并能开展工作为原则。</w:t>
      </w:r>
    </w:p>
    <w:p w14:paraId="7CB01AFD">
      <w:pPr>
        <w:pStyle w:val="10"/>
        <w:numPr>
          <w:ilvl w:val="0"/>
          <w:numId w:val="1"/>
        </w:numPr>
        <w:spacing w:line="360" w:lineRule="auto"/>
        <w:ind w:left="0" w:leftChars="0" w:firstLine="420" w:firstLineChars="0"/>
        <w:jc w:val="left"/>
        <w:rPr>
          <w:rFonts w:hint="eastAsia" w:ascii="宋体" w:hAnsi="宋体" w:eastAsia="宋体" w:cs="宋体"/>
          <w:b/>
          <w:color w:val="auto"/>
          <w:sz w:val="24"/>
          <w:szCs w:val="24"/>
          <w:highlight w:val="none"/>
          <w:lang w:val="en-US" w:eastAsia="zh-CN"/>
        </w:rPr>
      </w:pPr>
      <w:r>
        <w:rPr>
          <w:rFonts w:hint="eastAsia" w:ascii="宋体" w:hAnsi="宋体" w:eastAsia="宋体" w:cs="宋体"/>
          <w:b/>
          <w:color w:val="auto"/>
          <w:sz w:val="24"/>
          <w:szCs w:val="24"/>
          <w:highlight w:val="none"/>
          <w:lang w:val="en-US" w:eastAsia="zh-CN"/>
        </w:rPr>
        <w:t>验收</w:t>
      </w:r>
    </w:p>
    <w:p w14:paraId="69FDC335">
      <w:pPr>
        <w:numPr>
          <w:ilvl w:val="0"/>
          <w:numId w:val="10"/>
        </w:numPr>
        <w:tabs>
          <w:tab w:val="left" w:pos="480"/>
        </w:tabs>
        <w:snapToGrid w:val="0"/>
        <w:spacing w:line="360" w:lineRule="auto"/>
        <w:ind w:left="0" w:leftChars="0" w:firstLine="420" w:firstLine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货物到达甲方指定地点后，甲方根据合同要求，甲方双方共同进行外观验收，确认产地、规格、型号和数量。</w:t>
      </w:r>
    </w:p>
    <w:p w14:paraId="593F02D4">
      <w:pPr>
        <w:numPr>
          <w:ilvl w:val="0"/>
          <w:numId w:val="10"/>
        </w:numPr>
        <w:tabs>
          <w:tab w:val="left" w:pos="480"/>
        </w:tabs>
        <w:snapToGrid w:val="0"/>
        <w:spacing w:line="360" w:lineRule="auto"/>
        <w:ind w:left="0" w:leftChars="0" w:firstLine="420" w:firstLine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货物安装、调试并正常运行后，由乙方进行自检，合格后，准备验收文件，并书面通知甲方。</w:t>
      </w:r>
    </w:p>
    <w:p w14:paraId="45AA71D8">
      <w:pPr>
        <w:numPr>
          <w:ilvl w:val="0"/>
          <w:numId w:val="10"/>
        </w:numPr>
        <w:tabs>
          <w:tab w:val="left" w:pos="480"/>
        </w:tabs>
        <w:snapToGrid w:val="0"/>
        <w:spacing w:line="360" w:lineRule="auto"/>
        <w:ind w:left="0" w:leftChars="0" w:firstLine="420" w:firstLine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甲方确认乙方的自检内容后，组织乙方（必要时请有关专家）进行系统验收，验收合格后，填写设备验收单（一式四份）作为对货物的最终认可。</w:t>
      </w:r>
    </w:p>
    <w:p w14:paraId="1EAD19C2">
      <w:pPr>
        <w:numPr>
          <w:ilvl w:val="0"/>
          <w:numId w:val="10"/>
        </w:numPr>
        <w:tabs>
          <w:tab w:val="left" w:pos="480"/>
        </w:tabs>
        <w:snapToGrid w:val="0"/>
        <w:spacing w:line="360" w:lineRule="auto"/>
        <w:ind w:left="0" w:leftChars="0" w:firstLine="420" w:firstLine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乙方向甲方提交货物实施过程中的所有资料，以便甲方日后管理和维护。</w:t>
      </w:r>
    </w:p>
    <w:p w14:paraId="622B6E07">
      <w:pPr>
        <w:numPr>
          <w:ilvl w:val="0"/>
          <w:numId w:val="10"/>
        </w:numPr>
        <w:tabs>
          <w:tab w:val="left" w:pos="480"/>
        </w:tabs>
        <w:snapToGrid w:val="0"/>
        <w:spacing w:line="360" w:lineRule="auto"/>
        <w:ind w:left="0" w:leftChars="0" w:firstLine="420" w:firstLine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验收依据：</w:t>
      </w:r>
    </w:p>
    <w:p w14:paraId="09A9FF66">
      <w:pPr>
        <w:numPr>
          <w:ilvl w:val="0"/>
          <w:numId w:val="11"/>
        </w:numPr>
        <w:tabs>
          <w:tab w:val="left" w:pos="480"/>
        </w:tabs>
        <w:snapToGrid w:val="0"/>
        <w:spacing w:line="360" w:lineRule="auto"/>
        <w:ind w:left="0" w:leftChars="0" w:firstLine="400" w:firstLine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单一来源谈判文件</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eastAsia="zh-CN"/>
        </w:rPr>
        <w:t>谈判响应文件</w:t>
      </w:r>
      <w:r>
        <w:rPr>
          <w:rFonts w:hint="eastAsia" w:ascii="宋体" w:hAnsi="宋体" w:eastAsia="宋体" w:cs="宋体"/>
          <w:color w:val="auto"/>
          <w:sz w:val="24"/>
          <w:szCs w:val="24"/>
          <w:highlight w:val="none"/>
        </w:rPr>
        <w:t>；</w:t>
      </w:r>
    </w:p>
    <w:p w14:paraId="2EA53D7E">
      <w:pPr>
        <w:numPr>
          <w:ilvl w:val="0"/>
          <w:numId w:val="11"/>
        </w:numPr>
        <w:tabs>
          <w:tab w:val="left" w:pos="480"/>
        </w:tabs>
        <w:snapToGrid w:val="0"/>
        <w:spacing w:line="360" w:lineRule="auto"/>
        <w:ind w:left="0" w:leftChars="0" w:firstLine="400" w:firstLine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本合同及附件文本；</w:t>
      </w:r>
    </w:p>
    <w:p w14:paraId="75FD8B0E">
      <w:pPr>
        <w:numPr>
          <w:ilvl w:val="0"/>
          <w:numId w:val="11"/>
        </w:numPr>
        <w:tabs>
          <w:tab w:val="left" w:pos="480"/>
        </w:tabs>
        <w:snapToGrid w:val="0"/>
        <w:spacing w:line="360" w:lineRule="auto"/>
        <w:ind w:left="0" w:leftChars="0" w:firstLine="400" w:firstLine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国家相应的标准、规范。</w:t>
      </w:r>
    </w:p>
    <w:p w14:paraId="0F96DDC2">
      <w:pPr>
        <w:numPr>
          <w:ilvl w:val="0"/>
          <w:numId w:val="10"/>
        </w:numPr>
        <w:tabs>
          <w:tab w:val="left" w:pos="480"/>
        </w:tabs>
        <w:snapToGrid w:val="0"/>
        <w:spacing w:line="360" w:lineRule="auto"/>
        <w:ind w:left="0" w:leftChars="0" w:firstLine="420" w:firstLine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检验：</w:t>
      </w:r>
    </w:p>
    <w:p w14:paraId="1DAC2EFB">
      <w:pPr>
        <w:numPr>
          <w:ilvl w:val="0"/>
          <w:numId w:val="0"/>
        </w:numPr>
        <w:tabs>
          <w:tab w:val="left" w:pos="480"/>
        </w:tabs>
        <w:snapToGrid w:val="0"/>
        <w:spacing w:line="360" w:lineRule="auto"/>
        <w:ind w:left="0" w:leftChars="0" w:firstLine="400" w:firstLineChars="0"/>
        <w:rPr>
          <w:rFonts w:hint="eastAsia" w:ascii="宋体" w:hAnsi="宋体" w:eastAsia="宋体" w:cs="宋体"/>
          <w:color w:val="auto"/>
          <w:sz w:val="24"/>
          <w:szCs w:val="24"/>
          <w:highlight w:val="none"/>
        </w:rPr>
      </w:pPr>
      <w:r>
        <w:rPr>
          <w:rFonts w:hint="eastAsia" w:ascii="宋体" w:hAnsi="宋体" w:eastAsia="宋体" w:cs="宋体"/>
          <w:snapToGrid w:val="0"/>
          <w:color w:val="auto"/>
          <w:kern w:val="0"/>
          <w:sz w:val="24"/>
          <w:szCs w:val="24"/>
          <w:lang w:val="en-US" w:eastAsia="en-US" w:bidi="ar-SA"/>
        </w:rPr>
        <w:t>1．</w:t>
      </w:r>
      <w:r>
        <w:rPr>
          <w:rFonts w:hint="eastAsia" w:ascii="宋体" w:hAnsi="宋体" w:eastAsia="宋体" w:cs="宋体"/>
          <w:color w:val="auto"/>
          <w:sz w:val="24"/>
          <w:szCs w:val="24"/>
          <w:highlight w:val="none"/>
        </w:rPr>
        <w:t>在交货前，制造商应对设备的质量、规格、数量等进行准确而全面的检验，并出具合格证。</w:t>
      </w:r>
    </w:p>
    <w:p w14:paraId="77C53356">
      <w:pPr>
        <w:numPr>
          <w:ilvl w:val="0"/>
          <w:numId w:val="0"/>
        </w:numPr>
        <w:tabs>
          <w:tab w:val="left" w:pos="480"/>
        </w:tabs>
        <w:snapToGrid w:val="0"/>
        <w:spacing w:line="360" w:lineRule="auto"/>
        <w:ind w:left="0" w:leftChars="0" w:firstLine="400" w:firstLineChars="0"/>
        <w:rPr>
          <w:rFonts w:hint="eastAsia" w:ascii="宋体" w:hAnsi="宋体" w:eastAsia="宋体" w:cs="宋体"/>
          <w:color w:val="auto"/>
          <w:sz w:val="24"/>
          <w:szCs w:val="24"/>
          <w:highlight w:val="none"/>
        </w:rPr>
      </w:pPr>
      <w:r>
        <w:rPr>
          <w:rFonts w:hint="eastAsia" w:ascii="宋体" w:hAnsi="宋体" w:eastAsia="宋体" w:cs="宋体"/>
          <w:snapToGrid w:val="0"/>
          <w:color w:val="auto"/>
          <w:kern w:val="0"/>
          <w:sz w:val="24"/>
          <w:szCs w:val="24"/>
          <w:lang w:val="en-US" w:eastAsia="en-US" w:bidi="ar-SA"/>
        </w:rPr>
        <w:t>2．</w:t>
      </w:r>
      <w:r>
        <w:rPr>
          <w:rFonts w:hint="eastAsia" w:ascii="宋体" w:hAnsi="宋体" w:eastAsia="宋体" w:cs="宋体"/>
          <w:color w:val="auto"/>
          <w:sz w:val="24"/>
          <w:szCs w:val="24"/>
          <w:highlight w:val="none"/>
        </w:rPr>
        <w:t>设备到货后，由采购单位根据合同要求进行验收。验收完成后，填写政府采购设备验收单，以便结算。</w:t>
      </w:r>
    </w:p>
    <w:p w14:paraId="20299AE8">
      <w:pPr>
        <w:pStyle w:val="10"/>
        <w:numPr>
          <w:ilvl w:val="0"/>
          <w:numId w:val="1"/>
        </w:numPr>
        <w:spacing w:line="360" w:lineRule="auto"/>
        <w:ind w:left="0" w:leftChars="0" w:firstLine="420" w:firstLineChars="0"/>
        <w:jc w:val="left"/>
        <w:rPr>
          <w:rFonts w:hint="eastAsia" w:ascii="宋体" w:hAnsi="宋体" w:eastAsia="宋体" w:cs="宋体"/>
          <w:b/>
          <w:color w:val="auto"/>
          <w:sz w:val="24"/>
          <w:szCs w:val="24"/>
          <w:highlight w:val="none"/>
          <w:lang w:val="en-US" w:eastAsia="zh-CN"/>
        </w:rPr>
      </w:pPr>
      <w:r>
        <w:rPr>
          <w:rFonts w:hint="eastAsia" w:ascii="宋体" w:hAnsi="宋体" w:eastAsia="宋体" w:cs="宋体"/>
          <w:b/>
          <w:color w:val="auto"/>
          <w:sz w:val="24"/>
          <w:szCs w:val="24"/>
          <w:highlight w:val="none"/>
          <w:lang w:val="en-US" w:eastAsia="zh-CN"/>
        </w:rPr>
        <w:t>乙方履约延误</w:t>
      </w:r>
    </w:p>
    <w:p w14:paraId="366BF4A0">
      <w:pPr>
        <w:keepNext w:val="0"/>
        <w:keepLines w:val="0"/>
        <w:pageBreakBefore w:val="0"/>
        <w:widowControl/>
        <w:numPr>
          <w:ilvl w:val="0"/>
          <w:numId w:val="0"/>
        </w:numPr>
        <w:tabs>
          <w:tab w:val="left" w:pos="480"/>
        </w:tabs>
        <w:kinsoku/>
        <w:wordWrap/>
        <w:overflowPunct/>
        <w:topLinePunct w:val="0"/>
        <w:autoSpaceDE w:val="0"/>
        <w:autoSpaceDN w:val="0"/>
        <w:bidi w:val="0"/>
        <w:adjustRightInd w:val="0"/>
        <w:snapToGrid w:val="0"/>
        <w:spacing w:line="360" w:lineRule="auto"/>
        <w:ind w:left="0" w:leftChars="0" w:firstLine="403" w:firstLineChars="0"/>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如乙方事先未征得甲方同意并得到甲方的谅解而单方面延迟交货，将按违约终止合同。</w:t>
      </w:r>
    </w:p>
    <w:p w14:paraId="3869CEAD">
      <w:pPr>
        <w:numPr>
          <w:ilvl w:val="0"/>
          <w:numId w:val="0"/>
        </w:numPr>
        <w:tabs>
          <w:tab w:val="left" w:pos="480"/>
        </w:tabs>
        <w:snapToGrid w:val="0"/>
        <w:spacing w:line="360" w:lineRule="auto"/>
        <w:ind w:left="0" w:leftChars="0" w:firstLine="400" w:firstLine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在履行合同过程中，如果乙方遇到可能妨碍按时交货和提供服务的情况，应及时以书面形式将拖延的事实,可能拖延的期限和理由通知甲方。甲方在收到乙方通知后，应尽快对情况进行评价，并确定是否通过修改合同，酌情延长交货时间或对乙方加收误期赔偿金。误期赔偿金以每周0.5%计。</w:t>
      </w:r>
    </w:p>
    <w:p w14:paraId="2DD3453D">
      <w:pPr>
        <w:pStyle w:val="10"/>
        <w:numPr>
          <w:ilvl w:val="0"/>
          <w:numId w:val="1"/>
        </w:numPr>
        <w:spacing w:line="360" w:lineRule="auto"/>
        <w:ind w:left="0" w:leftChars="0" w:firstLine="420" w:firstLineChars="0"/>
        <w:jc w:val="left"/>
        <w:rPr>
          <w:rFonts w:hint="eastAsia" w:ascii="宋体" w:hAnsi="宋体" w:eastAsia="宋体" w:cs="宋体"/>
          <w:b/>
          <w:color w:val="auto"/>
          <w:sz w:val="24"/>
          <w:szCs w:val="24"/>
          <w:highlight w:val="none"/>
          <w:lang w:val="en-US" w:eastAsia="zh-CN"/>
        </w:rPr>
      </w:pPr>
      <w:r>
        <w:rPr>
          <w:rFonts w:hint="eastAsia" w:ascii="宋体" w:hAnsi="宋体" w:eastAsia="宋体" w:cs="宋体"/>
          <w:b/>
          <w:color w:val="auto"/>
          <w:sz w:val="24"/>
          <w:szCs w:val="24"/>
          <w:highlight w:val="none"/>
          <w:lang w:val="en-US" w:eastAsia="zh-CN"/>
        </w:rPr>
        <w:t>违约责任</w:t>
      </w:r>
    </w:p>
    <w:p w14:paraId="1C97D213">
      <w:pPr>
        <w:numPr>
          <w:ilvl w:val="0"/>
          <w:numId w:val="12"/>
        </w:numPr>
        <w:tabs>
          <w:tab w:val="left" w:pos="480"/>
        </w:tabs>
        <w:snapToGrid w:val="0"/>
        <w:spacing w:line="360" w:lineRule="auto"/>
        <w:ind w:left="0" w:leftChars="0" w:firstLine="420" w:firstLineChars="0"/>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按《政府采购法》、《</w:t>
      </w:r>
      <w:r>
        <w:rPr>
          <w:rFonts w:hint="eastAsia" w:ascii="宋体" w:hAnsi="宋体" w:eastAsia="宋体" w:cs="宋体"/>
          <w:b w:val="0"/>
          <w:bCs/>
          <w:color w:val="auto"/>
          <w:sz w:val="24"/>
          <w:szCs w:val="24"/>
          <w:highlight w:val="none"/>
          <w:lang w:val="en-US" w:eastAsia="zh-CN"/>
        </w:rPr>
        <w:t>民法典</w:t>
      </w:r>
      <w:r>
        <w:rPr>
          <w:rFonts w:hint="eastAsia" w:ascii="宋体" w:hAnsi="宋体" w:eastAsia="宋体" w:cs="宋体"/>
          <w:b w:val="0"/>
          <w:bCs/>
          <w:color w:val="auto"/>
          <w:sz w:val="24"/>
          <w:szCs w:val="24"/>
          <w:highlight w:val="none"/>
        </w:rPr>
        <w:t>》中的相关条款执行。</w:t>
      </w:r>
    </w:p>
    <w:p w14:paraId="10DCA986">
      <w:pPr>
        <w:numPr>
          <w:ilvl w:val="0"/>
          <w:numId w:val="12"/>
        </w:numPr>
        <w:tabs>
          <w:tab w:val="left" w:pos="480"/>
        </w:tabs>
        <w:snapToGrid w:val="0"/>
        <w:spacing w:line="360" w:lineRule="auto"/>
        <w:ind w:left="0" w:leftChars="0" w:firstLine="420" w:firstLineChars="0"/>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未按合同要求提供货物或质量不能满足谈判技术要求，乙方必须无条件更换，提高技术，完善质量，否则，甲方会同</w:t>
      </w:r>
      <w:r>
        <w:rPr>
          <w:rFonts w:hint="eastAsia" w:ascii="宋体" w:hAnsi="宋体" w:eastAsia="宋体" w:cs="宋体"/>
          <w:b w:val="0"/>
          <w:bCs/>
          <w:color w:val="auto"/>
          <w:sz w:val="24"/>
          <w:szCs w:val="24"/>
          <w:highlight w:val="none"/>
          <w:lang w:eastAsia="zh-CN"/>
        </w:rPr>
        <w:t>招标代理机构</w:t>
      </w:r>
      <w:r>
        <w:rPr>
          <w:rFonts w:hint="eastAsia" w:ascii="宋体" w:hAnsi="宋体" w:eastAsia="宋体" w:cs="宋体"/>
          <w:b w:val="0"/>
          <w:bCs/>
          <w:color w:val="auto"/>
          <w:sz w:val="24"/>
          <w:szCs w:val="24"/>
          <w:highlight w:val="none"/>
        </w:rPr>
        <w:t>有权终止合同，并对乙方的违约行为报监管机构进行相应的处罚。</w:t>
      </w:r>
    </w:p>
    <w:p w14:paraId="7F3FC4AD">
      <w:pPr>
        <w:numPr>
          <w:ilvl w:val="0"/>
          <w:numId w:val="12"/>
        </w:numPr>
        <w:tabs>
          <w:tab w:val="left" w:pos="480"/>
        </w:tabs>
        <w:snapToGrid w:val="0"/>
        <w:spacing w:line="360" w:lineRule="auto"/>
        <w:ind w:left="0" w:leftChars="0" w:firstLine="420" w:firstLineChars="0"/>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lang w:val="en-US" w:eastAsia="zh-CN"/>
        </w:rPr>
        <w:t>安装时间</w:t>
      </w:r>
      <w:r>
        <w:rPr>
          <w:rFonts w:hint="eastAsia" w:ascii="宋体" w:hAnsi="宋体" w:eastAsia="宋体" w:cs="宋体"/>
          <w:b w:val="0"/>
          <w:bCs/>
          <w:color w:val="auto"/>
          <w:sz w:val="24"/>
          <w:szCs w:val="24"/>
          <w:highlight w:val="none"/>
        </w:rPr>
        <w:t>每超过一天，扣除乙方合同总价款的</w:t>
      </w:r>
      <w:r>
        <w:rPr>
          <w:rFonts w:hint="eastAsia" w:ascii="宋体" w:hAnsi="宋体" w:eastAsia="宋体" w:cs="宋体"/>
          <w:b w:val="0"/>
          <w:bCs/>
          <w:color w:val="auto"/>
          <w:sz w:val="24"/>
          <w:szCs w:val="24"/>
          <w:highlight w:val="none"/>
          <w:lang w:val="en-US" w:eastAsia="zh-CN"/>
        </w:rPr>
        <w:t>10</w:t>
      </w:r>
      <w:r>
        <w:rPr>
          <w:rFonts w:hint="eastAsia" w:ascii="宋体" w:hAnsi="宋体" w:eastAsia="宋体" w:cs="宋体"/>
          <w:b w:val="0"/>
          <w:bCs/>
          <w:color w:val="auto"/>
          <w:sz w:val="24"/>
          <w:szCs w:val="24"/>
          <w:highlight w:val="none"/>
        </w:rPr>
        <w:t>‰。</w:t>
      </w:r>
    </w:p>
    <w:p w14:paraId="6BC74B41">
      <w:pPr>
        <w:numPr>
          <w:ilvl w:val="0"/>
          <w:numId w:val="12"/>
        </w:numPr>
        <w:tabs>
          <w:tab w:val="left" w:pos="480"/>
        </w:tabs>
        <w:snapToGrid w:val="0"/>
        <w:spacing w:line="360" w:lineRule="auto"/>
        <w:ind w:left="0" w:leftChars="0" w:firstLine="420" w:firstLineChars="0"/>
        <w:rPr>
          <w:rFonts w:hint="eastAsia" w:ascii="宋体" w:hAnsi="宋体" w:eastAsia="宋体" w:cs="宋体"/>
          <w:color w:val="auto"/>
          <w:w w:val="95"/>
          <w:sz w:val="24"/>
          <w:szCs w:val="24"/>
          <w:highlight w:val="none"/>
        </w:rPr>
      </w:pPr>
      <w:r>
        <w:rPr>
          <w:rFonts w:hint="eastAsia" w:ascii="宋体" w:hAnsi="宋体" w:eastAsia="宋体" w:cs="宋体"/>
          <w:b w:val="0"/>
          <w:bCs/>
          <w:color w:val="auto"/>
          <w:sz w:val="24"/>
          <w:szCs w:val="24"/>
          <w:highlight w:val="none"/>
        </w:rPr>
        <w:t>在乙方违约的情况下，甲方报告西安市政府采购管理处后，有权终止合同，并依法向乙方进行索赔。</w:t>
      </w:r>
    </w:p>
    <w:p w14:paraId="2A73B26F">
      <w:pPr>
        <w:pStyle w:val="10"/>
        <w:numPr>
          <w:ilvl w:val="0"/>
          <w:numId w:val="1"/>
        </w:numPr>
        <w:spacing w:line="360" w:lineRule="auto"/>
        <w:ind w:left="0" w:leftChars="0" w:firstLine="420" w:firstLineChars="0"/>
        <w:jc w:val="left"/>
        <w:rPr>
          <w:rFonts w:hint="eastAsia" w:ascii="宋体" w:hAnsi="宋体" w:eastAsia="宋体" w:cs="宋体"/>
          <w:b/>
          <w:color w:val="auto"/>
          <w:sz w:val="24"/>
          <w:szCs w:val="24"/>
          <w:highlight w:val="none"/>
          <w:lang w:val="en-US" w:eastAsia="zh-CN"/>
        </w:rPr>
      </w:pPr>
      <w:r>
        <w:rPr>
          <w:rFonts w:hint="eastAsia" w:ascii="宋体" w:hAnsi="宋体" w:eastAsia="宋体" w:cs="宋体"/>
          <w:b/>
          <w:color w:val="auto"/>
          <w:sz w:val="24"/>
          <w:szCs w:val="24"/>
          <w:highlight w:val="none"/>
          <w:lang w:val="en-US" w:eastAsia="zh-CN"/>
        </w:rPr>
        <w:t>合同争议解决的方式</w:t>
      </w:r>
    </w:p>
    <w:p w14:paraId="1AA7FAB7">
      <w:pPr>
        <w:tabs>
          <w:tab w:val="left" w:pos="480"/>
        </w:tabs>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本合同在履行过程中发生的争议，由甲、乙双方当事人协商解决，协商不成的按下列第二种方式解决：</w:t>
      </w:r>
    </w:p>
    <w:p w14:paraId="1F849D91">
      <w:pPr>
        <w:numPr>
          <w:ilvl w:val="0"/>
          <w:numId w:val="13"/>
        </w:numPr>
        <w:tabs>
          <w:tab w:val="left" w:pos="480"/>
        </w:tabs>
        <w:snapToGrid w:val="0"/>
        <w:spacing w:line="360" w:lineRule="auto"/>
        <w:ind w:left="0" w:leftChars="0" w:firstLine="420" w:firstLine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提交</w:t>
      </w:r>
      <w:r>
        <w:rPr>
          <w:rFonts w:hint="eastAsia" w:ascii="宋体" w:hAnsi="宋体" w:eastAsia="宋体" w:cs="宋体"/>
          <w:color w:val="auto"/>
          <w:sz w:val="24"/>
          <w:szCs w:val="24"/>
          <w:highlight w:val="none"/>
        </w:rPr>
        <w:softHyphen/>
      </w:r>
      <w:r>
        <w:rPr>
          <w:rFonts w:hint="eastAsia" w:ascii="宋体" w:hAnsi="宋体" w:eastAsia="宋体" w:cs="宋体"/>
          <w:color w:val="auto"/>
          <w:sz w:val="24"/>
          <w:szCs w:val="24"/>
          <w:highlight w:val="none"/>
        </w:rPr>
        <w:softHyphen/>
      </w:r>
      <w:r>
        <w:rPr>
          <w:rFonts w:hint="eastAsia" w:ascii="宋体" w:hAnsi="宋体" w:eastAsia="宋体" w:cs="宋体"/>
          <w:color w:val="auto"/>
          <w:sz w:val="24"/>
          <w:szCs w:val="24"/>
          <w:highlight w:val="none"/>
        </w:rPr>
        <w:softHyphen/>
      </w:r>
      <w:r>
        <w:rPr>
          <w:rFonts w:hint="eastAsia" w:ascii="宋体" w:hAnsi="宋体" w:eastAsia="宋体" w:cs="宋体"/>
          <w:color w:val="auto"/>
          <w:sz w:val="24"/>
          <w:szCs w:val="24"/>
          <w:highlight w:val="none"/>
          <w:u w:val="single"/>
        </w:rPr>
        <w:t>西安</w:t>
      </w:r>
      <w:r>
        <w:rPr>
          <w:rFonts w:hint="eastAsia" w:ascii="宋体" w:hAnsi="宋体" w:eastAsia="宋体" w:cs="宋体"/>
          <w:color w:val="auto"/>
          <w:sz w:val="24"/>
          <w:szCs w:val="24"/>
          <w:highlight w:val="none"/>
        </w:rPr>
        <w:t>仲裁委员会仲裁；</w:t>
      </w:r>
    </w:p>
    <w:p w14:paraId="5B1D647C">
      <w:pPr>
        <w:numPr>
          <w:ilvl w:val="0"/>
          <w:numId w:val="13"/>
        </w:numPr>
        <w:tabs>
          <w:tab w:val="left" w:pos="480"/>
        </w:tabs>
        <w:snapToGrid w:val="0"/>
        <w:spacing w:line="360" w:lineRule="auto"/>
        <w:ind w:left="0" w:leftChars="0" w:firstLine="420" w:firstLine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依法向</w:t>
      </w:r>
      <w:r>
        <w:rPr>
          <w:rFonts w:hint="eastAsia" w:ascii="宋体" w:hAnsi="宋体" w:eastAsia="宋体" w:cs="宋体"/>
          <w:color w:val="auto"/>
          <w:sz w:val="24"/>
          <w:szCs w:val="24"/>
          <w:highlight w:val="none"/>
          <w:u w:val="single"/>
        </w:rPr>
        <w:t>甲方所在地</w:t>
      </w:r>
      <w:r>
        <w:rPr>
          <w:rFonts w:hint="eastAsia" w:ascii="宋体" w:hAnsi="宋体" w:eastAsia="宋体" w:cs="宋体"/>
          <w:color w:val="auto"/>
          <w:sz w:val="24"/>
          <w:szCs w:val="24"/>
          <w:highlight w:val="none"/>
        </w:rPr>
        <w:t>人民法院起诉。</w:t>
      </w:r>
    </w:p>
    <w:p w14:paraId="182D3487">
      <w:pPr>
        <w:pStyle w:val="10"/>
        <w:numPr>
          <w:ilvl w:val="0"/>
          <w:numId w:val="1"/>
        </w:numPr>
        <w:spacing w:line="360" w:lineRule="auto"/>
        <w:ind w:left="0" w:leftChars="0" w:firstLine="420" w:firstLineChars="0"/>
        <w:jc w:val="left"/>
        <w:rPr>
          <w:rFonts w:hint="eastAsia" w:ascii="宋体" w:hAnsi="宋体" w:eastAsia="宋体" w:cs="宋体"/>
          <w:b/>
          <w:color w:val="auto"/>
          <w:sz w:val="24"/>
          <w:szCs w:val="24"/>
          <w:highlight w:val="none"/>
          <w:lang w:val="en-US" w:eastAsia="zh-CN"/>
        </w:rPr>
      </w:pPr>
      <w:r>
        <w:rPr>
          <w:rFonts w:hint="eastAsia" w:ascii="宋体" w:hAnsi="宋体" w:eastAsia="宋体" w:cs="宋体"/>
          <w:b/>
          <w:color w:val="auto"/>
          <w:sz w:val="24"/>
          <w:szCs w:val="24"/>
          <w:highlight w:val="none"/>
          <w:lang w:val="en-US" w:eastAsia="zh-CN"/>
        </w:rPr>
        <w:t>合同生效</w:t>
      </w:r>
    </w:p>
    <w:p w14:paraId="73D3B542">
      <w:pPr>
        <w:snapToGrid w:val="0"/>
        <w:spacing w:line="360" w:lineRule="auto"/>
        <w:ind w:firstLine="470" w:firstLineChars="196"/>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本合同一式</w:t>
      </w:r>
      <w:r>
        <w:rPr>
          <w:rFonts w:hint="eastAsia" w:ascii="宋体" w:hAnsi="宋体" w:eastAsia="宋体" w:cs="宋体"/>
          <w:b/>
          <w:bCs w:val="0"/>
          <w:color w:val="auto"/>
          <w:sz w:val="24"/>
          <w:szCs w:val="24"/>
          <w:highlight w:val="none"/>
          <w:u w:val="single"/>
        </w:rPr>
        <w:t xml:space="preserve"> </w:t>
      </w:r>
      <w:r>
        <w:rPr>
          <w:rFonts w:hint="eastAsia" w:ascii="宋体" w:hAnsi="宋体" w:eastAsia="宋体" w:cs="宋体"/>
          <w:b/>
          <w:bCs w:val="0"/>
          <w:color w:val="auto"/>
          <w:sz w:val="24"/>
          <w:szCs w:val="24"/>
          <w:highlight w:val="none"/>
          <w:u w:val="single"/>
          <w:lang w:val="en-US" w:eastAsia="zh-CN"/>
        </w:rPr>
        <w:t>陆</w:t>
      </w:r>
      <w:r>
        <w:rPr>
          <w:rFonts w:hint="eastAsia" w:ascii="宋体" w:hAnsi="宋体" w:eastAsia="宋体" w:cs="宋体"/>
          <w:b/>
          <w:bCs w:val="0"/>
          <w:color w:val="auto"/>
          <w:sz w:val="24"/>
          <w:szCs w:val="24"/>
          <w:highlight w:val="none"/>
          <w:u w:val="single"/>
        </w:rPr>
        <w:t xml:space="preserve"> </w:t>
      </w:r>
      <w:r>
        <w:rPr>
          <w:rFonts w:hint="eastAsia" w:ascii="宋体" w:hAnsi="宋体" w:eastAsia="宋体" w:cs="宋体"/>
          <w:b w:val="0"/>
          <w:bCs/>
          <w:color w:val="auto"/>
          <w:sz w:val="24"/>
          <w:szCs w:val="24"/>
          <w:highlight w:val="none"/>
        </w:rPr>
        <w:t>份，甲方</w:t>
      </w:r>
      <w:r>
        <w:rPr>
          <w:rFonts w:hint="eastAsia" w:ascii="宋体" w:hAnsi="宋体" w:eastAsia="宋体" w:cs="宋体"/>
          <w:b w:val="0"/>
          <w:bCs/>
          <w:color w:val="auto"/>
          <w:sz w:val="24"/>
          <w:szCs w:val="24"/>
          <w:highlight w:val="none"/>
          <w:u w:val="single"/>
        </w:rPr>
        <w:t xml:space="preserve"> </w:t>
      </w:r>
      <w:r>
        <w:rPr>
          <w:rFonts w:hint="eastAsia" w:ascii="宋体" w:hAnsi="宋体" w:eastAsia="宋体" w:cs="宋体"/>
          <w:b/>
          <w:bCs w:val="0"/>
          <w:color w:val="auto"/>
          <w:sz w:val="24"/>
          <w:szCs w:val="24"/>
          <w:highlight w:val="none"/>
          <w:u w:val="single"/>
          <w:lang w:val="en-US" w:eastAsia="zh-CN"/>
        </w:rPr>
        <w:t xml:space="preserve">贰 </w:t>
      </w:r>
      <w:r>
        <w:rPr>
          <w:rFonts w:hint="eastAsia" w:ascii="宋体" w:hAnsi="宋体" w:eastAsia="宋体" w:cs="宋体"/>
          <w:b w:val="0"/>
          <w:bCs/>
          <w:color w:val="auto"/>
          <w:sz w:val="24"/>
          <w:szCs w:val="24"/>
          <w:highlight w:val="none"/>
        </w:rPr>
        <w:t>份、乙方</w:t>
      </w:r>
      <w:r>
        <w:rPr>
          <w:rFonts w:hint="eastAsia" w:ascii="宋体" w:hAnsi="宋体" w:eastAsia="宋体" w:cs="宋体"/>
          <w:b/>
          <w:bCs w:val="0"/>
          <w:color w:val="auto"/>
          <w:sz w:val="24"/>
          <w:szCs w:val="24"/>
          <w:highlight w:val="none"/>
          <w:u w:val="single"/>
          <w:lang w:val="en-US" w:eastAsia="zh-CN"/>
        </w:rPr>
        <w:t xml:space="preserve"> 壹 </w:t>
      </w:r>
      <w:r>
        <w:rPr>
          <w:rFonts w:hint="eastAsia" w:ascii="宋体" w:hAnsi="宋体" w:eastAsia="宋体" w:cs="宋体"/>
          <w:b w:val="0"/>
          <w:bCs/>
          <w:color w:val="auto"/>
          <w:sz w:val="24"/>
          <w:szCs w:val="24"/>
          <w:highlight w:val="none"/>
        </w:rPr>
        <w:t>份、</w:t>
      </w:r>
      <w:r>
        <w:rPr>
          <w:rFonts w:hint="eastAsia" w:ascii="宋体" w:hAnsi="宋体" w:eastAsia="宋体" w:cs="宋体"/>
          <w:b w:val="0"/>
          <w:bCs/>
          <w:color w:val="auto"/>
          <w:sz w:val="24"/>
          <w:szCs w:val="24"/>
          <w:highlight w:val="none"/>
          <w:lang w:val="en-US" w:eastAsia="zh-CN"/>
        </w:rPr>
        <w:t>招标代理机构</w:t>
      </w:r>
      <w:r>
        <w:rPr>
          <w:rFonts w:hint="eastAsia" w:ascii="宋体" w:hAnsi="宋体" w:eastAsia="宋体" w:cs="宋体"/>
          <w:b w:val="0"/>
          <w:bCs/>
          <w:color w:val="auto"/>
          <w:sz w:val="24"/>
          <w:szCs w:val="24"/>
          <w:highlight w:val="none"/>
          <w:u w:val="single"/>
        </w:rPr>
        <w:t xml:space="preserve"> </w:t>
      </w:r>
      <w:r>
        <w:rPr>
          <w:rFonts w:hint="eastAsia" w:ascii="宋体" w:hAnsi="宋体" w:eastAsia="宋体" w:cs="宋体"/>
          <w:b/>
          <w:bCs w:val="0"/>
          <w:color w:val="auto"/>
          <w:sz w:val="24"/>
          <w:szCs w:val="24"/>
          <w:highlight w:val="none"/>
          <w:u w:val="single"/>
          <w:lang w:val="en-US" w:eastAsia="zh-CN"/>
        </w:rPr>
        <w:t>壹</w:t>
      </w:r>
      <w:r>
        <w:rPr>
          <w:rFonts w:hint="eastAsia" w:ascii="宋体" w:hAnsi="宋体" w:eastAsia="宋体" w:cs="宋体"/>
          <w:b w:val="0"/>
          <w:bCs/>
          <w:color w:val="auto"/>
          <w:sz w:val="24"/>
          <w:szCs w:val="24"/>
          <w:highlight w:val="none"/>
          <w:u w:val="single"/>
        </w:rPr>
        <w:t xml:space="preserve"> </w:t>
      </w:r>
      <w:r>
        <w:rPr>
          <w:rFonts w:hint="eastAsia" w:ascii="宋体" w:hAnsi="宋体" w:eastAsia="宋体" w:cs="宋体"/>
          <w:b w:val="0"/>
          <w:bCs/>
          <w:color w:val="auto"/>
          <w:sz w:val="24"/>
          <w:szCs w:val="24"/>
          <w:highlight w:val="none"/>
        </w:rPr>
        <w:t>份，政府采购管理科备案</w:t>
      </w:r>
      <w:r>
        <w:rPr>
          <w:rFonts w:hint="eastAsia" w:ascii="宋体" w:hAnsi="宋体" w:eastAsia="宋体" w:cs="宋体"/>
          <w:b/>
          <w:bCs w:val="0"/>
          <w:color w:val="auto"/>
          <w:sz w:val="24"/>
          <w:szCs w:val="24"/>
          <w:highlight w:val="none"/>
          <w:u w:val="single"/>
          <w:lang w:val="en-US" w:eastAsia="zh-CN"/>
        </w:rPr>
        <w:t>壹</w:t>
      </w:r>
      <w:r>
        <w:rPr>
          <w:rFonts w:hint="eastAsia" w:ascii="宋体" w:hAnsi="宋体" w:eastAsia="宋体" w:cs="宋体"/>
          <w:b w:val="0"/>
          <w:bCs/>
          <w:color w:val="auto"/>
          <w:sz w:val="24"/>
          <w:szCs w:val="24"/>
          <w:highlight w:val="none"/>
        </w:rPr>
        <w:t>份，本合同甲、乙、</w:t>
      </w:r>
      <w:r>
        <w:rPr>
          <w:rFonts w:hint="eastAsia" w:ascii="宋体" w:hAnsi="宋体" w:eastAsia="宋体" w:cs="宋体"/>
          <w:b w:val="0"/>
          <w:bCs/>
          <w:color w:val="auto"/>
          <w:sz w:val="24"/>
          <w:szCs w:val="24"/>
          <w:highlight w:val="none"/>
          <w:lang w:val="en-US" w:eastAsia="zh-CN"/>
        </w:rPr>
        <w:t>招标代理机构</w:t>
      </w:r>
      <w:r>
        <w:rPr>
          <w:rFonts w:hint="eastAsia" w:ascii="宋体" w:hAnsi="宋体" w:eastAsia="宋体" w:cs="宋体"/>
          <w:b w:val="0"/>
          <w:bCs/>
          <w:color w:val="auto"/>
          <w:sz w:val="24"/>
          <w:szCs w:val="24"/>
          <w:highlight w:val="none"/>
        </w:rPr>
        <w:t>各方签字盖章后生效，合同执行完毕后，自动失效（合同的服务承诺则长期有效）。</w:t>
      </w:r>
    </w:p>
    <w:p w14:paraId="6A86BA01">
      <w:pPr>
        <w:pStyle w:val="10"/>
        <w:numPr>
          <w:ilvl w:val="0"/>
          <w:numId w:val="1"/>
        </w:numPr>
        <w:spacing w:line="360" w:lineRule="auto"/>
        <w:ind w:left="0" w:leftChars="0" w:firstLine="420" w:firstLineChars="0"/>
        <w:jc w:val="left"/>
        <w:rPr>
          <w:rFonts w:hint="eastAsia" w:ascii="宋体" w:hAnsi="宋体" w:eastAsia="宋体" w:cs="宋体"/>
          <w:b/>
          <w:color w:val="auto"/>
          <w:sz w:val="24"/>
          <w:szCs w:val="24"/>
          <w:highlight w:val="none"/>
          <w:lang w:val="en-US" w:eastAsia="zh-CN"/>
        </w:rPr>
      </w:pPr>
      <w:r>
        <w:rPr>
          <w:rFonts w:hint="eastAsia" w:ascii="宋体" w:hAnsi="宋体" w:eastAsia="宋体" w:cs="宋体"/>
          <w:b/>
          <w:color w:val="auto"/>
          <w:sz w:val="24"/>
          <w:szCs w:val="24"/>
          <w:highlight w:val="none"/>
          <w:lang w:val="en-US" w:eastAsia="zh-CN"/>
        </w:rPr>
        <w:t>其他事项</w:t>
      </w:r>
    </w:p>
    <w:p w14:paraId="40B687C6">
      <w:pPr>
        <w:numPr>
          <w:ilvl w:val="0"/>
          <w:numId w:val="14"/>
        </w:numPr>
        <w:tabs>
          <w:tab w:val="left" w:pos="480"/>
        </w:tabs>
        <w:snapToGrid w:val="0"/>
        <w:spacing w:line="360" w:lineRule="auto"/>
        <w:ind w:left="0" w:leftChars="0" w:firstLine="420" w:firstLine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招标代理机构</w:t>
      </w:r>
      <w:r>
        <w:rPr>
          <w:rFonts w:hint="eastAsia" w:ascii="宋体" w:hAnsi="宋体" w:eastAsia="宋体" w:cs="宋体"/>
          <w:color w:val="auto"/>
          <w:sz w:val="24"/>
          <w:szCs w:val="24"/>
          <w:highlight w:val="none"/>
        </w:rPr>
        <w:t>作为部门集中采购代理机构对合同进行确认。</w:t>
      </w:r>
    </w:p>
    <w:p w14:paraId="79C0D153">
      <w:pPr>
        <w:keepNext w:val="0"/>
        <w:keepLines w:val="0"/>
        <w:pageBreakBefore w:val="0"/>
        <w:widowControl/>
        <w:numPr>
          <w:ilvl w:val="0"/>
          <w:numId w:val="14"/>
        </w:numPr>
        <w:tabs>
          <w:tab w:val="left" w:pos="480"/>
        </w:tabs>
        <w:kinsoku/>
        <w:wordWrap/>
        <w:overflowPunct/>
        <w:topLinePunct w:val="0"/>
        <w:autoSpaceDE w:val="0"/>
        <w:autoSpaceDN w:val="0"/>
        <w:bidi w:val="0"/>
        <w:adjustRightInd w:val="0"/>
        <w:snapToGrid w:val="0"/>
        <w:spacing w:line="360" w:lineRule="auto"/>
        <w:ind w:left="0" w:leftChars="0" w:firstLine="480" w:firstLineChars="200"/>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政府采购管理处在合同的履行期间以及履行期后，可以随时检查项目的执行情况，对采购内容、标准进行调查核实，并对发现的问题进行处理。</w:t>
      </w:r>
    </w:p>
    <w:p w14:paraId="458D8AA1">
      <w:pPr>
        <w:numPr>
          <w:ilvl w:val="0"/>
          <w:numId w:val="14"/>
        </w:numPr>
        <w:tabs>
          <w:tab w:val="left" w:pos="480"/>
        </w:tabs>
        <w:snapToGrid w:val="0"/>
        <w:spacing w:line="360" w:lineRule="auto"/>
        <w:ind w:left="0" w:leftChars="0" w:firstLine="420" w:firstLine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单一来源谈判文件</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eastAsia="zh-CN"/>
        </w:rPr>
        <w:t>谈判响应文件</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eastAsia="zh-CN"/>
        </w:rPr>
        <w:t>成交通知书</w:t>
      </w:r>
      <w:r>
        <w:rPr>
          <w:rFonts w:hint="eastAsia" w:ascii="宋体" w:hAnsi="宋体" w:eastAsia="宋体" w:cs="宋体"/>
          <w:color w:val="auto"/>
          <w:sz w:val="24"/>
          <w:szCs w:val="24"/>
          <w:highlight w:val="none"/>
        </w:rPr>
        <w:t>、合同附件均成为合同不可分割的部分。</w:t>
      </w:r>
    </w:p>
    <w:p w14:paraId="57ECC682">
      <w:pPr>
        <w:numPr>
          <w:ilvl w:val="0"/>
          <w:numId w:val="14"/>
        </w:numPr>
        <w:tabs>
          <w:tab w:val="left" w:pos="480"/>
        </w:tabs>
        <w:snapToGrid w:val="0"/>
        <w:spacing w:line="360" w:lineRule="auto"/>
        <w:ind w:left="0" w:leftChars="0" w:firstLine="420" w:firstLine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合同未尽事宜，由甲、乙双方协商，经</w:t>
      </w:r>
      <w:r>
        <w:rPr>
          <w:rFonts w:hint="eastAsia" w:ascii="宋体" w:hAnsi="宋体" w:eastAsia="宋体" w:cs="宋体"/>
          <w:color w:val="auto"/>
          <w:sz w:val="24"/>
          <w:szCs w:val="24"/>
          <w:highlight w:val="none"/>
          <w:lang w:eastAsia="zh-CN"/>
        </w:rPr>
        <w:t>招标代理机构</w:t>
      </w:r>
      <w:r>
        <w:rPr>
          <w:rFonts w:hint="eastAsia" w:ascii="宋体" w:hAnsi="宋体" w:eastAsia="宋体" w:cs="宋体"/>
          <w:color w:val="auto"/>
          <w:sz w:val="24"/>
          <w:szCs w:val="24"/>
          <w:highlight w:val="none"/>
        </w:rPr>
        <w:t>确认后，作为合同补充，与原合同具有同等法律效力。</w:t>
      </w:r>
    </w:p>
    <w:p w14:paraId="5B4B5F9E">
      <w:pPr>
        <w:numPr>
          <w:ilvl w:val="0"/>
          <w:numId w:val="14"/>
        </w:numPr>
        <w:tabs>
          <w:tab w:val="left" w:pos="480"/>
        </w:tabs>
        <w:snapToGrid w:val="0"/>
        <w:spacing w:line="360" w:lineRule="auto"/>
        <w:ind w:left="0" w:leftChars="0" w:firstLine="420" w:firstLine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合同一经签订，不得擅自变更、中止或终止合同。对确需变更、调整或中止、终止合同的，应按规定履行相应的手续。</w:t>
      </w:r>
    </w:p>
    <w:p w14:paraId="11736673">
      <w:pPr>
        <w:numPr>
          <w:ilvl w:val="0"/>
          <w:numId w:val="14"/>
        </w:numPr>
        <w:tabs>
          <w:tab w:val="left" w:pos="480"/>
        </w:tabs>
        <w:snapToGrid w:val="0"/>
        <w:spacing w:line="360" w:lineRule="auto"/>
        <w:ind w:left="0" w:leftChars="0" w:firstLine="420" w:firstLine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本合同按照中华人民共和国的现行法律进行解释。</w:t>
      </w:r>
    </w:p>
    <w:p w14:paraId="0440DAA4">
      <w:pPr>
        <w:pStyle w:val="10"/>
        <w:numPr>
          <w:ilvl w:val="0"/>
          <w:numId w:val="1"/>
        </w:numPr>
        <w:spacing w:line="360" w:lineRule="auto"/>
        <w:ind w:left="0" w:leftChars="0" w:firstLine="420" w:firstLineChars="0"/>
        <w:jc w:val="left"/>
        <w:rPr>
          <w:rFonts w:hint="eastAsia" w:ascii="宋体" w:hAnsi="宋体" w:eastAsia="宋体" w:cs="宋体"/>
          <w:b/>
          <w:color w:val="auto"/>
          <w:sz w:val="24"/>
          <w:szCs w:val="24"/>
          <w:highlight w:val="none"/>
          <w:lang w:val="en-US" w:eastAsia="zh-CN"/>
        </w:rPr>
      </w:pPr>
      <w:r>
        <w:rPr>
          <w:rFonts w:hint="eastAsia" w:ascii="宋体" w:hAnsi="宋体" w:eastAsia="宋体" w:cs="宋体"/>
          <w:b/>
          <w:color w:val="auto"/>
          <w:sz w:val="24"/>
          <w:szCs w:val="24"/>
          <w:highlight w:val="none"/>
          <w:lang w:val="en-US" w:eastAsia="zh-CN"/>
        </w:rPr>
        <w:t>不可抗力</w:t>
      </w:r>
    </w:p>
    <w:p w14:paraId="659B2284">
      <w:pPr>
        <w:snapToGrid w:val="0"/>
        <w:spacing w:line="360" w:lineRule="auto"/>
        <w:ind w:firstLine="470" w:firstLineChars="196"/>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甲乙双方任何一方，由于不可抗力原因不能履行合同时，应及时向对方通报不能履行或不能完全履行的理由，以减轻可能给对方造成的损失，在取得有关机构证明后，允许延期履行，部分履行或不履行合同，并根据情况可部分或全部免于承担违约责任。</w:t>
      </w:r>
    </w:p>
    <w:p w14:paraId="52F96750">
      <w:pPr>
        <w:pStyle w:val="10"/>
        <w:numPr>
          <w:ilvl w:val="0"/>
          <w:numId w:val="1"/>
        </w:numPr>
        <w:spacing w:line="360" w:lineRule="auto"/>
        <w:ind w:left="0" w:leftChars="0" w:firstLine="420" w:firstLineChars="0"/>
        <w:jc w:val="left"/>
        <w:rPr>
          <w:rFonts w:hint="eastAsia" w:ascii="宋体" w:hAnsi="宋体" w:eastAsia="宋体" w:cs="宋体"/>
          <w:b/>
          <w:color w:val="auto"/>
          <w:sz w:val="24"/>
          <w:szCs w:val="24"/>
          <w:highlight w:val="none"/>
          <w:lang w:val="en-US" w:eastAsia="zh-CN"/>
        </w:rPr>
      </w:pPr>
      <w:r>
        <w:rPr>
          <w:rFonts w:hint="eastAsia" w:ascii="宋体" w:hAnsi="宋体" w:eastAsia="宋体" w:cs="宋体"/>
          <w:b/>
          <w:color w:val="auto"/>
          <w:sz w:val="24"/>
          <w:szCs w:val="24"/>
          <w:highlight w:val="none"/>
          <w:lang w:val="en-US" w:eastAsia="zh-CN"/>
        </w:rPr>
        <w:t>监督和管理</w:t>
      </w:r>
    </w:p>
    <w:p w14:paraId="2851C40C">
      <w:pPr>
        <w:numPr>
          <w:ilvl w:val="0"/>
          <w:numId w:val="15"/>
        </w:numPr>
        <w:tabs>
          <w:tab w:val="left" w:pos="480"/>
        </w:tabs>
        <w:snapToGrid w:val="0"/>
        <w:spacing w:line="360" w:lineRule="auto"/>
        <w:ind w:left="0" w:leftChars="0" w:firstLine="420" w:firstLine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合同订立后，双方协商一致需变更合同实质性条款或订立补充合同的，应先征得政府采购监督部门同意并送其备案。</w:t>
      </w:r>
    </w:p>
    <w:p w14:paraId="23908E6A">
      <w:pPr>
        <w:numPr>
          <w:ilvl w:val="0"/>
          <w:numId w:val="15"/>
        </w:numPr>
        <w:tabs>
          <w:tab w:val="left" w:pos="480"/>
        </w:tabs>
        <w:snapToGrid w:val="0"/>
        <w:spacing w:line="360" w:lineRule="auto"/>
        <w:ind w:left="0" w:leftChars="0" w:firstLine="420" w:firstLine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甲乙双方均应自觉配合有关监督管理部门对合同履行情况监督检查，如实反映情况，提供有关资料，否则将对有关单位、当事人按有关规定予以处罚。</w:t>
      </w:r>
    </w:p>
    <w:p w14:paraId="2F7FF994">
      <w:pPr>
        <w:pStyle w:val="10"/>
        <w:numPr>
          <w:ilvl w:val="0"/>
          <w:numId w:val="1"/>
        </w:numPr>
        <w:spacing w:line="360" w:lineRule="auto"/>
        <w:ind w:left="0" w:leftChars="0" w:firstLine="420" w:firstLineChars="0"/>
        <w:jc w:val="left"/>
        <w:rPr>
          <w:rFonts w:hint="eastAsia" w:ascii="宋体" w:hAnsi="宋体" w:eastAsia="宋体" w:cs="宋体"/>
          <w:b/>
          <w:color w:val="auto"/>
          <w:sz w:val="24"/>
          <w:szCs w:val="24"/>
          <w:highlight w:val="none"/>
          <w:lang w:val="en-US" w:eastAsia="zh-CN"/>
        </w:rPr>
      </w:pPr>
      <w:r>
        <w:rPr>
          <w:rFonts w:hint="eastAsia" w:ascii="宋体" w:hAnsi="宋体" w:eastAsia="宋体" w:cs="宋体"/>
          <w:b/>
          <w:color w:val="auto"/>
          <w:sz w:val="24"/>
          <w:szCs w:val="24"/>
          <w:highlight w:val="none"/>
          <w:lang w:val="en-US" w:eastAsia="zh-CN"/>
        </w:rPr>
        <w:t>无效合同</w:t>
      </w:r>
    </w:p>
    <w:p w14:paraId="0049B42B">
      <w:pP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甲乙双方如因违反政府采购法力相关法律法规的规定，被宣告合同无效的一切责任概由过错方自行承担。</w:t>
      </w:r>
      <w:bookmarkStart w:id="0" w:name="_GoBack"/>
      <w:bookmarkEnd w:id="0"/>
    </w:p>
    <w:p w14:paraId="5D165B90">
      <w:pPr>
        <w:pStyle w:val="2"/>
        <w:rPr>
          <w:rFonts w:hint="eastAsia"/>
          <w:lang w:eastAsia="zh-CN"/>
        </w:rPr>
      </w:pPr>
    </w:p>
    <w:p w14:paraId="059E1CFA">
      <w:pPr>
        <w:rPr>
          <w:rFonts w:hint="eastAsia" w:ascii="宋体" w:hAnsi="宋体" w:eastAsia="宋体" w:cs="宋体"/>
          <w:lang w:eastAsia="zh-CN"/>
        </w:rPr>
      </w:pPr>
    </w:p>
    <w:p w14:paraId="04FD7F00">
      <w:pPr>
        <w:pStyle w:val="4"/>
        <w:rPr>
          <w:rFonts w:hint="eastAsia" w:ascii="宋体" w:hAnsi="宋体" w:eastAsia="宋体" w:cs="宋体"/>
          <w:color w:val="auto"/>
          <w:sz w:val="24"/>
          <w:szCs w:val="24"/>
          <w:highlight w:val="none"/>
        </w:rPr>
      </w:pPr>
    </w:p>
    <w:p w14:paraId="46A01AEE">
      <w:pPr>
        <w:tabs>
          <w:tab w:val="left" w:pos="480"/>
        </w:tabs>
        <w:snapToGrid w:val="0"/>
        <w:spacing w:line="360" w:lineRule="auto"/>
        <w:ind w:left="-199" w:leftChars="-95" w:firstLine="0" w:firstLine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甲  方（法人公章）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乙  方（法人公章）</w:t>
      </w:r>
    </w:p>
    <w:p w14:paraId="124F90DC">
      <w:pPr>
        <w:tabs>
          <w:tab w:val="left" w:pos="480"/>
        </w:tabs>
        <w:snapToGrid w:val="0"/>
        <w:spacing w:line="360" w:lineRule="auto"/>
        <w:ind w:left="-199" w:leftChars="-95" w:firstLine="0" w:firstLine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单位名称：</w:t>
      </w:r>
      <w:r>
        <w:rPr>
          <w:rFonts w:hint="eastAsia" w:ascii="宋体" w:hAnsi="宋体" w:eastAsia="宋体" w:cs="宋体"/>
          <w:color w:val="auto"/>
          <w:sz w:val="24"/>
          <w:szCs w:val="24"/>
          <w:highlight w:val="none"/>
          <w:lang w:eastAsia="zh-CN"/>
        </w:rPr>
        <w:t>陕西省人民医院</w:t>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单位名称：</w:t>
      </w:r>
    </w:p>
    <w:p w14:paraId="2FDBE153">
      <w:pPr>
        <w:tabs>
          <w:tab w:val="left" w:pos="480"/>
        </w:tabs>
        <w:snapToGrid w:val="0"/>
        <w:spacing w:line="360" w:lineRule="auto"/>
        <w:ind w:left="5461" w:leftChars="-28" w:hanging="5520" w:hangingChars="23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地  址：西安市友谊西路256号</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地  址：</w:t>
      </w:r>
    </w:p>
    <w:p w14:paraId="3BB432A5">
      <w:pPr>
        <w:tabs>
          <w:tab w:val="left" w:pos="480"/>
        </w:tabs>
        <w:snapToGrid w:val="0"/>
        <w:spacing w:line="360" w:lineRule="auto"/>
        <w:ind w:left="5321" w:leftChars="-95" w:hanging="5520" w:hangingChars="23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法定代表人签字：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法定代表人签字：</w:t>
      </w:r>
    </w:p>
    <w:p w14:paraId="2EDE7FBB">
      <w:pPr>
        <w:tabs>
          <w:tab w:val="left" w:pos="480"/>
        </w:tabs>
        <w:snapToGrid w:val="0"/>
        <w:spacing w:line="360" w:lineRule="auto"/>
        <w:ind w:left="5321" w:leftChars="-95" w:hanging="5520" w:hangingChars="23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代理人签字：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代理人签字：</w:t>
      </w:r>
    </w:p>
    <w:p w14:paraId="30388888">
      <w:pPr>
        <w:tabs>
          <w:tab w:val="left" w:pos="480"/>
        </w:tabs>
        <w:snapToGrid w:val="0"/>
        <w:spacing w:line="360" w:lineRule="auto"/>
        <w:ind w:left="5321" w:leftChars="-95" w:hanging="5520" w:hangingChars="23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项目主管部门负责人</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联系电话：</w:t>
      </w:r>
    </w:p>
    <w:p w14:paraId="6114D0B5">
      <w:pPr>
        <w:tabs>
          <w:tab w:val="left" w:pos="480"/>
        </w:tabs>
        <w:snapToGrid w:val="0"/>
        <w:spacing w:line="360" w:lineRule="auto"/>
        <w:ind w:left="5321" w:leftChars="-95" w:hanging="5520" w:hangingChars="23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招采办负责人：</w:t>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开户银行：</w:t>
      </w:r>
    </w:p>
    <w:p w14:paraId="5BD04996">
      <w:pPr>
        <w:tabs>
          <w:tab w:val="left" w:pos="480"/>
        </w:tabs>
        <w:snapToGrid w:val="0"/>
        <w:spacing w:line="360" w:lineRule="auto"/>
        <w:ind w:left="5321" w:leftChars="-95" w:hanging="5520" w:hangingChars="23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联系电话：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帐  号：                                                                                             </w:t>
      </w:r>
    </w:p>
    <w:p w14:paraId="1D6090F7">
      <w:pPr>
        <w:tabs>
          <w:tab w:val="left" w:pos="480"/>
        </w:tabs>
        <w:snapToGrid w:val="0"/>
        <w:spacing w:line="360" w:lineRule="auto"/>
        <w:ind w:left="5321" w:leftChars="-95" w:hanging="5520" w:hangingChars="2300"/>
      </w:pPr>
      <w:r>
        <w:rPr>
          <w:rFonts w:hint="eastAsia" w:ascii="宋体" w:hAnsi="宋体" w:eastAsia="宋体" w:cs="宋体"/>
          <w:color w:val="auto"/>
          <w:sz w:val="24"/>
          <w:szCs w:val="24"/>
          <w:highlight w:val="none"/>
        </w:rPr>
        <w:t>签订日期：</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年   月   日            签订日期：</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年   月   日</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0815199"/>
    <w:multiLevelType w:val="singleLevel"/>
    <w:tmpl w:val="80815199"/>
    <w:lvl w:ilvl="0" w:tentative="0">
      <w:start w:val="1"/>
      <w:numFmt w:val="chineseCounting"/>
      <w:suff w:val="nothing"/>
      <w:lvlText w:val="（%1）"/>
      <w:lvlJc w:val="left"/>
      <w:pPr>
        <w:ind w:left="0" w:firstLine="420"/>
      </w:pPr>
      <w:rPr>
        <w:rFonts w:hint="eastAsia"/>
      </w:rPr>
    </w:lvl>
  </w:abstractNum>
  <w:abstractNum w:abstractNumId="1">
    <w:nsid w:val="84B881E0"/>
    <w:multiLevelType w:val="singleLevel"/>
    <w:tmpl w:val="84B881E0"/>
    <w:lvl w:ilvl="0" w:tentative="0">
      <w:start w:val="1"/>
      <w:numFmt w:val="decimal"/>
      <w:suff w:val="nothing"/>
      <w:lvlText w:val="%1．"/>
      <w:lvlJc w:val="left"/>
      <w:pPr>
        <w:ind w:left="0" w:firstLine="400"/>
      </w:pPr>
      <w:rPr>
        <w:rFonts w:hint="default"/>
      </w:rPr>
    </w:lvl>
  </w:abstractNum>
  <w:abstractNum w:abstractNumId="2">
    <w:nsid w:val="87B81DAE"/>
    <w:multiLevelType w:val="singleLevel"/>
    <w:tmpl w:val="87B81DAE"/>
    <w:lvl w:ilvl="0" w:tentative="0">
      <w:start w:val="1"/>
      <w:numFmt w:val="chineseCounting"/>
      <w:suff w:val="nothing"/>
      <w:lvlText w:val="（%1）"/>
      <w:lvlJc w:val="left"/>
      <w:pPr>
        <w:ind w:left="0" w:firstLine="420"/>
      </w:pPr>
      <w:rPr>
        <w:rFonts w:hint="eastAsia"/>
      </w:rPr>
    </w:lvl>
  </w:abstractNum>
  <w:abstractNum w:abstractNumId="3">
    <w:nsid w:val="AB6B547A"/>
    <w:multiLevelType w:val="singleLevel"/>
    <w:tmpl w:val="AB6B547A"/>
    <w:lvl w:ilvl="0" w:tentative="0">
      <w:start w:val="1"/>
      <w:numFmt w:val="chineseCounting"/>
      <w:suff w:val="nothing"/>
      <w:lvlText w:val="（%1）"/>
      <w:lvlJc w:val="left"/>
      <w:pPr>
        <w:ind w:left="0" w:firstLine="420"/>
      </w:pPr>
      <w:rPr>
        <w:rFonts w:hint="eastAsia"/>
      </w:rPr>
    </w:lvl>
  </w:abstractNum>
  <w:abstractNum w:abstractNumId="4">
    <w:nsid w:val="F3162BD6"/>
    <w:multiLevelType w:val="singleLevel"/>
    <w:tmpl w:val="F3162BD6"/>
    <w:lvl w:ilvl="0" w:tentative="0">
      <w:start w:val="1"/>
      <w:numFmt w:val="chineseCounting"/>
      <w:suff w:val="nothing"/>
      <w:lvlText w:val="（%1）"/>
      <w:lvlJc w:val="left"/>
      <w:pPr>
        <w:ind w:left="0" w:firstLine="420"/>
      </w:pPr>
      <w:rPr>
        <w:rFonts w:hint="eastAsia"/>
      </w:rPr>
    </w:lvl>
  </w:abstractNum>
  <w:abstractNum w:abstractNumId="5">
    <w:nsid w:val="FF6666BA"/>
    <w:multiLevelType w:val="singleLevel"/>
    <w:tmpl w:val="FF6666BA"/>
    <w:lvl w:ilvl="0" w:tentative="0">
      <w:start w:val="1"/>
      <w:numFmt w:val="chineseCounting"/>
      <w:suff w:val="nothing"/>
      <w:lvlText w:val="（%1）"/>
      <w:lvlJc w:val="left"/>
      <w:pPr>
        <w:ind w:left="0" w:firstLine="420"/>
      </w:pPr>
      <w:rPr>
        <w:rFonts w:hint="eastAsia"/>
      </w:rPr>
    </w:lvl>
  </w:abstractNum>
  <w:abstractNum w:abstractNumId="6">
    <w:nsid w:val="03ACE02B"/>
    <w:multiLevelType w:val="singleLevel"/>
    <w:tmpl w:val="03ACE02B"/>
    <w:lvl w:ilvl="0" w:tentative="0">
      <w:start w:val="1"/>
      <w:numFmt w:val="decimal"/>
      <w:suff w:val="nothing"/>
      <w:lvlText w:val="%1．"/>
      <w:lvlJc w:val="left"/>
      <w:pPr>
        <w:ind w:left="0" w:firstLine="400"/>
      </w:pPr>
      <w:rPr>
        <w:rFonts w:hint="default"/>
      </w:rPr>
    </w:lvl>
  </w:abstractNum>
  <w:abstractNum w:abstractNumId="7">
    <w:nsid w:val="0B7B33AF"/>
    <w:multiLevelType w:val="singleLevel"/>
    <w:tmpl w:val="0B7B33AF"/>
    <w:lvl w:ilvl="0" w:tentative="0">
      <w:start w:val="1"/>
      <w:numFmt w:val="chineseCounting"/>
      <w:suff w:val="nothing"/>
      <w:lvlText w:val="（%1）"/>
      <w:lvlJc w:val="left"/>
      <w:pPr>
        <w:ind w:left="0" w:firstLine="420"/>
      </w:pPr>
      <w:rPr>
        <w:rFonts w:hint="eastAsia"/>
      </w:rPr>
    </w:lvl>
  </w:abstractNum>
  <w:abstractNum w:abstractNumId="8">
    <w:nsid w:val="0F91EE49"/>
    <w:multiLevelType w:val="singleLevel"/>
    <w:tmpl w:val="0F91EE49"/>
    <w:lvl w:ilvl="0" w:tentative="0">
      <w:start w:val="1"/>
      <w:numFmt w:val="chineseCounting"/>
      <w:suff w:val="nothing"/>
      <w:lvlText w:val="%1、"/>
      <w:lvlJc w:val="left"/>
      <w:pPr>
        <w:ind w:left="0" w:firstLine="420"/>
      </w:pPr>
      <w:rPr>
        <w:rFonts w:hint="eastAsia"/>
      </w:rPr>
    </w:lvl>
  </w:abstractNum>
  <w:abstractNum w:abstractNumId="9">
    <w:nsid w:val="172A8D9C"/>
    <w:multiLevelType w:val="singleLevel"/>
    <w:tmpl w:val="172A8D9C"/>
    <w:lvl w:ilvl="0" w:tentative="0">
      <w:start w:val="1"/>
      <w:numFmt w:val="chineseCounting"/>
      <w:suff w:val="nothing"/>
      <w:lvlText w:val="（%1）"/>
      <w:lvlJc w:val="left"/>
      <w:pPr>
        <w:ind w:left="0" w:firstLine="420"/>
      </w:pPr>
      <w:rPr>
        <w:rFonts w:hint="eastAsia"/>
      </w:rPr>
    </w:lvl>
  </w:abstractNum>
  <w:abstractNum w:abstractNumId="10">
    <w:nsid w:val="40E7C84C"/>
    <w:multiLevelType w:val="singleLevel"/>
    <w:tmpl w:val="40E7C84C"/>
    <w:lvl w:ilvl="0" w:tentative="0">
      <w:start w:val="1"/>
      <w:numFmt w:val="chineseCounting"/>
      <w:suff w:val="nothing"/>
      <w:lvlText w:val="（%1）"/>
      <w:lvlJc w:val="left"/>
      <w:pPr>
        <w:ind w:left="0" w:firstLine="420"/>
      </w:pPr>
      <w:rPr>
        <w:rFonts w:hint="eastAsia"/>
      </w:rPr>
    </w:lvl>
  </w:abstractNum>
  <w:abstractNum w:abstractNumId="11">
    <w:nsid w:val="647DDFA6"/>
    <w:multiLevelType w:val="singleLevel"/>
    <w:tmpl w:val="647DDFA6"/>
    <w:lvl w:ilvl="0" w:tentative="0">
      <w:start w:val="1"/>
      <w:numFmt w:val="chineseCounting"/>
      <w:suff w:val="nothing"/>
      <w:lvlText w:val="（%1）"/>
      <w:lvlJc w:val="left"/>
      <w:pPr>
        <w:ind w:left="0" w:firstLine="420"/>
      </w:pPr>
      <w:rPr>
        <w:rFonts w:hint="eastAsia"/>
      </w:rPr>
    </w:lvl>
  </w:abstractNum>
  <w:abstractNum w:abstractNumId="12">
    <w:nsid w:val="6DE2EB59"/>
    <w:multiLevelType w:val="singleLevel"/>
    <w:tmpl w:val="6DE2EB59"/>
    <w:lvl w:ilvl="0" w:tentative="0">
      <w:start w:val="1"/>
      <w:numFmt w:val="chineseCounting"/>
      <w:suff w:val="nothing"/>
      <w:lvlText w:val="（%1）"/>
      <w:lvlJc w:val="left"/>
      <w:pPr>
        <w:ind w:left="0" w:firstLine="420"/>
      </w:pPr>
      <w:rPr>
        <w:rFonts w:hint="eastAsia"/>
      </w:rPr>
    </w:lvl>
  </w:abstractNum>
  <w:abstractNum w:abstractNumId="13">
    <w:nsid w:val="7342A680"/>
    <w:multiLevelType w:val="singleLevel"/>
    <w:tmpl w:val="7342A680"/>
    <w:lvl w:ilvl="0" w:tentative="0">
      <w:start w:val="1"/>
      <w:numFmt w:val="chineseCounting"/>
      <w:suff w:val="nothing"/>
      <w:lvlText w:val="（%1）"/>
      <w:lvlJc w:val="left"/>
      <w:pPr>
        <w:ind w:left="0" w:firstLine="420"/>
      </w:pPr>
      <w:rPr>
        <w:rFonts w:hint="eastAsia"/>
      </w:rPr>
    </w:lvl>
  </w:abstractNum>
  <w:abstractNum w:abstractNumId="14">
    <w:nsid w:val="77B490ED"/>
    <w:multiLevelType w:val="singleLevel"/>
    <w:tmpl w:val="77B490ED"/>
    <w:lvl w:ilvl="0" w:tentative="0">
      <w:start w:val="1"/>
      <w:numFmt w:val="chineseCounting"/>
      <w:suff w:val="nothing"/>
      <w:lvlText w:val="（%1）"/>
      <w:lvlJc w:val="left"/>
      <w:pPr>
        <w:ind w:left="0" w:firstLine="420"/>
      </w:pPr>
      <w:rPr>
        <w:rFonts w:hint="eastAsia"/>
      </w:rPr>
    </w:lvl>
  </w:abstractNum>
  <w:num w:numId="1">
    <w:abstractNumId w:val="8"/>
  </w:num>
  <w:num w:numId="2">
    <w:abstractNumId w:val="3"/>
  </w:num>
  <w:num w:numId="3">
    <w:abstractNumId w:val="1"/>
  </w:num>
  <w:num w:numId="4">
    <w:abstractNumId w:val="5"/>
  </w:num>
  <w:num w:numId="5">
    <w:abstractNumId w:val="14"/>
  </w:num>
  <w:num w:numId="6">
    <w:abstractNumId w:val="7"/>
  </w:num>
  <w:num w:numId="7">
    <w:abstractNumId w:val="12"/>
  </w:num>
  <w:num w:numId="8">
    <w:abstractNumId w:val="11"/>
  </w:num>
  <w:num w:numId="9">
    <w:abstractNumId w:val="2"/>
  </w:num>
  <w:num w:numId="10">
    <w:abstractNumId w:val="10"/>
  </w:num>
  <w:num w:numId="11">
    <w:abstractNumId w:val="6"/>
  </w:num>
  <w:num w:numId="12">
    <w:abstractNumId w:val="9"/>
  </w:num>
  <w:num w:numId="13">
    <w:abstractNumId w:val="13"/>
  </w:num>
  <w:num w:numId="14">
    <w:abstractNumId w:val="4"/>
  </w:num>
  <w:num w:numId="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5FB0908"/>
    <w:rsid w:val="24493036"/>
    <w:rsid w:val="307154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0" w:semiHidden="0" w:name="toc 2"/>
    <w:lsdException w:unhideWhenUsed="0" w:uiPriority="0" w:semiHidden="0" w:name="toc 3"/>
    <w:lsdException w:qFormat="1" w:uiPriority="39"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rPr>
  </w:style>
  <w:style w:type="paragraph" w:styleId="3">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9">
    <w:name w:val="Default Paragraph Font"/>
    <w:semiHidden/>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toc 2"/>
    <w:basedOn w:val="1"/>
    <w:next w:val="1"/>
    <w:qFormat/>
    <w:uiPriority w:val="0"/>
    <w:pPr>
      <w:widowControl/>
      <w:tabs>
        <w:tab w:val="right" w:leader="dot" w:pos="9060"/>
      </w:tabs>
      <w:spacing w:line="360" w:lineRule="auto"/>
      <w:jc w:val="left"/>
    </w:pPr>
    <w:rPr>
      <w:kern w:val="0"/>
      <w:sz w:val="24"/>
      <w:szCs w:val="24"/>
      <w:lang w:val="en-GB"/>
    </w:rPr>
  </w:style>
  <w:style w:type="paragraph" w:styleId="4">
    <w:name w:val="Normal Indent"/>
    <w:basedOn w:val="1"/>
    <w:next w:val="5"/>
    <w:qFormat/>
    <w:uiPriority w:val="0"/>
    <w:pPr>
      <w:spacing w:line="300" w:lineRule="auto"/>
      <w:ind w:firstLine="420" w:firstLineChars="200"/>
    </w:pPr>
    <w:rPr>
      <w:rFonts w:ascii="Times New Roman"/>
      <w:kern w:val="2"/>
      <w:sz w:val="21"/>
      <w:szCs w:val="24"/>
    </w:rPr>
  </w:style>
  <w:style w:type="paragraph" w:styleId="5">
    <w:name w:val="toc 4"/>
    <w:basedOn w:val="1"/>
    <w:next w:val="1"/>
    <w:unhideWhenUsed/>
    <w:qFormat/>
    <w:uiPriority w:val="39"/>
  </w:style>
  <w:style w:type="paragraph" w:styleId="6">
    <w:name w:val="Body Text"/>
    <w:basedOn w:val="1"/>
    <w:next w:val="1"/>
    <w:semiHidden/>
    <w:qFormat/>
    <w:uiPriority w:val="0"/>
    <w:rPr>
      <w:rFonts w:ascii="Arial" w:hAnsi="Arial" w:eastAsia="Arial" w:cs="Arial"/>
      <w:sz w:val="21"/>
      <w:szCs w:val="21"/>
      <w:lang w:val="en-US" w:eastAsia="en-US" w:bidi="ar-SA"/>
    </w:rPr>
  </w:style>
  <w:style w:type="paragraph" w:styleId="7">
    <w:name w:val="Normal (Web)"/>
    <w:basedOn w:val="1"/>
    <w:qFormat/>
    <w:uiPriority w:val="0"/>
    <w:pPr>
      <w:spacing w:before="0" w:beforeAutospacing="1" w:after="0" w:afterAutospacing="1"/>
      <w:ind w:left="0" w:right="0"/>
      <w:jc w:val="left"/>
    </w:pPr>
    <w:rPr>
      <w:kern w:val="0"/>
      <w:sz w:val="24"/>
      <w:lang w:val="en-US" w:eastAsia="zh-CN" w:bidi="ar"/>
    </w:rPr>
  </w:style>
  <w:style w:type="paragraph" w:customStyle="1" w:styleId="10">
    <w:name w:val="列出段落1"/>
    <w:basedOn w:val="1"/>
    <w:autoRedefine/>
    <w:qFormat/>
    <w:uiPriority w:val="0"/>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3557</Words>
  <Characters>3572</Characters>
  <Lines>0</Lines>
  <Paragraphs>0</Paragraphs>
  <TotalTime>0</TotalTime>
  <ScaleCrop>false</ScaleCrop>
  <LinksUpToDate>false</LinksUpToDate>
  <CharactersWithSpaces>4024</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2025-04-08T06:20:00Z</dcterms:created>
  <dc:creator>Administrator</dc:creator>
  <cp:lastModifiedBy>华夏国际-招标部1</cp:lastModifiedBy>
  <dcterms:modified xsi:type="dcterms:W3CDTF">2025-04-08T07:56:44Z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eyJoZGlkIjoiMjc4OWMzYTFiMTY0M2NjNTI4Mjg5YzU2ZjliOThmMjkiLCJ1c2VySWQiOiIxNTQ4NTM4NTMxIn0=</vt:lpwstr>
  </property>
  <property fmtid="{D5CDD505-2E9C-101B-9397-08002B2CF9AE}" pid="4" name="ICV">
    <vt:lpwstr>E5CB493625AB468CB73A8D05DA55E7E6_12</vt:lpwstr>
  </property>
</Properties>
</file>