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版本号：【KRDL】K4-250403820250421001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胶囊工厂建造机器人系统采购项目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【KRDL】K4-2504038</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胶囊工厂建造机器人系统采购项目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【KRDL】K4-2504038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胶囊工厂建造机器人系统采购项目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西安建筑科技大学胶囊工厂建造机器人系统采购项目，拟采购1套胶囊工厂建造机器人系统。具体采购内容及要求详见本项目竞争性谈判文件、答疑文件等全部内容。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6、谈判授权代表：供应商应授权合法的人员参加本项目投标活动全过程；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FF"/>
        </w:rPr>
        <w:t>西安建筑科技大学采购</w:t>
      </w:r>
      <w:r>
        <w:rPr>
          <w:rFonts w:ascii="仿宋_GB2312" w:hAnsi="仿宋_GB2312" w:cs="仿宋_GB2312" w:eastAsia="仿宋_GB2312"/>
          <w:sz w:val="21"/>
          <w:color w:val="0000FF"/>
        </w:rPr>
        <w:t>1套胶囊工厂建造机器人系统</w:t>
      </w:r>
      <w:r>
        <w:rPr>
          <w:rFonts w:ascii="仿宋_GB2312" w:hAnsi="仿宋_GB2312" w:cs="仿宋_GB2312" w:eastAsia="仿宋_GB2312"/>
          <w:sz w:val="21"/>
          <w:color w:val="0000FF"/>
        </w:rPr>
        <w:t>，拟采购实验平台适用于不同材料和建构方式的数控建造实验。针对新型抓取工具头和改性塑料</w:t>
      </w:r>
      <w:r>
        <w:rPr>
          <w:rFonts w:ascii="仿宋_GB2312" w:hAnsi="仿宋_GB2312" w:cs="仿宋_GB2312" w:eastAsia="仿宋_GB2312"/>
          <w:sz w:val="21"/>
          <w:color w:val="0000FF"/>
        </w:rPr>
        <w:t>3D 打印，定制开发所需要的硬件库或工艺包。实现从概念方案、数字化设计到智能建造的完整设计建造闭环。从而形成由生形、模拟、迭代、优化、建造阶段组成的高度统一的数字化操作流程。在此工作流中，机器之间的数据在同一套全信息模型内流动，试图通过构建并不断实践新的设计与建造方式，来探索并优化未来建筑产业化的发展模式。同时，该设备方便运输和移动，可快速运输至建筑工地和项目现场进行现场实验</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1,881,000.00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胶囊工厂建造机器人系统采购项目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标的名称：胶囊工厂建造机器人系统采购项目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5"/>
              <w:gridCol w:w="330"/>
              <w:gridCol w:w="952"/>
              <w:gridCol w:w="122"/>
              <w:gridCol w:w="141"/>
              <w:gridCol w:w="149"/>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产品名称</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技术标准</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数量</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单位</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六轴机械臂</w:t>
                  </w:r>
                  <w:r>
                    <w:rPr>
                      <w:rFonts w:ascii="仿宋_GB2312" w:hAnsi="仿宋_GB2312" w:cs="仿宋_GB2312" w:eastAsia="仿宋_GB2312"/>
                      <w:sz w:val="22"/>
                      <w:color w:val="0000FF"/>
                    </w:rPr>
                    <w:t>【核心产品】</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★最大运动范围≥2000mm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★额定负载≥70kg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位姿重复精度</w:t>
                  </w:r>
                  <w:r>
                    <w:rPr>
                      <w:rFonts w:ascii="仿宋_GB2312" w:hAnsi="仿宋_GB2312" w:cs="仿宋_GB2312" w:eastAsia="仿宋_GB2312"/>
                      <w:sz w:val="22"/>
                      <w:color w:val="0000FF"/>
                    </w:rPr>
                    <w:t>≤±0.06mm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具有</w:t>
                  </w:r>
                  <w:r>
                    <w:rPr>
                      <w:rFonts w:ascii="仿宋_GB2312" w:hAnsi="仿宋_GB2312" w:cs="仿宋_GB2312" w:eastAsia="仿宋_GB2312"/>
                      <w:sz w:val="22"/>
                      <w:color w:val="0000FF"/>
                    </w:rPr>
                    <w:t>16组I/O接口能实现外部信号控制</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可控制轴数</w:t>
                  </w:r>
                  <w:r>
                    <w:rPr>
                      <w:rFonts w:ascii="仿宋_GB2312" w:hAnsi="仿宋_GB2312" w:cs="仿宋_GB2312" w:eastAsia="仿宋_GB2312"/>
                      <w:sz w:val="22"/>
                      <w:color w:val="0000FF"/>
                    </w:rPr>
                    <w:t>≥6</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安装位置：地面</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本体重量</w:t>
                  </w:r>
                  <w:r>
                    <w:rPr>
                      <w:rFonts w:ascii="仿宋_GB2312" w:hAnsi="仿宋_GB2312" w:cs="仿宋_GB2312" w:eastAsia="仿宋_GB2312"/>
                      <w:sz w:val="22"/>
                      <w:color w:val="0000FF"/>
                    </w:rPr>
                    <w:t>≤600kg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8.</w:t>
                  </w:r>
                  <w:r>
                    <w:rPr>
                      <w:rFonts w:ascii="仿宋_GB2312" w:hAnsi="仿宋_GB2312" w:cs="仿宋_GB2312" w:eastAsia="仿宋_GB2312"/>
                      <w:sz w:val="22"/>
                      <w:color w:val="0000FF"/>
                    </w:rPr>
                    <w:t>支持通讯协议</w:t>
                  </w:r>
                  <w:r>
                    <w:rPr>
                      <w:rFonts w:ascii="仿宋_GB2312" w:hAnsi="仿宋_GB2312" w:cs="仿宋_GB2312" w:eastAsia="仿宋_GB2312"/>
                      <w:sz w:val="22"/>
                      <w:color w:val="0000FF"/>
                    </w:rPr>
                    <w:t>:ETHERCAT或TCP/IP或</w:t>
                  </w:r>
                  <w:r>
                    <w:rPr>
                      <w:rFonts w:ascii="仿宋_GB2312" w:hAnsi="仿宋_GB2312" w:cs="仿宋_GB2312" w:eastAsia="仿宋_GB2312"/>
                      <w:sz w:val="22"/>
                      <w:color w:val="0000FF"/>
                    </w:rPr>
                    <w:t>；</w:t>
                  </w:r>
                  <w:r>
                    <w:rPr>
                      <w:rFonts w:ascii="仿宋_GB2312" w:hAnsi="仿宋_GB2312" w:cs="仿宋_GB2312" w:eastAsia="仿宋_GB2312"/>
                      <w:sz w:val="22"/>
                      <w:color w:val="0000FF"/>
                    </w:rPr>
                    <w:t>ROFINET</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9.</w:t>
                  </w:r>
                  <w:r>
                    <w:rPr>
                      <w:rFonts w:ascii="仿宋_GB2312" w:hAnsi="仿宋_GB2312" w:cs="仿宋_GB2312" w:eastAsia="仿宋_GB2312"/>
                      <w:sz w:val="22"/>
                      <w:color w:val="0000FF"/>
                    </w:rPr>
                    <w:t>具有离线编程功能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10.</w:t>
                  </w:r>
                  <w:r>
                    <w:rPr>
                      <w:rFonts w:ascii="仿宋_GB2312" w:hAnsi="仿宋_GB2312" w:cs="仿宋_GB2312" w:eastAsia="仿宋_GB2312"/>
                      <w:sz w:val="22"/>
                      <w:color w:val="0000FF"/>
                    </w:rPr>
                    <w:t>可对接建筑建模软件</w:t>
                  </w:r>
                  <w:r>
                    <w:rPr>
                      <w:rFonts w:ascii="仿宋_GB2312" w:hAnsi="仿宋_GB2312" w:cs="仿宋_GB2312" w:eastAsia="仿宋_GB2312"/>
                      <w:sz w:val="22"/>
                      <w:color w:val="0000FF"/>
                    </w:rPr>
                    <w:t>rhino，实现建模，程序上传</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机械臂管线</w:t>
                  </w:r>
                </w:p>
                <w:p>
                  <w:pPr>
                    <w:pStyle w:val="null3"/>
                    <w:jc w:val="center"/>
                  </w:pPr>
                  <w:r>
                    <w:rPr>
                      <w:rFonts w:ascii="仿宋_GB2312" w:hAnsi="仿宋_GB2312" w:cs="仿宋_GB2312" w:eastAsia="仿宋_GB2312"/>
                      <w:sz w:val="22"/>
                      <w:color w:val="0000FF"/>
                    </w:rPr>
                    <w:t>收纳包</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配波纹管、定位环以及六轴支架可适配六轴机械臂</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智能坦克轮底盘设备</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底盘尺寸：长度</w:t>
                  </w:r>
                  <w:r>
                    <w:rPr>
                      <w:rFonts w:ascii="仿宋_GB2312" w:hAnsi="仿宋_GB2312" w:cs="仿宋_GB2312" w:eastAsia="仿宋_GB2312"/>
                      <w:sz w:val="22"/>
                      <w:color w:val="0000FF"/>
                    </w:rPr>
                    <w:t>≥1500mm，高度≥500mm，宽度≤2200mm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电机电压</w:t>
                  </w:r>
                  <w:r>
                    <w:rPr>
                      <w:rFonts w:ascii="仿宋_GB2312" w:hAnsi="仿宋_GB2312" w:cs="仿宋_GB2312" w:eastAsia="仿宋_GB2312"/>
                      <w:sz w:val="22"/>
                      <w:color w:val="0000FF"/>
                    </w:rPr>
                    <w:t>≥220V</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额定载重</w:t>
                  </w:r>
                  <w:r>
                    <w:rPr>
                      <w:rFonts w:ascii="仿宋_GB2312" w:hAnsi="仿宋_GB2312" w:cs="仿宋_GB2312" w:eastAsia="仿宋_GB2312"/>
                      <w:sz w:val="22"/>
                      <w:color w:val="0000FF"/>
                    </w:rPr>
                    <w:t>≥1000kg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额定越障</w:t>
                  </w:r>
                  <w:r>
                    <w:rPr>
                      <w:rFonts w:ascii="仿宋_GB2312" w:hAnsi="仿宋_GB2312" w:cs="仿宋_GB2312" w:eastAsia="仿宋_GB2312"/>
                      <w:sz w:val="22"/>
                      <w:color w:val="0000FF"/>
                    </w:rPr>
                    <w:t>≥200mm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自重</w:t>
                  </w:r>
                  <w:r>
                    <w:rPr>
                      <w:rFonts w:ascii="仿宋_GB2312" w:hAnsi="仿宋_GB2312" w:cs="仿宋_GB2312" w:eastAsia="仿宋_GB2312"/>
                      <w:sz w:val="22"/>
                      <w:color w:val="0000FF"/>
                    </w:rPr>
                    <w:t>≥1000kg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防护等级</w:t>
                  </w:r>
                  <w:r>
                    <w:rPr>
                      <w:rFonts w:ascii="仿宋_GB2312" w:hAnsi="仿宋_GB2312" w:cs="仿宋_GB2312" w:eastAsia="仿宋_GB2312"/>
                      <w:sz w:val="22"/>
                      <w:color w:val="0000FF"/>
                    </w:rPr>
                    <w:t>≥IP54</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遥控距离</w:t>
                  </w:r>
                  <w:r>
                    <w:rPr>
                      <w:rFonts w:ascii="仿宋_GB2312" w:hAnsi="仿宋_GB2312" w:cs="仿宋_GB2312" w:eastAsia="仿宋_GB2312"/>
                      <w:sz w:val="22"/>
                      <w:color w:val="0000FF"/>
                    </w:rPr>
                    <w:t>≥100m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8.</w:t>
                  </w:r>
                  <w:r>
                    <w:rPr>
                      <w:rFonts w:ascii="仿宋_GB2312" w:hAnsi="仿宋_GB2312" w:cs="仿宋_GB2312" w:eastAsia="仿宋_GB2312"/>
                      <w:sz w:val="22"/>
                      <w:color w:val="0000FF"/>
                    </w:rPr>
                    <w:t>带宽</w:t>
                  </w:r>
                  <w:r>
                    <w:rPr>
                      <w:rFonts w:ascii="仿宋_GB2312" w:hAnsi="仿宋_GB2312" w:cs="仿宋_GB2312" w:eastAsia="仿宋_GB2312"/>
                      <w:sz w:val="22"/>
                      <w:color w:val="0000FF"/>
                    </w:rPr>
                    <w:t>≥200mm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9.</w:t>
                  </w:r>
                  <w:r>
                    <w:rPr>
                      <w:rFonts w:ascii="仿宋_GB2312" w:hAnsi="仿宋_GB2312" w:cs="仿宋_GB2312" w:eastAsia="仿宋_GB2312"/>
                      <w:sz w:val="22"/>
                      <w:color w:val="0000FF"/>
                    </w:rPr>
                    <w:t>额定爬坡</w:t>
                  </w:r>
                  <w:r>
                    <w:rPr>
                      <w:rFonts w:ascii="仿宋_GB2312" w:hAnsi="仿宋_GB2312" w:cs="仿宋_GB2312" w:eastAsia="仿宋_GB2312"/>
                      <w:sz w:val="22"/>
                      <w:color w:val="0000FF"/>
                    </w:rPr>
                    <w:t>≥30°</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10.</w:t>
                  </w:r>
                  <w:r>
                    <w:rPr>
                      <w:rFonts w:ascii="仿宋_GB2312" w:hAnsi="仿宋_GB2312" w:cs="仿宋_GB2312" w:eastAsia="仿宋_GB2312"/>
                      <w:sz w:val="22"/>
                      <w:color w:val="0000FF"/>
                    </w:rPr>
                    <w:t>额定跨越</w:t>
                  </w:r>
                  <w:r>
                    <w:rPr>
                      <w:rFonts w:ascii="仿宋_GB2312" w:hAnsi="仿宋_GB2312" w:cs="仿宋_GB2312" w:eastAsia="仿宋_GB2312"/>
                      <w:sz w:val="22"/>
                      <w:color w:val="0000FF"/>
                    </w:rPr>
                    <w:t>≥700mm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11.</w:t>
                  </w:r>
                  <w:r>
                    <w:rPr>
                      <w:rFonts w:ascii="仿宋_GB2312" w:hAnsi="仿宋_GB2312" w:cs="仿宋_GB2312" w:eastAsia="仿宋_GB2312"/>
                      <w:sz w:val="22"/>
                      <w:color w:val="0000FF"/>
                    </w:rPr>
                    <w:t>支持六轴机械臂带工具头安装在底盘上面工作</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胶囊集装箱</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尺寸</w:t>
                  </w:r>
                  <w:r>
                    <w:rPr>
                      <w:rFonts w:ascii="仿宋_GB2312" w:hAnsi="仿宋_GB2312" w:cs="仿宋_GB2312" w:eastAsia="仿宋_GB2312"/>
                      <w:sz w:val="22"/>
                      <w:color w:val="0000FF"/>
                    </w:rPr>
                    <w:t>≥ 5m*2m*2m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支持容纳复合移动机械臂及相应配套系统</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满足坦克轮底盘移动进出</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内部需配置相关开合门动力，满足相关展开门打开</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塑性打印工具头</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重量</w:t>
                  </w:r>
                  <w:r>
                    <w:rPr>
                      <w:rFonts w:ascii="仿宋_GB2312" w:hAnsi="仿宋_GB2312" w:cs="仿宋_GB2312" w:eastAsia="仿宋_GB2312"/>
                      <w:sz w:val="22"/>
                      <w:color w:val="0000FF"/>
                    </w:rPr>
                    <w:t>≤60KG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颗粒式进料</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挤出量</w:t>
                  </w:r>
                  <w:r>
                    <w:rPr>
                      <w:rFonts w:ascii="仿宋_GB2312" w:hAnsi="仿宋_GB2312" w:cs="仿宋_GB2312" w:eastAsia="仿宋_GB2312"/>
                      <w:sz w:val="22"/>
                      <w:color w:val="0000FF"/>
                    </w:rPr>
                    <w:t>≥5kg/小时</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可均匀挤出</w:t>
                  </w:r>
                  <w:r>
                    <w:rPr>
                      <w:rFonts w:ascii="仿宋_GB2312" w:hAnsi="仿宋_GB2312" w:cs="仿宋_GB2312" w:eastAsia="仿宋_GB2312"/>
                      <w:sz w:val="22"/>
                      <w:color w:val="0000FF"/>
                    </w:rPr>
                    <w:t>PLA、PETG、ABS、TPU、PC等多种打印材料</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提供材料不足报警</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支持三段式可控加热</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支持挤出速度可调</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8.</w:t>
                  </w:r>
                  <w:r>
                    <w:rPr>
                      <w:rFonts w:ascii="仿宋_GB2312" w:hAnsi="仿宋_GB2312" w:cs="仿宋_GB2312" w:eastAsia="仿宋_GB2312"/>
                      <w:sz w:val="22"/>
                      <w:color w:val="0000FF"/>
                    </w:rPr>
                    <w:t>提供塑性</w:t>
                  </w:r>
                  <w:r>
                    <w:rPr>
                      <w:rFonts w:ascii="仿宋_GB2312" w:hAnsi="仿宋_GB2312" w:cs="仿宋_GB2312" w:eastAsia="仿宋_GB2312"/>
                      <w:sz w:val="22"/>
                      <w:color w:val="0000FF"/>
                    </w:rPr>
                    <w:t>3D打印颗粒材料耗材不少于200kg</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干燥机</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单次干燥</w:t>
                  </w:r>
                  <w:r>
                    <w:rPr>
                      <w:rFonts w:ascii="仿宋_GB2312" w:hAnsi="仿宋_GB2312" w:cs="仿宋_GB2312" w:eastAsia="仿宋_GB2312"/>
                      <w:sz w:val="22"/>
                      <w:color w:val="0000FF"/>
                    </w:rPr>
                    <w:t>容量</w:t>
                  </w:r>
                  <w:r>
                    <w:rPr>
                      <w:rFonts w:ascii="仿宋_GB2312" w:hAnsi="仿宋_GB2312" w:cs="仿宋_GB2312" w:eastAsia="仿宋_GB2312"/>
                      <w:sz w:val="22"/>
                      <w:color w:val="0000FF"/>
                    </w:rPr>
                    <w:t>≥</w:t>
                  </w:r>
                  <w:r>
                    <w:rPr>
                      <w:rFonts w:ascii="仿宋_GB2312" w:hAnsi="仿宋_GB2312" w:cs="仿宋_GB2312" w:eastAsia="仿宋_GB2312"/>
                      <w:sz w:val="22"/>
                      <w:color w:val="0000FF"/>
                    </w:rPr>
                    <w:t>25KG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适配</w:t>
                  </w:r>
                  <w:r>
                    <w:rPr>
                      <w:rFonts w:ascii="仿宋_GB2312" w:hAnsi="仿宋_GB2312" w:cs="仿宋_GB2312" w:eastAsia="仿宋_GB2312"/>
                      <w:sz w:val="22"/>
                      <w:color w:val="0000FF"/>
                    </w:rPr>
                    <w:t>PLA、PETG、ABS、TPU、PC等多种打印材料烘干温度需求</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夹爪工具头</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适配快换设备，具备机械臂抓取夹爪工具头功能，用于夹取标准砖块、混凝土砌块</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提供砌筑使用的砌块材料不少于</w:t>
                  </w:r>
                  <w:r>
                    <w:rPr>
                      <w:rFonts w:ascii="仿宋_GB2312" w:hAnsi="仿宋_GB2312" w:cs="仿宋_GB2312" w:eastAsia="仿宋_GB2312"/>
                      <w:sz w:val="22"/>
                      <w:color w:val="0000FF"/>
                    </w:rPr>
                    <w:t>50块</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快换设备</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套机器人端快换设备，</w:t>
                  </w:r>
                  <w:r>
                    <w:rPr>
                      <w:rFonts w:ascii="仿宋_GB2312" w:hAnsi="仿宋_GB2312" w:cs="仿宋_GB2312" w:eastAsia="仿宋_GB2312"/>
                      <w:sz w:val="22"/>
                      <w:color w:val="0000FF"/>
                    </w:rPr>
                    <w:t>2</w:t>
                  </w:r>
                  <w:r>
                    <w:rPr>
                      <w:rFonts w:ascii="仿宋_GB2312" w:hAnsi="仿宋_GB2312" w:cs="仿宋_GB2312" w:eastAsia="仿宋_GB2312"/>
                      <w:sz w:val="22"/>
                      <w:color w:val="0000FF"/>
                    </w:rPr>
                    <w:t>套工具端快换设备</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快换设备负载</w:t>
                  </w:r>
                  <w:r>
                    <w:rPr>
                      <w:rFonts w:ascii="仿宋_GB2312" w:hAnsi="仿宋_GB2312" w:cs="仿宋_GB2312" w:eastAsia="仿宋_GB2312"/>
                      <w:sz w:val="22"/>
                      <w:color w:val="0000FF"/>
                    </w:rPr>
                    <w:t>≥60kg</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可以通过程序控制抓取工具端</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机械防脱落机构，意外断气断电不会脱落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弹簧自复位锁紧式拆装结构</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模块安装面</w:t>
                  </w:r>
                  <w:r>
                    <w:rPr>
                      <w:rFonts w:ascii="仿宋_GB2312" w:hAnsi="仿宋_GB2312" w:cs="仿宋_GB2312" w:eastAsia="仿宋_GB2312"/>
                      <w:sz w:val="22"/>
                      <w:color w:val="0000FF"/>
                    </w:rPr>
                    <w:t>≥2</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工具平台</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可放置</w:t>
                  </w:r>
                  <w:r>
                    <w:rPr>
                      <w:rFonts w:ascii="仿宋_GB2312" w:hAnsi="仿宋_GB2312" w:cs="仿宋_GB2312" w:eastAsia="仿宋_GB2312"/>
                      <w:sz w:val="22"/>
                      <w:color w:val="0000FF"/>
                    </w:rPr>
                    <w:t>≥</w:t>
                  </w:r>
                  <w:r>
                    <w:rPr>
                      <w:rFonts w:ascii="仿宋_GB2312" w:hAnsi="仿宋_GB2312" w:cs="仿宋_GB2312" w:eastAsia="仿宋_GB2312"/>
                      <w:sz w:val="22"/>
                      <w:color w:val="0000FF"/>
                    </w:rPr>
                    <w:t>2个工具头</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适配快换设备，支持程序自动放置工具头</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支持放置固定在胶囊集装箱内部</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视觉系统设备</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工作距离（</w:t>
                  </w:r>
                  <w:r>
                    <w:rPr>
                      <w:rFonts w:ascii="仿宋_GB2312" w:hAnsi="仿宋_GB2312" w:cs="仿宋_GB2312" w:eastAsia="仿宋_GB2312"/>
                      <w:sz w:val="22"/>
                      <w:color w:val="0000FF"/>
                    </w:rPr>
                    <w:t>mm）：1200 - 1800；</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分辨率：</w:t>
                  </w:r>
                  <w:r>
                    <w:rPr>
                      <w:rFonts w:ascii="仿宋_GB2312" w:hAnsi="仿宋_GB2312" w:cs="仿宋_GB2312" w:eastAsia="仿宋_GB2312"/>
                      <w:sz w:val="22"/>
                      <w:color w:val="0000FF"/>
                    </w:rPr>
                    <w:t>≥2048 × 1536；</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 xml:space="preserve">Z 向重复精度 (σ)： </w:t>
                  </w:r>
                  <w:r>
                    <w:rPr>
                      <w:rFonts w:ascii="仿宋_GB2312" w:hAnsi="仿宋_GB2312" w:cs="仿宋_GB2312" w:eastAsia="仿宋_GB2312"/>
                      <w:sz w:val="22"/>
                      <w:color w:val="0000FF"/>
                    </w:rPr>
                    <w:t>≤</w:t>
                  </w:r>
                  <w:r>
                    <w:rPr>
                      <w:rFonts w:ascii="仿宋_GB2312" w:hAnsi="仿宋_GB2312" w:cs="仿宋_GB2312" w:eastAsia="仿宋_GB2312"/>
                      <w:sz w:val="22"/>
                      <w:color w:val="0000FF"/>
                    </w:rPr>
                    <w:t>0.5 mm @ 3 m；</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重复精度：</w:t>
                  </w:r>
                  <w:r>
                    <w:rPr>
                      <w:rFonts w:ascii="仿宋_GB2312" w:hAnsi="仿宋_GB2312" w:cs="仿宋_GB2312" w:eastAsia="仿宋_GB2312"/>
                      <w:sz w:val="22"/>
                      <w:color w:val="0000FF"/>
                    </w:rPr>
                    <w:t>≤</w:t>
                  </w:r>
                  <w:r>
                    <w:rPr>
                      <w:rFonts w:ascii="仿宋_GB2312" w:hAnsi="仿宋_GB2312" w:cs="仿宋_GB2312" w:eastAsia="仿宋_GB2312"/>
                      <w:sz w:val="22"/>
                      <w:color w:val="0000FF"/>
                    </w:rPr>
                    <w:t>1.0 mm @ 3 m；</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典型采集时间（</w:t>
                  </w:r>
                  <w:r>
                    <w:rPr>
                      <w:rFonts w:ascii="仿宋_GB2312" w:hAnsi="仿宋_GB2312" w:cs="仿宋_GB2312" w:eastAsia="仿宋_GB2312"/>
                      <w:sz w:val="22"/>
                      <w:color w:val="0000FF"/>
                    </w:rPr>
                    <w:t>s） 0.5 - 0.9；</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支持</w:t>
                  </w:r>
                  <w:r>
                    <w:rPr>
                      <w:rFonts w:ascii="仿宋_GB2312" w:hAnsi="仿宋_GB2312" w:cs="仿宋_GB2312" w:eastAsia="仿宋_GB2312"/>
                      <w:sz w:val="22"/>
                      <w:color w:val="0000FF"/>
                    </w:rPr>
                    <w:t>安装固定功能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基线长度（</w:t>
                  </w:r>
                  <w:r>
                    <w:rPr>
                      <w:rFonts w:ascii="仿宋_GB2312" w:hAnsi="仿宋_GB2312" w:cs="仿宋_GB2312" w:eastAsia="仿宋_GB2312"/>
                      <w:sz w:val="22"/>
                      <w:color w:val="0000FF"/>
                    </w:rPr>
                    <w:t>mm）≥300</w:t>
                  </w:r>
                  <w:r>
                    <w:rPr>
                      <w:rFonts w:ascii="仿宋_GB2312" w:hAnsi="仿宋_GB2312" w:cs="仿宋_GB2312" w:eastAsia="仿宋_GB2312"/>
                      <w:sz w:val="22"/>
                      <w:color w:val="0000FF"/>
                    </w:rPr>
                    <w:t>mm</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8.</w:t>
                  </w:r>
                  <w:r>
                    <w:rPr>
                      <w:rFonts w:ascii="仿宋_GB2312" w:hAnsi="仿宋_GB2312" w:cs="仿宋_GB2312" w:eastAsia="仿宋_GB2312"/>
                      <w:sz w:val="22"/>
                      <w:color w:val="0000FF"/>
                    </w:rPr>
                    <w:t>工作温度范围：</w:t>
                  </w:r>
                  <w:r>
                    <w:rPr>
                      <w:rFonts w:ascii="仿宋_GB2312" w:hAnsi="仿宋_GB2312" w:cs="仿宋_GB2312" w:eastAsia="仿宋_GB2312"/>
                      <w:sz w:val="22"/>
                      <w:color w:val="0000FF"/>
                    </w:rPr>
                    <w:t>-10~45°C</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电气控制柜</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用于整体工作站电气控制，信号控制</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适配额定电压</w:t>
                  </w:r>
                  <w:r>
                    <w:rPr>
                      <w:rFonts w:ascii="仿宋_GB2312" w:hAnsi="仿宋_GB2312" w:cs="仿宋_GB2312" w:eastAsia="仿宋_GB2312"/>
                      <w:sz w:val="22"/>
                      <w:color w:val="0000FF"/>
                    </w:rPr>
                    <w:t>380V，额定电流100A，满足工具端所有用电功率需求</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配置</w:t>
                  </w:r>
                  <w:r>
                    <w:rPr>
                      <w:rFonts w:ascii="仿宋_GB2312" w:hAnsi="仿宋_GB2312" w:cs="仿宋_GB2312" w:eastAsia="仿宋_GB2312"/>
                      <w:sz w:val="22"/>
                      <w:color w:val="0000FF"/>
                    </w:rPr>
                    <w:t>PLC等设备，具备所有设备信号控制功能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满足气源设备供气自动控制功能</w:t>
                  </w:r>
                  <w:r>
                    <w:rPr>
                      <w:rFonts w:ascii="仿宋_GB2312" w:hAnsi="仿宋_GB2312" w:cs="仿宋_GB2312" w:eastAsia="仿宋_GB2312"/>
                      <w:sz w:val="22"/>
                      <w:color w:val="0000FF"/>
                    </w:rPr>
                    <w:t>，储气量</w:t>
                  </w:r>
                  <w:r>
                    <w:rPr>
                      <w:rFonts w:ascii="仿宋_GB2312" w:hAnsi="仿宋_GB2312" w:cs="仿宋_GB2312" w:eastAsia="仿宋_GB2312"/>
                      <w:sz w:val="22"/>
                      <w:color w:val="0000FF"/>
                    </w:rPr>
                    <w:t>≥30升，排气量≥60升/分钟，压力≥0.7MPA</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教学控制柜</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支持教学和操作控制使用的工作台</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预装所需软件及插件</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围挡设备</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防护围栏可移动</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采用透明材质</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高度</w:t>
                  </w:r>
                  <w:r>
                    <w:rPr>
                      <w:rFonts w:ascii="仿宋_GB2312" w:hAnsi="仿宋_GB2312" w:cs="仿宋_GB2312" w:eastAsia="仿宋_GB2312"/>
                      <w:sz w:val="22"/>
                      <w:color w:val="0000FF"/>
                    </w:rPr>
                    <w:t>≥2米，长度≥</w:t>
                  </w:r>
                  <w:r>
                    <w:rPr>
                      <w:rFonts w:ascii="仿宋_GB2312" w:hAnsi="仿宋_GB2312" w:cs="仿宋_GB2312" w:eastAsia="仿宋_GB2312"/>
                      <w:sz w:val="22"/>
                      <w:color w:val="0000FF"/>
                    </w:rPr>
                    <w:t>4</w:t>
                  </w:r>
                  <w:r>
                    <w:rPr>
                      <w:rFonts w:ascii="仿宋_GB2312" w:hAnsi="仿宋_GB2312" w:cs="仿宋_GB2312" w:eastAsia="仿宋_GB2312"/>
                      <w:sz w:val="22"/>
                      <w:color w:val="0000FF"/>
                    </w:rPr>
                    <w:t>米</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数字孪生工业软件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实现机器人离线端模拟编程，生成代码导入</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可识别建筑三维模型格式</w:t>
                  </w:r>
                  <w:r>
                    <w:rPr>
                      <w:rFonts w:ascii="仿宋_GB2312" w:hAnsi="仿宋_GB2312" w:cs="仿宋_GB2312" w:eastAsia="仿宋_GB2312"/>
                      <w:sz w:val="22"/>
                      <w:color w:val="0000FF"/>
                    </w:rPr>
                    <w:t>≥1</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w:t>
                  </w:r>
                  <w:r>
                    <w:rPr>
                      <w:rFonts w:ascii="仿宋_GB2312" w:hAnsi="仿宋_GB2312" w:cs="仿宋_GB2312" w:eastAsia="仿宋_GB2312"/>
                      <w:sz w:val="22"/>
                      <w:color w:val="0000FF"/>
                    </w:rPr>
                    <w:t>具有二次开发功能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提供机器人模拟仿真</w:t>
                  </w:r>
                  <w:r>
                    <w:rPr>
                      <w:rFonts w:ascii="仿宋_GB2312" w:hAnsi="仿宋_GB2312" w:cs="仿宋_GB2312" w:eastAsia="仿宋_GB2312"/>
                      <w:sz w:val="22"/>
                      <w:color w:val="0000FF"/>
                    </w:rPr>
                    <w:t>.仿真结果与实体控制结果一致</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提供机器人限位报错</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提供机器人信号模块控制编写功能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提供机器人位姿调整功能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8.</w:t>
                  </w:r>
                  <w:r>
                    <w:rPr>
                      <w:rFonts w:ascii="仿宋_GB2312" w:hAnsi="仿宋_GB2312" w:cs="仿宋_GB2312" w:eastAsia="仿宋_GB2312"/>
                      <w:sz w:val="22"/>
                      <w:color w:val="0000FF"/>
                    </w:rPr>
                    <w:t>提供一键上传程序等功能</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9.</w:t>
                  </w:r>
                  <w:r>
                    <w:rPr>
                      <w:rFonts w:ascii="仿宋_GB2312" w:hAnsi="仿宋_GB2312" w:cs="仿宋_GB2312" w:eastAsia="仿宋_GB2312"/>
                      <w:sz w:val="22"/>
                      <w:color w:val="0000FF"/>
                    </w:rPr>
                    <w:t>与</w:t>
                  </w:r>
                  <w:r>
                    <w:rPr>
                      <w:rFonts w:ascii="仿宋_GB2312" w:hAnsi="仿宋_GB2312" w:cs="仿宋_GB2312" w:eastAsia="仿宋_GB2312"/>
                      <w:sz w:val="22"/>
                      <w:color w:val="0000FF"/>
                    </w:rPr>
                    <w:t>Rhino软件对接，支持Rhino格式类型</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10.</w:t>
                  </w:r>
                  <w:r>
                    <w:rPr>
                      <w:rFonts w:ascii="仿宋_GB2312" w:hAnsi="仿宋_GB2312" w:cs="仿宋_GB2312" w:eastAsia="仿宋_GB2312"/>
                      <w:sz w:val="22"/>
                      <w:color w:val="0000FF"/>
                    </w:rPr>
                    <w:t>可对接多品牌机器人</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11.</w:t>
                  </w:r>
                  <w:r>
                    <w:rPr>
                      <w:rFonts w:ascii="仿宋_GB2312" w:hAnsi="仿宋_GB2312" w:cs="仿宋_GB2312" w:eastAsia="仿宋_GB2312"/>
                      <w:sz w:val="22"/>
                      <w:color w:val="0000FF"/>
                    </w:rPr>
                    <w:t>★支持模块化图形化编程</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12.</w:t>
                  </w:r>
                  <w:r>
                    <w:rPr>
                      <w:rFonts w:ascii="仿宋_GB2312" w:hAnsi="仿宋_GB2312" w:cs="仿宋_GB2312" w:eastAsia="仿宋_GB2312"/>
                      <w:sz w:val="22"/>
                      <w:color w:val="0000FF"/>
                    </w:rPr>
                    <w:t>支持正版在线验证</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13.</w:t>
                  </w:r>
                  <w:r>
                    <w:rPr>
                      <w:rFonts w:ascii="仿宋_GB2312" w:hAnsi="仿宋_GB2312" w:cs="仿宋_GB2312" w:eastAsia="仿宋_GB2312"/>
                      <w:sz w:val="22"/>
                      <w:color w:val="0000FF"/>
                    </w:rPr>
                    <w:t>支持</w:t>
                  </w:r>
                  <w:r>
                    <w:rPr>
                      <w:rFonts w:ascii="仿宋_GB2312" w:hAnsi="仿宋_GB2312" w:cs="仿宋_GB2312" w:eastAsia="仿宋_GB2312"/>
                      <w:sz w:val="22"/>
                      <w:color w:val="0000FF"/>
                    </w:rPr>
                    <w:t>≥6轴轴值和目标点逆解规划</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14.</w:t>
                  </w:r>
                  <w:r>
                    <w:rPr>
                      <w:rFonts w:ascii="仿宋_GB2312" w:hAnsi="仿宋_GB2312" w:cs="仿宋_GB2312" w:eastAsia="仿宋_GB2312"/>
                      <w:sz w:val="22"/>
                      <w:color w:val="0000FF"/>
                    </w:rPr>
                    <w:t>支持增材、码垛等多种拓展工艺模块</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增材工艺包</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加工流程仿真</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可手动自定义机械臂预备位姿</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打印路径检测</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打印路径可视化</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切片数据自定义设置</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提供机器人限位报错</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提供导出本地程序功能</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码垛工艺包</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FF"/>
                    </w:rPr>
                    <w:t>1.</w:t>
                  </w:r>
                  <w:r>
                    <w:rPr>
                      <w:rFonts w:ascii="仿宋_GB2312" w:hAnsi="仿宋_GB2312" w:cs="仿宋_GB2312" w:eastAsia="仿宋_GB2312"/>
                      <w:sz w:val="22"/>
                      <w:color w:val="0000FF"/>
                    </w:rPr>
                    <w:t>可手动定义预备位姿</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2.</w:t>
                  </w:r>
                  <w:r>
                    <w:rPr>
                      <w:rFonts w:ascii="仿宋_GB2312" w:hAnsi="仿宋_GB2312" w:cs="仿宋_GB2312" w:eastAsia="仿宋_GB2312"/>
                      <w:sz w:val="22"/>
                      <w:color w:val="0000FF"/>
                    </w:rPr>
                    <w:t>自定义码垛位置以及码垛形式，例如砖块旋转角度</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3.</w:t>
                  </w:r>
                  <w:r>
                    <w:rPr>
                      <w:rFonts w:ascii="仿宋_GB2312" w:hAnsi="仿宋_GB2312" w:cs="仿宋_GB2312" w:eastAsia="仿宋_GB2312"/>
                      <w:sz w:val="22"/>
                      <w:color w:val="0000FF"/>
                    </w:rPr>
                    <w:t>支持搬运速度的调整</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4.</w:t>
                  </w:r>
                  <w:r>
                    <w:rPr>
                      <w:rFonts w:ascii="仿宋_GB2312" w:hAnsi="仿宋_GB2312" w:cs="仿宋_GB2312" w:eastAsia="仿宋_GB2312"/>
                      <w:sz w:val="22"/>
                      <w:color w:val="0000FF"/>
                    </w:rPr>
                    <w:t>可自定义设置码垛层数</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5.</w:t>
                  </w:r>
                  <w:r>
                    <w:rPr>
                      <w:rFonts w:ascii="仿宋_GB2312" w:hAnsi="仿宋_GB2312" w:cs="仿宋_GB2312" w:eastAsia="仿宋_GB2312"/>
                      <w:sz w:val="22"/>
                      <w:color w:val="0000FF"/>
                    </w:rPr>
                    <w:t>可自定义砖块尺寸</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6.</w:t>
                  </w:r>
                  <w:r>
                    <w:rPr>
                      <w:rFonts w:ascii="仿宋_GB2312" w:hAnsi="仿宋_GB2312" w:cs="仿宋_GB2312" w:eastAsia="仿宋_GB2312"/>
                      <w:sz w:val="22"/>
                      <w:color w:val="0000FF"/>
                    </w:rPr>
                    <w:t>加工流程仿真</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7.</w:t>
                  </w:r>
                  <w:r>
                    <w:rPr>
                      <w:rFonts w:ascii="仿宋_GB2312" w:hAnsi="仿宋_GB2312" w:cs="仿宋_GB2312" w:eastAsia="仿宋_GB2312"/>
                      <w:sz w:val="22"/>
                      <w:color w:val="0000FF"/>
                    </w:rPr>
                    <w:t>提供机器人模拟仿真</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8.</w:t>
                  </w:r>
                  <w:r>
                    <w:rPr>
                      <w:rFonts w:ascii="仿宋_GB2312" w:hAnsi="仿宋_GB2312" w:cs="仿宋_GB2312" w:eastAsia="仿宋_GB2312"/>
                      <w:sz w:val="22"/>
                      <w:color w:val="0000FF"/>
                    </w:rPr>
                    <w:t>可反馈路径中的错误信息</w:t>
                  </w:r>
                  <w:r>
                    <w:rPr>
                      <w:rFonts w:ascii="仿宋_GB2312" w:hAnsi="仿宋_GB2312" w:cs="仿宋_GB2312" w:eastAsia="仿宋_GB2312"/>
                      <w:sz w:val="22"/>
                      <w:color w:val="0000FF"/>
                    </w:rPr>
                    <w:t>；</w:t>
                  </w:r>
                </w:p>
                <w:p>
                  <w:pPr>
                    <w:pStyle w:val="null3"/>
                  </w:pPr>
                  <w:r>
                    <w:rPr>
                      <w:rFonts w:ascii="仿宋_GB2312" w:hAnsi="仿宋_GB2312" w:cs="仿宋_GB2312" w:eastAsia="仿宋_GB2312"/>
                      <w:sz w:val="22"/>
                      <w:color w:val="0000FF"/>
                    </w:rPr>
                    <w:t>9.</w:t>
                  </w:r>
                  <w:r>
                    <w:rPr>
                      <w:rFonts w:ascii="仿宋_GB2312" w:hAnsi="仿宋_GB2312" w:cs="仿宋_GB2312" w:eastAsia="仿宋_GB2312"/>
                      <w:sz w:val="22"/>
                      <w:color w:val="0000FF"/>
                    </w:rPr>
                    <w:t>提供一键导出本地程序功能</w:t>
                  </w:r>
                  <w:r>
                    <w:rPr>
                      <w:rFonts w:ascii="仿宋_GB2312" w:hAnsi="仿宋_GB2312" w:cs="仿宋_GB2312" w:eastAsia="仿宋_GB2312"/>
                      <w:sz w:val="22"/>
                      <w:color w:val="0000FF"/>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FF"/>
                    </w:rPr>
                    <w:t>备注：各供应商拟投的产品参数必须全部满足本项目采购需求中的技术参数，否则视为未实质性响应。其中标记</w:t>
                  </w:r>
                  <w:r>
                    <w:rPr>
                      <w:rFonts w:ascii="仿宋_GB2312" w:hAnsi="仿宋_GB2312" w:cs="仿宋_GB2312" w:eastAsia="仿宋_GB2312"/>
                      <w:sz w:val="21"/>
                      <w:b/>
                      <w:color w:val="0000FF"/>
                    </w:rPr>
                    <w:t>“★”项的技术参数必须提供佐证材料，佐证材料包括产品彩页或技术白皮书或官网截图等，未提供或提供不全的视为未实质性响应。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（1）质量保证期：验收合格通过之日起3年。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 4.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1164166825@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3）国务院办公厅《关于建立政府强制采购节能产品制度的通知》（国办发〔2007〕51号）、财政部、国家发改委、生态环境部、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详见附件：使用寿命承诺书.docx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