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9B1DD">
      <w:pPr>
        <w:tabs>
          <w:tab w:val="left" w:pos="840"/>
        </w:tabs>
        <w:spacing w:line="500" w:lineRule="exact"/>
        <w:ind w:firstLine="480" w:firstLineChars="200"/>
        <w:jc w:val="left"/>
        <w:rPr>
          <w:rFonts w:hint="eastAsia" w:ascii="宋体" w:hAnsi="宋体" w:eastAsia="宋体" w:cs="宋体"/>
          <w:b/>
          <w:bCs/>
          <w:color w:val="000000"/>
          <w:kern w:val="28"/>
          <w:sz w:val="24"/>
          <w:szCs w:val="18"/>
        </w:rPr>
      </w:pPr>
      <w:r>
        <w:rPr>
          <w:rFonts w:hint="eastAsia" w:ascii="宋体" w:hAnsi="宋体" w:eastAsia="宋体" w:cs="宋体"/>
          <w:sz w:val="24"/>
          <w:szCs w:val="24"/>
        </w:rPr>
        <w:t xml:space="preserve"> </w:t>
      </w:r>
      <w:r>
        <w:rPr>
          <w:rFonts w:hint="eastAsia" w:ascii="宋体" w:hAnsi="宋体" w:eastAsia="宋体" w:cs="宋体"/>
          <w:b/>
          <w:bCs/>
          <w:color w:val="000000"/>
          <w:kern w:val="28"/>
          <w:sz w:val="24"/>
          <w:szCs w:val="18"/>
        </w:rPr>
        <w:t>需方(甲方)：西安医学院第一附属医院</w:t>
      </w:r>
    </w:p>
    <w:p w14:paraId="21EF57EA">
      <w:pPr>
        <w:tabs>
          <w:tab w:val="left" w:pos="840"/>
        </w:tabs>
        <w:spacing w:line="500" w:lineRule="exact"/>
        <w:ind w:firstLine="480" w:firstLineChars="200"/>
        <w:jc w:val="left"/>
        <w:rPr>
          <w:rFonts w:hint="eastAsia" w:ascii="宋体" w:hAnsi="宋体" w:eastAsia="宋体" w:cs="宋体"/>
          <w:color w:val="000000"/>
          <w:kern w:val="28"/>
          <w:sz w:val="24"/>
          <w:szCs w:val="24"/>
        </w:rPr>
      </w:pPr>
      <w:r>
        <w:rPr>
          <w:rFonts w:hint="eastAsia" w:ascii="宋体" w:hAnsi="宋体" w:eastAsia="宋体" w:cs="宋体"/>
          <w:color w:val="000000"/>
          <w:kern w:val="28"/>
          <w:sz w:val="24"/>
          <w:szCs w:val="24"/>
        </w:rPr>
        <w:t>地      址：西安市莲湖区丰镐西路48号</w:t>
      </w:r>
    </w:p>
    <w:p w14:paraId="02A769F9">
      <w:pPr>
        <w:tabs>
          <w:tab w:val="left" w:pos="840"/>
        </w:tabs>
        <w:spacing w:line="500" w:lineRule="exact"/>
        <w:ind w:firstLine="480" w:firstLineChars="200"/>
        <w:jc w:val="left"/>
        <w:rPr>
          <w:rFonts w:hint="eastAsia" w:ascii="宋体" w:hAnsi="宋体" w:eastAsia="宋体" w:cs="宋体"/>
          <w:color w:val="000000"/>
          <w:kern w:val="28"/>
          <w:sz w:val="24"/>
          <w:szCs w:val="24"/>
        </w:rPr>
      </w:pPr>
      <w:r>
        <w:rPr>
          <w:rFonts w:hint="eastAsia" w:ascii="宋体" w:hAnsi="宋体" w:eastAsia="宋体" w:cs="宋体"/>
          <w:color w:val="000000"/>
          <w:kern w:val="28"/>
          <w:sz w:val="24"/>
          <w:szCs w:val="24"/>
        </w:rPr>
        <w:t>电      话：029-84277733</w:t>
      </w:r>
    </w:p>
    <w:p w14:paraId="5312C0CF">
      <w:pPr>
        <w:tabs>
          <w:tab w:val="left" w:pos="840"/>
        </w:tabs>
        <w:spacing w:line="500" w:lineRule="exact"/>
        <w:ind w:firstLine="480" w:firstLineChars="200"/>
        <w:jc w:val="left"/>
        <w:rPr>
          <w:rFonts w:hint="eastAsia" w:ascii="宋体" w:hAnsi="宋体" w:eastAsia="宋体" w:cs="宋体"/>
          <w:color w:val="000000"/>
          <w:kern w:val="28"/>
          <w:sz w:val="24"/>
          <w:szCs w:val="24"/>
        </w:rPr>
      </w:pPr>
      <w:r>
        <w:rPr>
          <w:rFonts w:hint="eastAsia" w:ascii="宋体" w:hAnsi="宋体" w:eastAsia="宋体" w:cs="宋体"/>
          <w:color w:val="000000"/>
          <w:kern w:val="28"/>
          <w:sz w:val="24"/>
          <w:szCs w:val="24"/>
        </w:rPr>
        <w:t>邮      编：710077</w:t>
      </w:r>
    </w:p>
    <w:p w14:paraId="0BABDF7F">
      <w:pPr>
        <w:tabs>
          <w:tab w:val="left" w:pos="840"/>
        </w:tabs>
        <w:spacing w:line="500" w:lineRule="exact"/>
        <w:ind w:firstLine="482" w:firstLineChars="200"/>
        <w:jc w:val="left"/>
        <w:rPr>
          <w:rFonts w:hint="eastAsia" w:ascii="宋体" w:hAnsi="宋体" w:eastAsia="宋体" w:cs="宋体"/>
          <w:b/>
          <w:bCs/>
          <w:color w:val="000000"/>
          <w:kern w:val="28"/>
          <w:sz w:val="24"/>
          <w:szCs w:val="18"/>
          <w:lang w:eastAsia="zh-CN"/>
        </w:rPr>
      </w:pPr>
      <w:r>
        <w:rPr>
          <w:rFonts w:hint="eastAsia" w:ascii="宋体" w:hAnsi="宋体" w:eastAsia="宋体" w:cs="宋体"/>
          <w:b/>
          <w:bCs/>
          <w:color w:val="000000"/>
          <w:kern w:val="28"/>
          <w:sz w:val="24"/>
          <w:szCs w:val="18"/>
        </w:rPr>
        <w:t>供方(乙方)：</w:t>
      </w:r>
      <w:r>
        <w:rPr>
          <w:rFonts w:hint="eastAsia" w:ascii="宋体" w:hAnsi="宋体" w:eastAsia="宋体" w:cs="宋体"/>
          <w:b/>
          <w:bCs/>
          <w:color w:val="000000"/>
          <w:kern w:val="28"/>
          <w:sz w:val="24"/>
          <w:szCs w:val="18"/>
          <w:lang w:val="en-US" w:eastAsia="zh-CN"/>
        </w:rPr>
        <w:t xml:space="preserve"> </w:t>
      </w:r>
    </w:p>
    <w:p w14:paraId="526E1237">
      <w:pPr>
        <w:tabs>
          <w:tab w:val="left" w:pos="840"/>
        </w:tabs>
        <w:spacing w:line="500" w:lineRule="exact"/>
        <w:ind w:firstLine="480" w:firstLineChars="200"/>
        <w:jc w:val="left"/>
        <w:rPr>
          <w:rFonts w:hint="eastAsia" w:ascii="宋体" w:hAnsi="宋体" w:eastAsia="宋体" w:cs="宋体"/>
          <w:color w:val="000000"/>
          <w:kern w:val="28"/>
          <w:sz w:val="20"/>
          <w:szCs w:val="21"/>
          <w:lang w:val="en-US" w:eastAsia="zh-CN"/>
        </w:rPr>
      </w:pPr>
      <w:r>
        <w:rPr>
          <w:rFonts w:hint="eastAsia" w:ascii="宋体" w:hAnsi="宋体" w:eastAsia="宋体" w:cs="宋体"/>
          <w:color w:val="000000"/>
          <w:kern w:val="28"/>
          <w:sz w:val="24"/>
          <w:szCs w:val="24"/>
        </w:rPr>
        <w:t>地      址：</w:t>
      </w:r>
      <w:r>
        <w:rPr>
          <w:rFonts w:hint="eastAsia" w:ascii="宋体" w:hAnsi="宋体" w:eastAsia="宋体" w:cs="宋体"/>
          <w:color w:val="000000"/>
          <w:kern w:val="28"/>
          <w:sz w:val="24"/>
          <w:szCs w:val="24"/>
          <w:lang w:val="en-US" w:eastAsia="zh-CN"/>
        </w:rPr>
        <w:t xml:space="preserve"> </w:t>
      </w:r>
    </w:p>
    <w:p w14:paraId="4474BA17">
      <w:pPr>
        <w:tabs>
          <w:tab w:val="left" w:pos="840"/>
        </w:tabs>
        <w:spacing w:line="500" w:lineRule="exact"/>
        <w:ind w:firstLine="480" w:firstLineChars="200"/>
        <w:jc w:val="left"/>
        <w:rPr>
          <w:rFonts w:hint="eastAsia" w:ascii="宋体" w:hAnsi="宋体" w:eastAsia="宋体" w:cs="宋体"/>
          <w:color w:val="000000"/>
          <w:kern w:val="28"/>
          <w:sz w:val="24"/>
          <w:szCs w:val="24"/>
          <w:lang w:val="en-US" w:eastAsia="zh-CN"/>
        </w:rPr>
      </w:pPr>
      <w:r>
        <w:rPr>
          <w:rFonts w:hint="eastAsia" w:ascii="宋体" w:hAnsi="宋体" w:eastAsia="宋体" w:cs="宋体"/>
          <w:color w:val="000000"/>
          <w:kern w:val="28"/>
          <w:sz w:val="24"/>
          <w:szCs w:val="24"/>
        </w:rPr>
        <w:t>电      话：</w:t>
      </w:r>
      <w:r>
        <w:rPr>
          <w:rFonts w:hint="eastAsia" w:ascii="宋体" w:hAnsi="宋体" w:eastAsia="宋体" w:cs="宋体"/>
          <w:color w:val="000000"/>
          <w:kern w:val="28"/>
          <w:sz w:val="24"/>
          <w:szCs w:val="24"/>
          <w:lang w:val="en-US" w:eastAsia="zh-CN"/>
        </w:rPr>
        <w:t xml:space="preserve"> </w:t>
      </w:r>
    </w:p>
    <w:p w14:paraId="6EFD9637">
      <w:pPr>
        <w:tabs>
          <w:tab w:val="left" w:pos="840"/>
        </w:tabs>
        <w:spacing w:line="500" w:lineRule="exact"/>
        <w:ind w:firstLine="480" w:firstLineChars="200"/>
        <w:jc w:val="left"/>
        <w:rPr>
          <w:rFonts w:hint="eastAsia" w:ascii="宋体" w:hAnsi="宋体" w:eastAsia="宋体" w:cs="宋体"/>
          <w:color w:val="000000"/>
          <w:kern w:val="28"/>
          <w:sz w:val="24"/>
          <w:szCs w:val="24"/>
          <w:lang w:val="en-US" w:eastAsia="zh-CN"/>
        </w:rPr>
      </w:pPr>
      <w:r>
        <w:rPr>
          <w:rFonts w:hint="eastAsia" w:ascii="宋体" w:hAnsi="宋体" w:eastAsia="宋体" w:cs="宋体"/>
          <w:color w:val="000000"/>
          <w:kern w:val="28"/>
          <w:sz w:val="24"/>
          <w:szCs w:val="24"/>
        </w:rPr>
        <w:t>邮      编：</w:t>
      </w:r>
      <w:r>
        <w:rPr>
          <w:rFonts w:hint="eastAsia" w:ascii="宋体" w:hAnsi="宋体" w:eastAsia="宋体" w:cs="宋体"/>
          <w:color w:val="000000"/>
          <w:kern w:val="28"/>
          <w:sz w:val="24"/>
          <w:szCs w:val="24"/>
          <w:lang w:val="en-US" w:eastAsia="zh-CN"/>
        </w:rPr>
        <w:t xml:space="preserve"> </w:t>
      </w:r>
    </w:p>
    <w:p w14:paraId="172D710F">
      <w:pPr>
        <w:tabs>
          <w:tab w:val="left" w:pos="840"/>
        </w:tabs>
        <w:spacing w:line="500" w:lineRule="exact"/>
        <w:ind w:firstLine="480" w:firstLineChars="200"/>
        <w:jc w:val="left"/>
        <w:rPr>
          <w:rFonts w:hint="eastAsia" w:ascii="宋体" w:hAnsi="宋体" w:eastAsia="宋体" w:cs="宋体"/>
          <w:color w:val="000000"/>
          <w:kern w:val="28"/>
          <w:sz w:val="24"/>
          <w:szCs w:val="24"/>
          <w:lang w:val="en-US" w:eastAsia="zh-CN"/>
        </w:rPr>
      </w:pPr>
      <w:r>
        <w:rPr>
          <w:rFonts w:hint="eastAsia" w:ascii="宋体" w:hAnsi="宋体" w:eastAsia="宋体" w:cs="宋体"/>
          <w:color w:val="000000"/>
          <w:kern w:val="28"/>
          <w:sz w:val="24"/>
          <w:szCs w:val="24"/>
        </w:rPr>
        <w:t>联系人：</w:t>
      </w:r>
      <w:r>
        <w:rPr>
          <w:rFonts w:hint="eastAsia" w:ascii="宋体" w:hAnsi="宋体" w:eastAsia="宋体" w:cs="宋体"/>
          <w:color w:val="000000"/>
          <w:kern w:val="28"/>
          <w:sz w:val="24"/>
          <w:szCs w:val="24"/>
          <w:u w:val="single"/>
        </w:rPr>
        <w:t xml:space="preserve"> </w:t>
      </w:r>
      <w:r>
        <w:rPr>
          <w:rFonts w:hint="eastAsia" w:ascii="宋体" w:hAnsi="宋体" w:eastAsia="宋体" w:cs="宋体"/>
          <w:color w:val="000000"/>
          <w:kern w:val="28"/>
          <w:sz w:val="24"/>
          <w:szCs w:val="24"/>
          <w:u w:val="single"/>
          <w:lang w:val="en-US" w:eastAsia="zh-CN"/>
        </w:rPr>
        <w:t xml:space="preserve">     </w:t>
      </w:r>
      <w:r>
        <w:rPr>
          <w:rFonts w:hint="eastAsia" w:ascii="宋体" w:hAnsi="宋体" w:eastAsia="宋体" w:cs="宋体"/>
          <w:color w:val="000000"/>
          <w:kern w:val="28"/>
          <w:sz w:val="24"/>
          <w:szCs w:val="24"/>
          <w:u w:val="single"/>
        </w:rPr>
        <w:t xml:space="preserve"> </w:t>
      </w:r>
      <w:r>
        <w:rPr>
          <w:rFonts w:hint="eastAsia" w:ascii="宋体" w:hAnsi="宋体" w:eastAsia="宋体" w:cs="宋体"/>
          <w:color w:val="000000"/>
          <w:kern w:val="28"/>
          <w:sz w:val="24"/>
          <w:szCs w:val="24"/>
        </w:rPr>
        <w:t>联系人手机：</w:t>
      </w:r>
      <w:r>
        <w:rPr>
          <w:rFonts w:hint="eastAsia" w:ascii="宋体" w:hAnsi="宋体" w:eastAsia="宋体" w:cs="宋体"/>
          <w:color w:val="000000"/>
          <w:kern w:val="28"/>
          <w:sz w:val="24"/>
          <w:szCs w:val="24"/>
          <w:u w:val="single"/>
          <w:lang w:val="en-US" w:eastAsia="zh-CN"/>
        </w:rPr>
        <w:t xml:space="preserve">            </w:t>
      </w:r>
    </w:p>
    <w:p w14:paraId="4F22ED76">
      <w:pPr>
        <w:tabs>
          <w:tab w:val="left" w:pos="840"/>
        </w:tabs>
        <w:spacing w:line="500" w:lineRule="exact"/>
        <w:ind w:firstLine="440" w:firstLineChars="200"/>
        <w:jc w:val="left"/>
        <w:rPr>
          <w:rFonts w:hint="eastAsia" w:ascii="宋体" w:hAnsi="宋体" w:eastAsia="宋体" w:cs="宋体"/>
          <w:b/>
          <w:bCs/>
          <w:color w:val="000000"/>
          <w:kern w:val="28"/>
          <w:sz w:val="24"/>
          <w:szCs w:val="18"/>
        </w:rPr>
      </w:pPr>
      <w:r>
        <w:rPr>
          <w:rFonts w:hint="eastAsia" w:ascii="宋体" w:hAnsi="宋体" w:eastAsia="宋体" w:cs="宋体"/>
          <w:color w:val="000000"/>
          <w:kern w:val="28"/>
          <w:sz w:val="22"/>
          <w:szCs w:val="18"/>
        </w:rPr>
        <w:t xml:space="preserve"> </w:t>
      </w:r>
      <w:r>
        <w:rPr>
          <w:rFonts w:hint="eastAsia" w:ascii="宋体" w:hAnsi="宋体" w:eastAsia="宋体" w:cs="宋体"/>
          <w:b/>
          <w:bCs/>
          <w:color w:val="000000"/>
          <w:kern w:val="28"/>
          <w:sz w:val="24"/>
          <w:szCs w:val="18"/>
        </w:rPr>
        <w:t>签约地点：西安市莲湖区</w:t>
      </w:r>
    </w:p>
    <w:p w14:paraId="0F7BA5BA">
      <w:pPr>
        <w:pStyle w:val="2"/>
        <w:spacing w:line="50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根据《中华人民共和国</w:t>
      </w:r>
      <w:r>
        <w:rPr>
          <w:rFonts w:hint="eastAsia" w:ascii="宋体" w:hAnsi="宋体" w:eastAsia="宋体" w:cs="宋体"/>
          <w:sz w:val="24"/>
          <w:szCs w:val="18"/>
          <w:lang w:val="en-US" w:eastAsia="zh-CN"/>
        </w:rPr>
        <w:t>民法典</w:t>
      </w:r>
      <w:r>
        <w:rPr>
          <w:rFonts w:hint="eastAsia" w:ascii="宋体" w:hAnsi="宋体" w:eastAsia="宋体" w:cs="宋体"/>
          <w:sz w:val="24"/>
          <w:szCs w:val="18"/>
        </w:rPr>
        <w:t>》的规定和</w:t>
      </w:r>
      <w:r>
        <w:rPr>
          <w:rFonts w:hint="eastAsia" w:ascii="宋体" w:hAnsi="宋体" w:eastAsia="宋体" w:cs="宋体"/>
          <w:kern w:val="28"/>
          <w:sz w:val="24"/>
          <w:szCs w:val="18"/>
        </w:rPr>
        <w:t>西安医学院第一附属医院</w:t>
      </w:r>
      <w:r>
        <w:rPr>
          <w:rFonts w:hint="eastAsia" w:ascii="宋体" w:hAnsi="宋体" w:eastAsia="宋体" w:cs="宋体"/>
          <w:sz w:val="24"/>
          <w:szCs w:val="18"/>
        </w:rPr>
        <w:t>需求，本着平等互利、协商一致的原则，经甲乙双方友好协商，特订立本合同，共同遵守。</w:t>
      </w:r>
    </w:p>
    <w:p w14:paraId="789B0846">
      <w:pPr>
        <w:pStyle w:val="2"/>
        <w:numPr>
          <w:ilvl w:val="0"/>
          <w:numId w:val="0"/>
        </w:numPr>
        <w:spacing w:line="500" w:lineRule="exact"/>
        <w:ind w:left="560" w:leftChars="0"/>
        <w:rPr>
          <w:rFonts w:hint="eastAsia" w:ascii="宋体" w:hAnsi="宋体" w:eastAsia="宋体" w:cs="宋体"/>
          <w:b/>
          <w:bCs/>
          <w:sz w:val="24"/>
          <w:szCs w:val="18"/>
        </w:rPr>
      </w:pPr>
      <w:r>
        <w:rPr>
          <w:rFonts w:hint="eastAsia" w:ascii="宋体" w:hAnsi="宋体" w:eastAsia="宋体" w:cs="宋体"/>
          <w:b/>
          <w:bCs/>
          <w:sz w:val="24"/>
          <w:szCs w:val="18"/>
          <w:lang w:eastAsia="zh-CN"/>
        </w:rPr>
        <w:t>一、</w:t>
      </w:r>
      <w:r>
        <w:rPr>
          <w:rFonts w:hint="eastAsia" w:ascii="宋体" w:hAnsi="宋体" w:eastAsia="宋体" w:cs="宋体"/>
          <w:b/>
          <w:bCs/>
          <w:sz w:val="24"/>
          <w:szCs w:val="18"/>
        </w:rPr>
        <w:t>名称、规格、数量、价款</w:t>
      </w:r>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1905"/>
        <w:gridCol w:w="1905"/>
        <w:gridCol w:w="1905"/>
        <w:gridCol w:w="1434"/>
      </w:tblGrid>
      <w:tr w14:paraId="7ADC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04" w:type="pct"/>
            <w:noWrap w:val="0"/>
            <w:vAlign w:val="center"/>
          </w:tcPr>
          <w:p w14:paraId="3E4847D9">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eastAsia="zh-CN"/>
              </w:rPr>
              <w:t>序号</w:t>
            </w:r>
          </w:p>
        </w:tc>
        <w:tc>
          <w:tcPr>
            <w:tcW w:w="1118" w:type="pct"/>
            <w:noWrap w:val="0"/>
            <w:vAlign w:val="center"/>
          </w:tcPr>
          <w:p w14:paraId="6CA190E0">
            <w:pPr>
              <w:spacing w:line="360" w:lineRule="auto"/>
              <w:jc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名称</w:t>
            </w:r>
          </w:p>
        </w:tc>
        <w:tc>
          <w:tcPr>
            <w:tcW w:w="1118" w:type="pct"/>
            <w:noWrap w:val="0"/>
            <w:vAlign w:val="center"/>
          </w:tcPr>
          <w:p w14:paraId="65B14BE8">
            <w:pPr>
              <w:spacing w:line="360" w:lineRule="auto"/>
              <w:jc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数量</w:t>
            </w:r>
          </w:p>
        </w:tc>
        <w:tc>
          <w:tcPr>
            <w:tcW w:w="1118" w:type="pct"/>
            <w:noWrap w:val="0"/>
            <w:vAlign w:val="center"/>
          </w:tcPr>
          <w:p w14:paraId="5B72A23D">
            <w:pPr>
              <w:spacing w:line="360" w:lineRule="auto"/>
              <w:jc w:val="center"/>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kern w:val="2"/>
                <w:sz w:val="22"/>
                <w:szCs w:val="22"/>
                <w:lang w:val="en-US" w:eastAsia="zh-CN" w:bidi="ar-SA"/>
              </w:rPr>
              <w:t>单位</w:t>
            </w:r>
          </w:p>
        </w:tc>
        <w:tc>
          <w:tcPr>
            <w:tcW w:w="839" w:type="pct"/>
            <w:noWrap w:val="0"/>
            <w:vAlign w:val="center"/>
          </w:tcPr>
          <w:p w14:paraId="4CB32206">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eastAsia="zh-CN"/>
              </w:rPr>
              <w:t>价款（</w:t>
            </w:r>
            <w:r>
              <w:rPr>
                <w:rFonts w:hint="eastAsia" w:ascii="宋体" w:hAnsi="宋体" w:eastAsia="宋体" w:cs="宋体"/>
                <w:sz w:val="22"/>
                <w:szCs w:val="22"/>
                <w:lang w:val="en-US" w:eastAsia="zh-CN"/>
              </w:rPr>
              <w:t>元</w:t>
            </w:r>
            <w:r>
              <w:rPr>
                <w:rFonts w:hint="eastAsia" w:ascii="宋体" w:hAnsi="宋体" w:eastAsia="宋体" w:cs="宋体"/>
                <w:sz w:val="22"/>
                <w:szCs w:val="22"/>
                <w:lang w:eastAsia="zh-CN"/>
              </w:rPr>
              <w:t>）</w:t>
            </w:r>
          </w:p>
        </w:tc>
      </w:tr>
      <w:tr w14:paraId="10B12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804" w:type="pct"/>
            <w:noWrap w:val="0"/>
            <w:vAlign w:val="center"/>
          </w:tcPr>
          <w:p w14:paraId="5130074F">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118" w:type="pct"/>
            <w:noWrap w:val="0"/>
            <w:vAlign w:val="center"/>
          </w:tcPr>
          <w:p w14:paraId="413F32C0">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1118" w:type="pct"/>
            <w:noWrap w:val="0"/>
            <w:vAlign w:val="center"/>
          </w:tcPr>
          <w:p w14:paraId="10B7C610">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1118" w:type="pct"/>
            <w:noWrap w:val="0"/>
            <w:vAlign w:val="center"/>
          </w:tcPr>
          <w:p w14:paraId="244BF295">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839" w:type="pct"/>
            <w:noWrap w:val="0"/>
            <w:vAlign w:val="center"/>
          </w:tcPr>
          <w:p w14:paraId="1922B7AC">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eastAsia" w:ascii="宋体" w:hAnsi="宋体" w:eastAsia="宋体" w:cs="宋体"/>
                <w:sz w:val="22"/>
                <w:szCs w:val="22"/>
                <w:lang w:val="en-US" w:eastAsia="zh-CN"/>
              </w:rPr>
            </w:pPr>
          </w:p>
        </w:tc>
      </w:tr>
      <w:tr w14:paraId="530E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jc w:val="center"/>
        </w:trPr>
        <w:tc>
          <w:tcPr>
            <w:tcW w:w="804" w:type="pct"/>
            <w:noWrap w:val="0"/>
            <w:vAlign w:val="center"/>
          </w:tcPr>
          <w:p w14:paraId="04082614">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cs="宋体"/>
                <w:sz w:val="22"/>
                <w:szCs w:val="22"/>
                <w:lang w:val="en-US" w:eastAsia="zh-CN"/>
              </w:rPr>
            </w:pPr>
            <w:r>
              <w:rPr>
                <w:rFonts w:hint="eastAsia" w:ascii="宋体" w:hAnsi="宋体" w:cs="宋体"/>
                <w:sz w:val="22"/>
                <w:szCs w:val="22"/>
                <w:lang w:val="en-US" w:eastAsia="zh-CN"/>
              </w:rPr>
              <w:t>2</w:t>
            </w:r>
          </w:p>
        </w:tc>
        <w:tc>
          <w:tcPr>
            <w:tcW w:w="1118" w:type="pct"/>
            <w:noWrap w:val="0"/>
            <w:vAlign w:val="center"/>
          </w:tcPr>
          <w:p w14:paraId="1A04DA65">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1118" w:type="pct"/>
            <w:noWrap w:val="0"/>
            <w:vAlign w:val="center"/>
          </w:tcPr>
          <w:p w14:paraId="2DFABE92">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1118" w:type="pct"/>
            <w:noWrap w:val="0"/>
            <w:vAlign w:val="center"/>
          </w:tcPr>
          <w:p w14:paraId="73761324">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c>
          <w:tcPr>
            <w:tcW w:w="839" w:type="pct"/>
            <w:noWrap w:val="0"/>
            <w:vAlign w:val="center"/>
          </w:tcPr>
          <w:p w14:paraId="446BDB96">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default" w:ascii="宋体" w:hAnsi="宋体" w:eastAsia="宋体" w:cs="宋体"/>
                <w:sz w:val="22"/>
                <w:szCs w:val="22"/>
                <w:lang w:val="en-US" w:eastAsia="zh-CN"/>
              </w:rPr>
            </w:pPr>
          </w:p>
        </w:tc>
      </w:tr>
      <w:tr w14:paraId="37FAE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804" w:type="pct"/>
            <w:noWrap w:val="0"/>
            <w:vAlign w:val="center"/>
          </w:tcPr>
          <w:p w14:paraId="66F2C1CD">
            <w:pPr>
              <w:pStyle w:val="2"/>
              <w:keepNext w:val="0"/>
              <w:keepLines w:val="0"/>
              <w:pageBreakBefore w:val="0"/>
              <w:widowControl w:val="0"/>
              <w:kinsoku/>
              <w:wordWrap/>
              <w:overflowPunct/>
              <w:topLinePunct/>
              <w:autoSpaceDE/>
              <w:autoSpaceDN/>
              <w:bidi w:val="0"/>
              <w:adjustRightInd/>
              <w:snapToGrid/>
              <w:spacing w:line="400" w:lineRule="exact"/>
              <w:ind w:left="0" w:leftChars="0" w:firstLine="0" w:firstLineChars="0"/>
              <w:jc w:val="center"/>
              <w:textAlignment w:val="auto"/>
              <w:rPr>
                <w:rFonts w:hint="eastAsia" w:ascii="宋体" w:hAnsi="宋体" w:cs="宋体"/>
                <w:sz w:val="22"/>
                <w:szCs w:val="22"/>
                <w:lang w:val="en-US" w:eastAsia="zh-CN"/>
              </w:rPr>
            </w:pPr>
            <w:r>
              <w:t>合同总额：</w:t>
            </w:r>
          </w:p>
        </w:tc>
        <w:tc>
          <w:tcPr>
            <w:tcW w:w="4195" w:type="pct"/>
            <w:gridSpan w:val="4"/>
            <w:noWrap w:val="0"/>
            <w:vAlign w:val="center"/>
          </w:tcPr>
          <w:p w14:paraId="7E42A4A6">
            <w:pPr>
              <w:rPr>
                <w:rFonts w:hint="eastAsia"/>
              </w:rPr>
            </w:pPr>
            <w:r>
              <w:t>大写：</w:t>
            </w:r>
            <w:r>
              <w:rPr>
                <w:rFonts w:hint="eastAsia"/>
              </w:rPr>
              <w:t>人民币</w:t>
            </w:r>
            <w:r>
              <w:rPr>
                <w:u w:val="single"/>
              </w:rPr>
              <w:t xml:space="preserve"> </w:t>
            </w:r>
            <w:r>
              <w:rPr>
                <w:rFonts w:hint="eastAsia"/>
                <w:u w:val="single"/>
                <w:lang w:val="en-US" w:eastAsia="zh-CN"/>
              </w:rPr>
              <w:t xml:space="preserve">       </w:t>
            </w:r>
            <w:r>
              <w:t>万元</w:t>
            </w:r>
            <w:r>
              <w:rPr>
                <w:rFonts w:hint="eastAsia"/>
              </w:rPr>
              <w:t>，</w:t>
            </w:r>
          </w:p>
          <w:p w14:paraId="47170E7A">
            <w:pPr>
              <w:rPr>
                <w:rFonts w:hint="eastAsia" w:ascii="宋体" w:hAnsi="宋体" w:cs="宋体"/>
                <w:sz w:val="22"/>
                <w:szCs w:val="22"/>
                <w:lang w:val="en-US" w:eastAsia="zh-CN"/>
              </w:rPr>
            </w:pPr>
            <w:r>
              <w:t>小写：</w:t>
            </w:r>
            <w:r>
              <w:rPr>
                <w:rFonts w:hint="eastAsia"/>
              </w:rPr>
              <w:t>¥</w:t>
            </w:r>
            <w:r>
              <w:t xml:space="preserve"> </w:t>
            </w:r>
            <w:r>
              <w:rPr>
                <w:rFonts w:hint="eastAsia"/>
                <w:u w:val="single"/>
                <w:lang w:val="en-US" w:eastAsia="zh-CN"/>
              </w:rPr>
              <w:t xml:space="preserve">            </w:t>
            </w:r>
            <w:r>
              <w:t>元。</w:t>
            </w:r>
          </w:p>
        </w:tc>
      </w:tr>
    </w:tbl>
    <w:p w14:paraId="60F52CF6">
      <w:pPr>
        <w:pStyle w:val="2"/>
        <w:spacing w:line="52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86C7A94">
      <w:pPr>
        <w:pStyle w:val="2"/>
        <w:spacing w:line="52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合同总额包括完成通过合同终验并正常运行所必须的安装、调试、集成、试运行、验收、咨询、培训、技术支持、售后服务及按国家现行税收政策征收的一切税费、运输保险及合同内质保金和合同中规定乙方应承担的其他义务的费用等。甲方无需为此项目再额外支付任何费用。</w:t>
      </w:r>
    </w:p>
    <w:p w14:paraId="773E30F0">
      <w:pPr>
        <w:pStyle w:val="2"/>
        <w:keepNext w:val="0"/>
        <w:keepLines w:val="0"/>
        <w:pageBreakBefore w:val="0"/>
        <w:widowControl w:val="0"/>
        <w:numPr>
          <w:ilvl w:val="0"/>
          <w:numId w:val="0"/>
        </w:numPr>
        <w:kinsoku/>
        <w:wordWrap/>
        <w:overflowPunct/>
        <w:topLinePunct/>
        <w:autoSpaceDE/>
        <w:autoSpaceDN/>
        <w:bidi w:val="0"/>
        <w:adjustRightInd/>
        <w:snapToGrid/>
        <w:spacing w:line="520" w:lineRule="exact"/>
        <w:ind w:firstLine="482" w:firstLineChars="200"/>
        <w:textAlignment w:val="auto"/>
        <w:rPr>
          <w:rFonts w:hint="eastAsia" w:ascii="宋体" w:hAnsi="宋体" w:eastAsia="宋体" w:cs="宋体"/>
          <w:b/>
          <w:bCs/>
          <w:sz w:val="24"/>
          <w:szCs w:val="18"/>
        </w:rPr>
      </w:pPr>
      <w:r>
        <w:rPr>
          <w:rFonts w:hint="eastAsia" w:ascii="宋体" w:hAnsi="宋体" w:eastAsia="宋体" w:cs="宋体"/>
          <w:b/>
          <w:bCs/>
          <w:sz w:val="24"/>
          <w:szCs w:val="18"/>
          <w:lang w:eastAsia="zh-CN"/>
        </w:rPr>
        <w:t>二、</w:t>
      </w:r>
      <w:r>
        <w:rPr>
          <w:rFonts w:hint="eastAsia" w:ascii="宋体" w:hAnsi="宋体" w:cs="宋体"/>
          <w:b/>
          <w:bCs/>
          <w:sz w:val="24"/>
          <w:szCs w:val="18"/>
          <w:lang w:eastAsia="zh-CN"/>
        </w:rPr>
        <w:t>服务</w:t>
      </w:r>
      <w:r>
        <w:rPr>
          <w:rFonts w:hint="eastAsia" w:ascii="宋体" w:hAnsi="宋体" w:eastAsia="宋体" w:cs="宋体"/>
          <w:b/>
          <w:bCs/>
          <w:sz w:val="24"/>
          <w:szCs w:val="18"/>
        </w:rPr>
        <w:t>期限和地点</w:t>
      </w:r>
    </w:p>
    <w:p w14:paraId="0D1D95AB">
      <w:pPr>
        <w:pStyle w:val="2"/>
        <w:spacing w:line="520" w:lineRule="exact"/>
        <w:ind w:left="0" w:leftChars="0" w:firstLine="480" w:firstLineChars="200"/>
        <w:rPr>
          <w:rFonts w:hint="eastAsia" w:ascii="宋体" w:hAnsi="宋体" w:eastAsia="宋体" w:cs="宋体"/>
          <w:sz w:val="24"/>
          <w:szCs w:val="18"/>
          <w:lang w:val="en-US" w:eastAsia="zh-CN"/>
        </w:rPr>
      </w:pPr>
      <w:r>
        <w:rPr>
          <w:rFonts w:hint="eastAsia" w:ascii="宋体" w:hAnsi="宋体" w:eastAsia="宋体" w:cs="宋体"/>
          <w:sz w:val="24"/>
          <w:szCs w:val="18"/>
          <w:lang w:val="en-US" w:eastAsia="zh-CN"/>
        </w:rPr>
        <w:t>1、服务期：30日历天内完成所有工作；</w:t>
      </w:r>
    </w:p>
    <w:p w14:paraId="59808C3D">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lang w:val="en-US" w:eastAsia="zh-CN"/>
        </w:rPr>
        <w:t>2、</w:t>
      </w:r>
      <w:r>
        <w:rPr>
          <w:rFonts w:hint="eastAsia" w:ascii="宋体" w:hAnsi="宋体" w:cs="宋体"/>
          <w:sz w:val="24"/>
          <w:szCs w:val="18"/>
          <w:lang w:eastAsia="zh-CN"/>
        </w:rPr>
        <w:t>服务</w:t>
      </w:r>
      <w:r>
        <w:rPr>
          <w:rFonts w:hint="eastAsia" w:ascii="宋体" w:hAnsi="宋体" w:eastAsia="宋体" w:cs="宋体"/>
          <w:sz w:val="24"/>
          <w:szCs w:val="18"/>
        </w:rPr>
        <w:t>地点：</w:t>
      </w:r>
      <w:r>
        <w:rPr>
          <w:rFonts w:hint="eastAsia" w:ascii="宋体" w:hAnsi="宋体" w:cs="宋体"/>
          <w:sz w:val="24"/>
          <w:szCs w:val="18"/>
          <w:lang w:val="en-US" w:eastAsia="zh-CN"/>
        </w:rPr>
        <w:t>采购人指定地点。</w:t>
      </w:r>
    </w:p>
    <w:p w14:paraId="3174BCA4">
      <w:pPr>
        <w:pStyle w:val="2"/>
        <w:spacing w:line="520" w:lineRule="exact"/>
        <w:ind w:left="0" w:leftChars="0" w:firstLine="482" w:firstLineChars="200"/>
        <w:rPr>
          <w:rFonts w:hint="eastAsia" w:ascii="宋体" w:hAnsi="宋体" w:eastAsia="宋体" w:cs="宋体"/>
          <w:b/>
          <w:bCs/>
          <w:sz w:val="24"/>
          <w:szCs w:val="18"/>
          <w:highlight w:val="none"/>
        </w:rPr>
      </w:pPr>
      <w:r>
        <w:rPr>
          <w:rFonts w:hint="eastAsia" w:ascii="宋体" w:hAnsi="宋体" w:eastAsia="宋体" w:cs="宋体"/>
          <w:b/>
          <w:bCs/>
          <w:sz w:val="24"/>
          <w:szCs w:val="18"/>
          <w:highlight w:val="none"/>
        </w:rPr>
        <w:t>三、验收标准和方法</w:t>
      </w:r>
    </w:p>
    <w:p w14:paraId="3B9C89BE">
      <w:pPr>
        <w:pStyle w:val="2"/>
        <w:spacing w:line="520" w:lineRule="exact"/>
        <w:ind w:left="0" w:leftChars="0" w:firstLine="480" w:firstLineChars="200"/>
        <w:rPr>
          <w:rFonts w:hint="eastAsia" w:asciiTheme="minorHAnsi" w:hAnsiTheme="minorHAnsi" w:eastAsiaTheme="minorEastAsia" w:cstheme="minorBidi"/>
          <w:color w:val="auto"/>
          <w:sz w:val="24"/>
        </w:rPr>
      </w:pPr>
      <w:r>
        <w:rPr>
          <w:rFonts w:hint="eastAsia" w:asciiTheme="minorHAnsi" w:hAnsiTheme="minorHAnsi" w:eastAsiaTheme="minorEastAsia" w:cstheme="minorBidi"/>
          <w:color w:val="auto"/>
          <w:sz w:val="24"/>
        </w:rPr>
        <w:t xml:space="preserve">1.验收要求：甲乙双方共同参照竞争性磋商文件及响应文件、合同和承诺条款的有关内容、配置要求等，在乙方完成开发、安装调试并经测试合格后的30个工作日内，进行统一验收。甲方在收到乙方验收通知书及相关验收资料后通知乙方，甲乙双方共同对系统进行验收，并由乙方将验收报告提交甲方。验收工作由甲乙双方所属部门组织，经相关负责人确认验收通过并签字、盖章，则视为甲乙双方确认验收通过。验收过程和步骤应符合国家、部委有关规定，符合质量检验、商检部门和医院的规定。甲方对交付成果提出异议的，乙方应在接到异议之日起5个工作日内，选择以下一种或多种方式解决异议，相应的异议处理方式应经甲方认可： 1）上门修复、调试； 2）指定时间内更新到品质、性能更优良的软件系统。 </w:t>
      </w:r>
    </w:p>
    <w:p w14:paraId="2ACB1A6A">
      <w:pPr>
        <w:pStyle w:val="2"/>
        <w:spacing w:line="520" w:lineRule="exact"/>
        <w:ind w:left="0" w:leftChars="0" w:firstLine="480" w:firstLineChars="200"/>
        <w:rPr>
          <w:rFonts w:hint="eastAsia" w:ascii="宋体" w:hAnsi="宋体" w:eastAsia="宋体" w:cs="宋体"/>
          <w:b/>
          <w:bCs/>
          <w:sz w:val="24"/>
          <w:szCs w:val="18"/>
          <w:highlight w:val="none"/>
          <w:lang w:eastAsia="zh-CN"/>
        </w:rPr>
      </w:pPr>
      <w:r>
        <w:rPr>
          <w:rFonts w:hint="eastAsia" w:asciiTheme="minorHAnsi" w:hAnsiTheme="minorHAnsi" w:eastAsiaTheme="minorEastAsia" w:cstheme="minorBidi"/>
          <w:color w:val="auto"/>
          <w:sz w:val="24"/>
        </w:rPr>
        <w:t>2.验收标准：符合采购人与成交供应商签订的经济合同； 符合谈判、响应文件的技术要求、商务要求； 符合产品原样本技术数据； 符合国家有关技术规范和标准； 所有安装、验收的手续费用由乙方自行办理和承担。</w:t>
      </w:r>
    </w:p>
    <w:p w14:paraId="4FEA1007">
      <w:pPr>
        <w:pStyle w:val="2"/>
        <w:spacing w:line="520" w:lineRule="exact"/>
        <w:ind w:left="0" w:leftChars="0" w:firstLine="482" w:firstLineChars="200"/>
        <w:rPr>
          <w:rFonts w:hint="eastAsia" w:ascii="宋体" w:hAnsi="宋体" w:eastAsia="宋体" w:cs="宋体"/>
          <w:b/>
          <w:bCs/>
          <w:sz w:val="24"/>
          <w:szCs w:val="18"/>
          <w:highlight w:val="none"/>
          <w:lang w:val="en-US" w:eastAsia="zh-CN"/>
        </w:rPr>
      </w:pPr>
      <w:r>
        <w:rPr>
          <w:rFonts w:hint="eastAsia" w:ascii="宋体" w:hAnsi="宋体" w:eastAsia="宋体" w:cs="宋体"/>
          <w:b/>
          <w:bCs/>
          <w:sz w:val="24"/>
          <w:szCs w:val="18"/>
          <w:highlight w:val="none"/>
          <w:lang w:eastAsia="zh-CN"/>
        </w:rPr>
        <w:t>四、</w:t>
      </w:r>
      <w:r>
        <w:rPr>
          <w:rFonts w:hint="eastAsia" w:ascii="宋体" w:hAnsi="宋体" w:eastAsia="宋体" w:cs="宋体"/>
          <w:b/>
          <w:bCs/>
          <w:sz w:val="24"/>
          <w:szCs w:val="18"/>
          <w:highlight w:val="none"/>
          <w:lang w:val="en-US" w:eastAsia="zh-CN"/>
        </w:rPr>
        <w:t>项目要求</w:t>
      </w:r>
    </w:p>
    <w:p w14:paraId="2837FB25">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住院楼核心交换机替换升级设计符合高性能、高可用、资源高度整合、可持续发展要求，需要满足未来</w:t>
      </w:r>
      <w:r>
        <w:rPr>
          <w:rFonts w:hint="eastAsia"/>
          <w:sz w:val="24"/>
          <w:szCs w:val="24"/>
          <w:lang w:val="en-US" w:eastAsia="zh-CN"/>
        </w:rPr>
        <w:t>8</w:t>
      </w:r>
      <w:r>
        <w:rPr>
          <w:rFonts w:hint="eastAsia"/>
          <w:sz w:val="24"/>
          <w:szCs w:val="24"/>
        </w:rPr>
        <w:t>-10年甚至更长时间的发展需要，还应满足国家《信息系统等级保护管理办法》三级的要求，符合未来以电子病历系统为核心，多种医疗应用系统（如HIS、PA</w:t>
      </w:r>
      <w:r>
        <w:rPr>
          <w:sz w:val="24"/>
          <w:szCs w:val="24"/>
        </w:rPr>
        <w:t>C</w:t>
      </w:r>
      <w:r>
        <w:rPr>
          <w:rFonts w:hint="eastAsia"/>
          <w:sz w:val="24"/>
          <w:szCs w:val="24"/>
        </w:rPr>
        <w:t>S、LIS等）集成，满足医院物联网业务、集成语音、数据、视讯和虚拟化特性，支持远程医疗、远程会诊、多业务查询、系统远程维护等业务</w:t>
      </w:r>
      <w:r>
        <w:rPr>
          <w:sz w:val="24"/>
          <w:szCs w:val="24"/>
        </w:rPr>
        <w:t>支撑</w:t>
      </w:r>
      <w:r>
        <w:rPr>
          <w:rFonts w:hint="eastAsia"/>
          <w:sz w:val="24"/>
          <w:szCs w:val="24"/>
        </w:rPr>
        <w:t>功能，具备高可用性、高安全性。总体技术目标</w:t>
      </w:r>
      <w:r>
        <w:rPr>
          <w:sz w:val="24"/>
          <w:szCs w:val="24"/>
        </w:rPr>
        <w:t>设计如下：</w:t>
      </w:r>
    </w:p>
    <w:p w14:paraId="28F86FDC">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模块</w:t>
      </w:r>
      <w:r>
        <w:rPr>
          <w:b/>
          <w:bCs/>
          <w:sz w:val="24"/>
          <w:szCs w:val="24"/>
        </w:rPr>
        <w:t>化的</w:t>
      </w:r>
      <w:r>
        <w:rPr>
          <w:rFonts w:hint="eastAsia"/>
          <w:b/>
          <w:bCs/>
          <w:sz w:val="24"/>
          <w:szCs w:val="24"/>
        </w:rPr>
        <w:t>网络设计</w:t>
      </w:r>
    </w:p>
    <w:p w14:paraId="6DCCCCCF">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构建住院楼核心网络节点，按照全院整体网络设计模块化的设计方法，承接住院楼分区网络模块功能需求，并可以灵活的扩展变化，不影响其他业务网络</w:t>
      </w:r>
      <w:r>
        <w:rPr>
          <w:sz w:val="24"/>
          <w:szCs w:val="24"/>
        </w:rPr>
        <w:t>系统</w:t>
      </w:r>
      <w:r>
        <w:rPr>
          <w:rFonts w:hint="eastAsia"/>
          <w:sz w:val="24"/>
          <w:szCs w:val="24"/>
        </w:rPr>
        <w:t>。</w:t>
      </w:r>
    </w:p>
    <w:p w14:paraId="085CE538">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层次</w:t>
      </w:r>
      <w:r>
        <w:rPr>
          <w:b/>
          <w:bCs/>
          <w:sz w:val="24"/>
          <w:szCs w:val="24"/>
        </w:rPr>
        <w:t>化的架构设计</w:t>
      </w:r>
    </w:p>
    <w:p w14:paraId="21A7E42B">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本次医院的</w:t>
      </w:r>
      <w:r>
        <w:rPr>
          <w:sz w:val="24"/>
          <w:szCs w:val="24"/>
        </w:rPr>
        <w:t>园区</w:t>
      </w:r>
      <w:r>
        <w:rPr>
          <w:rFonts w:hint="eastAsia"/>
          <w:sz w:val="24"/>
          <w:szCs w:val="24"/>
        </w:rPr>
        <w:t>网络系统整体采用采用三层架构设计，分别为核心层、汇聚层、接入层，以此来保障网络架构的健壮性和可管理性。</w:t>
      </w:r>
    </w:p>
    <w:p w14:paraId="41A0A9C8">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高性能</w:t>
      </w:r>
      <w:r>
        <w:rPr>
          <w:b/>
          <w:bCs/>
          <w:sz w:val="24"/>
          <w:szCs w:val="24"/>
        </w:rPr>
        <w:t>网络</w:t>
      </w:r>
    </w:p>
    <w:p w14:paraId="2634E508">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医院</w:t>
      </w:r>
      <w:r>
        <w:rPr>
          <w:sz w:val="24"/>
          <w:szCs w:val="24"/>
        </w:rPr>
        <w:t>的数据庞大而复杂，所以本次的网络在性能</w:t>
      </w:r>
      <w:r>
        <w:rPr>
          <w:rFonts w:hint="eastAsia"/>
          <w:sz w:val="24"/>
          <w:szCs w:val="24"/>
        </w:rPr>
        <w:t>设计</w:t>
      </w:r>
      <w:r>
        <w:rPr>
          <w:sz w:val="24"/>
          <w:szCs w:val="24"/>
        </w:rPr>
        <w:t>上必须满足医院所有</w:t>
      </w:r>
      <w:r>
        <w:rPr>
          <w:rFonts w:hint="eastAsia"/>
          <w:sz w:val="24"/>
          <w:szCs w:val="24"/>
        </w:rPr>
        <w:t>的</w:t>
      </w:r>
      <w:r>
        <w:rPr>
          <w:sz w:val="24"/>
          <w:szCs w:val="24"/>
        </w:rPr>
        <w:t>业务</w:t>
      </w:r>
      <w:r>
        <w:rPr>
          <w:rFonts w:hint="eastAsia"/>
          <w:sz w:val="24"/>
          <w:szCs w:val="24"/>
        </w:rPr>
        <w:t>提供</w:t>
      </w:r>
      <w:r>
        <w:rPr>
          <w:sz w:val="24"/>
          <w:szCs w:val="24"/>
        </w:rPr>
        <w:t>高速率、低延时的</w:t>
      </w:r>
      <w:r>
        <w:rPr>
          <w:rFonts w:hint="eastAsia"/>
          <w:sz w:val="24"/>
          <w:szCs w:val="24"/>
        </w:rPr>
        <w:t>支撑</w:t>
      </w:r>
      <w:r>
        <w:rPr>
          <w:sz w:val="24"/>
          <w:szCs w:val="24"/>
        </w:rPr>
        <w:t>，本次网络</w:t>
      </w:r>
      <w:r>
        <w:rPr>
          <w:rFonts w:hint="eastAsia"/>
          <w:sz w:val="24"/>
          <w:szCs w:val="24"/>
        </w:rPr>
        <w:t>建设采用万兆骨干链路设计但是汇聚层设备需要具备</w:t>
      </w:r>
      <w:r>
        <w:rPr>
          <w:sz w:val="24"/>
          <w:szCs w:val="24"/>
        </w:rPr>
        <w:t>可扩展到</w:t>
      </w:r>
      <w:r>
        <w:rPr>
          <w:rFonts w:hint="eastAsia"/>
          <w:sz w:val="24"/>
          <w:szCs w:val="24"/>
        </w:rPr>
        <w:t>4</w:t>
      </w:r>
      <w:r>
        <w:rPr>
          <w:sz w:val="24"/>
          <w:szCs w:val="24"/>
        </w:rPr>
        <w:t>0G</w:t>
      </w:r>
      <w:r>
        <w:rPr>
          <w:rFonts w:hint="eastAsia"/>
          <w:sz w:val="24"/>
          <w:szCs w:val="24"/>
        </w:rPr>
        <w:t>、100</w:t>
      </w:r>
      <w:r>
        <w:rPr>
          <w:sz w:val="24"/>
          <w:szCs w:val="24"/>
        </w:rPr>
        <w:t>G互联性能，保</w:t>
      </w:r>
      <w:r>
        <w:rPr>
          <w:rFonts w:hint="eastAsia"/>
          <w:sz w:val="24"/>
          <w:szCs w:val="24"/>
        </w:rPr>
        <w:t>证业务</w:t>
      </w:r>
      <w:r>
        <w:rPr>
          <w:sz w:val="24"/>
          <w:szCs w:val="24"/>
        </w:rPr>
        <w:t>支撑平台的</w:t>
      </w:r>
      <w:r>
        <w:rPr>
          <w:rFonts w:hint="eastAsia"/>
          <w:sz w:val="24"/>
          <w:szCs w:val="24"/>
        </w:rPr>
        <w:t>链路</w:t>
      </w:r>
      <w:r>
        <w:rPr>
          <w:sz w:val="24"/>
          <w:szCs w:val="24"/>
        </w:rPr>
        <w:t>的高速率</w:t>
      </w:r>
      <w:r>
        <w:rPr>
          <w:rFonts w:hint="eastAsia"/>
          <w:sz w:val="24"/>
          <w:szCs w:val="24"/>
        </w:rPr>
        <w:t>。</w:t>
      </w:r>
    </w:p>
    <w:p w14:paraId="78D79A95">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在设备</w:t>
      </w:r>
      <w:r>
        <w:rPr>
          <w:sz w:val="24"/>
          <w:szCs w:val="24"/>
        </w:rPr>
        <w:t>配置上同样采用先进的</w:t>
      </w:r>
      <w:r>
        <w:rPr>
          <w:rFonts w:hint="eastAsia"/>
          <w:sz w:val="24"/>
          <w:szCs w:val="24"/>
        </w:rPr>
        <w:t>交换</w:t>
      </w:r>
      <w:r>
        <w:rPr>
          <w:sz w:val="24"/>
          <w:szCs w:val="24"/>
        </w:rPr>
        <w:t>架构，保障</w:t>
      </w:r>
      <w:r>
        <w:rPr>
          <w:rFonts w:hint="eastAsia"/>
          <w:sz w:val="24"/>
          <w:szCs w:val="24"/>
        </w:rPr>
        <w:t>关键节点</w:t>
      </w:r>
      <w:r>
        <w:rPr>
          <w:sz w:val="24"/>
          <w:szCs w:val="24"/>
        </w:rPr>
        <w:t>设备的高性能无阻塞的数据转发，同时满足</w:t>
      </w:r>
      <w:r>
        <w:rPr>
          <w:rFonts w:hint="eastAsia"/>
          <w:sz w:val="24"/>
          <w:szCs w:val="24"/>
        </w:rPr>
        <w:t>不同</w:t>
      </w:r>
      <w:r>
        <w:rPr>
          <w:sz w:val="24"/>
          <w:szCs w:val="24"/>
        </w:rPr>
        <w:t>业务区</w:t>
      </w:r>
      <w:r>
        <w:rPr>
          <w:rFonts w:hint="eastAsia"/>
          <w:sz w:val="24"/>
          <w:szCs w:val="24"/>
        </w:rPr>
        <w:t>10GE、40GE和100GE以太网端口升级能力，充分满足医院应用及未来发展需求。</w:t>
      </w:r>
    </w:p>
    <w:p w14:paraId="775C1E70">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高可靠网络</w:t>
      </w:r>
    </w:p>
    <w:p w14:paraId="5AD80094">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网络的高可用是业务高可用的基本保证，在核心节点的整体设计和设备配置上均按照双备份要求设计，</w:t>
      </w:r>
      <w:r>
        <w:rPr>
          <w:sz w:val="24"/>
          <w:szCs w:val="24"/>
        </w:rPr>
        <w:t>同时采用</w:t>
      </w:r>
      <w:r>
        <w:rPr>
          <w:rFonts w:hint="eastAsia"/>
          <w:sz w:val="24"/>
          <w:szCs w:val="24"/>
        </w:rPr>
        <w:t>扩设备链路聚合的</w:t>
      </w:r>
      <w:r>
        <w:rPr>
          <w:sz w:val="24"/>
          <w:szCs w:val="24"/>
        </w:rPr>
        <w:t>技术</w:t>
      </w:r>
      <w:r>
        <w:rPr>
          <w:rFonts w:hint="eastAsia"/>
          <w:sz w:val="24"/>
          <w:szCs w:val="24"/>
        </w:rPr>
        <w:t>方式</w:t>
      </w:r>
      <w:r>
        <w:rPr>
          <w:sz w:val="24"/>
          <w:szCs w:val="24"/>
        </w:rPr>
        <w:t>，保障</w:t>
      </w:r>
      <w:r>
        <w:rPr>
          <w:rFonts w:hint="eastAsia"/>
          <w:sz w:val="24"/>
          <w:szCs w:val="24"/>
        </w:rPr>
        <w:t>同一</w:t>
      </w:r>
      <w:r>
        <w:rPr>
          <w:sz w:val="24"/>
          <w:szCs w:val="24"/>
        </w:rPr>
        <w:t>节点两个设备能够冗余负担</w:t>
      </w:r>
      <w:r>
        <w:rPr>
          <w:rFonts w:hint="eastAsia"/>
          <w:sz w:val="24"/>
          <w:szCs w:val="24"/>
        </w:rPr>
        <w:t>。</w:t>
      </w:r>
    </w:p>
    <w:p w14:paraId="0F3A9391">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sz w:val="24"/>
          <w:szCs w:val="24"/>
        </w:rPr>
        <w:t>网络</w:t>
      </w:r>
      <w:r>
        <w:rPr>
          <w:rFonts w:hint="eastAsia"/>
          <w:sz w:val="24"/>
          <w:szCs w:val="24"/>
        </w:rPr>
        <w:t>交换机</w:t>
      </w:r>
      <w:r>
        <w:rPr>
          <w:sz w:val="24"/>
          <w:szCs w:val="24"/>
        </w:rPr>
        <w:t>设备</w:t>
      </w:r>
      <w:r>
        <w:rPr>
          <w:rFonts w:hint="eastAsia"/>
          <w:sz w:val="24"/>
          <w:szCs w:val="24"/>
        </w:rPr>
        <w:t>的采用</w:t>
      </w:r>
      <w:r>
        <w:rPr>
          <w:sz w:val="24"/>
          <w:szCs w:val="24"/>
        </w:rPr>
        <w:t>框式</w:t>
      </w:r>
      <w:r>
        <w:rPr>
          <w:rFonts w:hint="eastAsia"/>
          <w:sz w:val="24"/>
          <w:szCs w:val="24"/>
        </w:rPr>
        <w:t>模块化</w:t>
      </w:r>
      <w:r>
        <w:rPr>
          <w:sz w:val="24"/>
          <w:szCs w:val="24"/>
        </w:rPr>
        <w:t>设备</w:t>
      </w:r>
      <w:r>
        <w:rPr>
          <w:rFonts w:hint="eastAsia"/>
          <w:sz w:val="24"/>
          <w:szCs w:val="24"/>
        </w:rPr>
        <w:t>，</w:t>
      </w:r>
      <w:r>
        <w:rPr>
          <w:sz w:val="24"/>
          <w:szCs w:val="24"/>
        </w:rPr>
        <w:t>支持主控</w:t>
      </w:r>
      <w:r>
        <w:rPr>
          <w:rFonts w:hint="eastAsia"/>
          <w:sz w:val="24"/>
          <w:szCs w:val="24"/>
        </w:rPr>
        <w:t>、</w:t>
      </w:r>
      <w:r>
        <w:rPr>
          <w:sz w:val="24"/>
          <w:szCs w:val="24"/>
        </w:rPr>
        <w:t>风扇</w:t>
      </w:r>
      <w:r>
        <w:rPr>
          <w:rFonts w:hint="eastAsia"/>
          <w:sz w:val="24"/>
          <w:szCs w:val="24"/>
        </w:rPr>
        <w:t>、</w:t>
      </w:r>
      <w:r>
        <w:rPr>
          <w:sz w:val="24"/>
          <w:szCs w:val="24"/>
        </w:rPr>
        <w:t>电源</w:t>
      </w:r>
      <w:r>
        <w:rPr>
          <w:rFonts w:hint="eastAsia"/>
          <w:sz w:val="24"/>
          <w:szCs w:val="24"/>
        </w:rPr>
        <w:t>、</w:t>
      </w:r>
      <w:r>
        <w:rPr>
          <w:sz w:val="24"/>
          <w:szCs w:val="24"/>
        </w:rPr>
        <w:t>业务</w:t>
      </w:r>
      <w:r>
        <w:rPr>
          <w:rFonts w:hint="eastAsia"/>
          <w:sz w:val="24"/>
          <w:szCs w:val="24"/>
        </w:rPr>
        <w:t>板卡等基本组件</w:t>
      </w:r>
      <w:r>
        <w:rPr>
          <w:sz w:val="24"/>
          <w:szCs w:val="24"/>
        </w:rPr>
        <w:t>可插拔，可冗余备份等，保障设备的高可用性。</w:t>
      </w:r>
    </w:p>
    <w:p w14:paraId="121B34AA">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sz w:val="24"/>
          <w:szCs w:val="24"/>
        </w:rPr>
      </w:pPr>
      <w:r>
        <w:rPr>
          <w:rFonts w:hint="eastAsia"/>
          <w:sz w:val="24"/>
          <w:szCs w:val="24"/>
        </w:rPr>
        <w:t>在网络连接上消除单点故障，提供关键设备的故障切换，关键网络设备之间的物理链路采用双路冗余连接，按照负载均衡方式或active-active方式工作；全冗余的方式使系统达到电信级可靠性。</w:t>
      </w:r>
    </w:p>
    <w:p w14:paraId="2E1541D4">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高安全网络</w:t>
      </w:r>
    </w:p>
    <w:p w14:paraId="73141A9F">
      <w:pPr>
        <w:pageBreakBefore w:val="0"/>
        <w:widowControl/>
        <w:kinsoku/>
        <w:wordWrap/>
        <w:overflowPunct/>
        <w:topLinePunct w:val="0"/>
        <w:autoSpaceDE/>
        <w:autoSpaceDN/>
        <w:bidi w:val="0"/>
        <w:adjustRightInd w:val="0"/>
        <w:snapToGrid w:val="0"/>
        <w:spacing w:line="360" w:lineRule="auto"/>
        <w:ind w:left="0" w:leftChars="0" w:right="0" w:firstLine="480" w:firstLineChars="200"/>
        <w:textAlignment w:val="auto"/>
        <w:rPr>
          <w:rFonts w:cs="Times New Roman" w:eastAsiaTheme="minorEastAsia"/>
          <w:sz w:val="24"/>
          <w:szCs w:val="24"/>
        </w:rPr>
      </w:pPr>
      <w:r>
        <w:rPr>
          <w:rFonts w:hint="eastAsia" w:cs="Times New Roman"/>
          <w:sz w:val="24"/>
          <w:szCs w:val="24"/>
        </w:rPr>
        <w:t>单独部署网络安全防火墙盒式设备替换原有交换机防火墙板卡，并双机部署与核心交换机互联。医保专线承载着为医院医保结算和医保平台之间数据互联互通的功能，有网络的地方就存在网络安全威胁的可能，医保专线出口不仅要解决医院内网和医保专网之间的信息交互，同时需要做好两个网络之间的安全逻辑和防护，防止安全威胁向内部渗透扩散。</w:t>
      </w:r>
    </w:p>
    <w:p w14:paraId="1E16E1E0">
      <w:pPr>
        <w:pageBreakBefore w:val="0"/>
        <w:widowControl/>
        <w:kinsoku/>
        <w:wordWrap/>
        <w:overflowPunct/>
        <w:topLinePunct w:val="0"/>
        <w:autoSpaceDE/>
        <w:autoSpaceDN/>
        <w:bidi w:val="0"/>
        <w:adjustRightInd w:val="0"/>
        <w:snapToGrid w:val="0"/>
        <w:spacing w:line="360" w:lineRule="auto"/>
        <w:ind w:left="0" w:leftChars="0" w:right="0" w:firstLine="482" w:firstLineChars="200"/>
        <w:textAlignment w:val="auto"/>
        <w:rPr>
          <w:b/>
          <w:bCs/>
          <w:sz w:val="24"/>
          <w:szCs w:val="24"/>
        </w:rPr>
      </w:pPr>
      <w:r>
        <w:rPr>
          <w:rFonts w:hint="eastAsia"/>
          <w:b/>
          <w:bCs/>
          <w:sz w:val="24"/>
          <w:szCs w:val="24"/>
        </w:rPr>
        <w:t>可扩展</w:t>
      </w:r>
      <w:r>
        <w:rPr>
          <w:b/>
          <w:bCs/>
          <w:sz w:val="24"/>
          <w:szCs w:val="24"/>
        </w:rPr>
        <w:t>网络</w:t>
      </w:r>
    </w:p>
    <w:p w14:paraId="5D0619D7">
      <w:pPr>
        <w:widowControl/>
        <w:topLinePunct w:val="0"/>
        <w:adjustRightInd w:val="0"/>
        <w:snapToGrid w:val="0"/>
        <w:spacing w:line="360" w:lineRule="auto"/>
        <w:ind w:firstLine="480" w:firstLineChars="200"/>
        <w:rPr>
          <w:rFonts w:hint="eastAsia" w:ascii="宋体" w:hAnsi="宋体" w:eastAsia="宋体" w:cs="宋体"/>
          <w:b w:val="0"/>
          <w:bCs w:val="0"/>
          <w:sz w:val="24"/>
          <w:szCs w:val="18"/>
          <w:lang w:val="en-US" w:eastAsia="zh-CN"/>
        </w:rPr>
      </w:pPr>
      <w:r>
        <w:rPr>
          <w:rFonts w:hint="eastAsia"/>
          <w:sz w:val="24"/>
          <w:szCs w:val="24"/>
        </w:rPr>
        <w:t>根据</w:t>
      </w:r>
      <w:r>
        <w:rPr>
          <w:sz w:val="24"/>
          <w:szCs w:val="24"/>
        </w:rPr>
        <w:t>全院的统筹规划</w:t>
      </w:r>
      <w:r>
        <w:rPr>
          <w:rFonts w:hint="eastAsia"/>
          <w:sz w:val="24"/>
          <w:szCs w:val="24"/>
        </w:rPr>
        <w:t>本次</w:t>
      </w:r>
      <w:r>
        <w:rPr>
          <w:sz w:val="24"/>
          <w:szCs w:val="24"/>
        </w:rPr>
        <w:t>网络的建设在设备上支持</w:t>
      </w:r>
      <w:r>
        <w:rPr>
          <w:rFonts w:hint="eastAsia"/>
          <w:sz w:val="24"/>
          <w:szCs w:val="24"/>
        </w:rPr>
        <w:t>后期</w:t>
      </w:r>
      <w:r>
        <w:rPr>
          <w:sz w:val="24"/>
          <w:szCs w:val="24"/>
        </w:rPr>
        <w:t>业务板的扩展</w:t>
      </w:r>
      <w:r>
        <w:rPr>
          <w:rFonts w:hint="eastAsia"/>
          <w:sz w:val="24"/>
          <w:szCs w:val="24"/>
        </w:rPr>
        <w:t>，支持</w:t>
      </w:r>
      <w:r>
        <w:rPr>
          <w:sz w:val="24"/>
          <w:szCs w:val="24"/>
        </w:rPr>
        <w:t>高密度</w:t>
      </w:r>
      <w:r>
        <w:rPr>
          <w:rFonts w:hint="eastAsia"/>
          <w:sz w:val="24"/>
          <w:szCs w:val="24"/>
        </w:rPr>
        <w:t>10GE、40GE和100GE以太网端口升级能力，</w:t>
      </w:r>
      <w:r>
        <w:rPr>
          <w:sz w:val="24"/>
          <w:szCs w:val="24"/>
        </w:rPr>
        <w:t>满足</w:t>
      </w:r>
      <w:r>
        <w:rPr>
          <w:rFonts w:hint="eastAsia"/>
          <w:sz w:val="24"/>
          <w:szCs w:val="24"/>
        </w:rPr>
        <w:t>后续</w:t>
      </w:r>
      <w:r>
        <w:rPr>
          <w:sz w:val="24"/>
          <w:szCs w:val="24"/>
        </w:rPr>
        <w:t>网络随业务需求对</w:t>
      </w:r>
      <w:r>
        <w:rPr>
          <w:rFonts w:hint="eastAsia"/>
          <w:sz w:val="24"/>
          <w:szCs w:val="24"/>
        </w:rPr>
        <w:t>接入</w:t>
      </w:r>
      <w:r>
        <w:rPr>
          <w:sz w:val="24"/>
          <w:szCs w:val="24"/>
        </w:rPr>
        <w:t>性能的扩展</w:t>
      </w:r>
      <w:r>
        <w:rPr>
          <w:rFonts w:hint="eastAsia"/>
          <w:sz w:val="24"/>
          <w:szCs w:val="24"/>
        </w:rPr>
        <w:t>；</w:t>
      </w:r>
      <w:r>
        <w:rPr>
          <w:sz w:val="24"/>
          <w:szCs w:val="24"/>
        </w:rPr>
        <w:t>同时</w:t>
      </w:r>
      <w:r>
        <w:rPr>
          <w:rFonts w:hint="eastAsia"/>
          <w:sz w:val="24"/>
          <w:szCs w:val="24"/>
        </w:rPr>
        <w:t>针对园区</w:t>
      </w:r>
      <w:r>
        <w:rPr>
          <w:sz w:val="24"/>
          <w:szCs w:val="24"/>
        </w:rPr>
        <w:t>多业务场景</w:t>
      </w:r>
      <w:r>
        <w:rPr>
          <w:rFonts w:hint="eastAsia"/>
          <w:sz w:val="24"/>
          <w:szCs w:val="24"/>
        </w:rPr>
        <w:t>还可</w:t>
      </w:r>
      <w:r>
        <w:rPr>
          <w:sz w:val="24"/>
          <w:szCs w:val="24"/>
        </w:rPr>
        <w:t>扩展</w:t>
      </w:r>
      <w:r>
        <w:rPr>
          <w:rFonts w:hint="eastAsia"/>
          <w:sz w:val="24"/>
          <w:szCs w:val="24"/>
        </w:rPr>
        <w:t>防火墙</w:t>
      </w:r>
      <w:r>
        <w:rPr>
          <w:sz w:val="24"/>
          <w:szCs w:val="24"/>
        </w:rPr>
        <w:t>、IPS、</w:t>
      </w:r>
      <w:r>
        <w:rPr>
          <w:rFonts w:hint="eastAsia"/>
          <w:sz w:val="24"/>
          <w:szCs w:val="24"/>
        </w:rPr>
        <w:t>无线</w:t>
      </w:r>
      <w:r>
        <w:rPr>
          <w:sz w:val="24"/>
          <w:szCs w:val="24"/>
        </w:rPr>
        <w:t>AC</w:t>
      </w:r>
      <w:r>
        <w:rPr>
          <w:rFonts w:hint="eastAsia"/>
          <w:sz w:val="24"/>
          <w:szCs w:val="24"/>
        </w:rPr>
        <w:t>等</w:t>
      </w:r>
      <w:r>
        <w:rPr>
          <w:sz w:val="24"/>
          <w:szCs w:val="24"/>
        </w:rPr>
        <w:t>业务板卡，</w:t>
      </w:r>
      <w:r>
        <w:rPr>
          <w:rFonts w:hint="eastAsia"/>
          <w:sz w:val="24"/>
          <w:szCs w:val="24"/>
        </w:rPr>
        <w:t>满足</w:t>
      </w:r>
      <w:r>
        <w:rPr>
          <w:sz w:val="24"/>
          <w:szCs w:val="24"/>
        </w:rPr>
        <w:t>园区</w:t>
      </w:r>
      <w:r>
        <w:rPr>
          <w:rFonts w:hint="eastAsia"/>
          <w:sz w:val="24"/>
          <w:szCs w:val="24"/>
        </w:rPr>
        <w:t>业务</w:t>
      </w:r>
      <w:r>
        <w:rPr>
          <w:sz w:val="24"/>
          <w:szCs w:val="24"/>
        </w:rPr>
        <w:t>场景</w:t>
      </w:r>
      <w:r>
        <w:rPr>
          <w:rFonts w:hint="eastAsia"/>
          <w:sz w:val="24"/>
          <w:szCs w:val="24"/>
        </w:rPr>
        <w:t>需求</w:t>
      </w:r>
      <w:r>
        <w:rPr>
          <w:sz w:val="24"/>
          <w:szCs w:val="24"/>
        </w:rPr>
        <w:t>。</w:t>
      </w:r>
    </w:p>
    <w:p w14:paraId="32CCB6B1">
      <w:pPr>
        <w:tabs>
          <w:tab w:val="left" w:pos="360"/>
        </w:tabs>
        <w:topLinePunct/>
        <w:spacing w:line="520" w:lineRule="exact"/>
        <w:ind w:firstLine="482" w:firstLineChars="200"/>
        <w:rPr>
          <w:rFonts w:hint="eastAsia" w:ascii="宋体" w:hAnsi="宋体" w:eastAsia="宋体" w:cs="宋体"/>
          <w:b/>
          <w:bCs/>
          <w:sz w:val="24"/>
          <w:szCs w:val="18"/>
        </w:rPr>
      </w:pPr>
      <w:r>
        <w:rPr>
          <w:rFonts w:hint="eastAsia" w:ascii="宋体" w:hAnsi="宋体" w:eastAsia="宋体" w:cs="宋体"/>
          <w:b/>
          <w:bCs/>
          <w:sz w:val="24"/>
          <w:szCs w:val="18"/>
          <w:lang w:eastAsia="zh-CN"/>
        </w:rPr>
        <w:t>五</w:t>
      </w:r>
      <w:r>
        <w:rPr>
          <w:rFonts w:hint="eastAsia" w:ascii="宋体" w:hAnsi="宋体" w:eastAsia="宋体" w:cs="宋体"/>
          <w:b/>
          <w:bCs/>
          <w:sz w:val="24"/>
          <w:szCs w:val="18"/>
        </w:rPr>
        <w:t>、付款方式和条件</w:t>
      </w:r>
    </w:p>
    <w:p w14:paraId="547247A9">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lang w:val="en-US" w:eastAsia="zh-CN"/>
        </w:rPr>
        <w:t>1、合同签订</w:t>
      </w:r>
      <w:r>
        <w:rPr>
          <w:rFonts w:hint="eastAsia" w:ascii="宋体" w:hAnsi="宋体" w:eastAsia="宋体" w:cs="宋体"/>
          <w:color w:val="auto"/>
          <w:sz w:val="24"/>
          <w:szCs w:val="18"/>
          <w:lang w:val="en-US" w:eastAsia="zh-CN"/>
        </w:rPr>
        <w:t>，</w:t>
      </w:r>
      <w:bookmarkStart w:id="0" w:name="_GoBack"/>
      <w:bookmarkEnd w:id="0"/>
      <w:r>
        <w:rPr>
          <w:rFonts w:hint="eastAsia" w:ascii="宋体" w:hAnsi="宋体" w:eastAsia="宋体" w:cs="宋体"/>
          <w:color w:val="auto"/>
          <w:sz w:val="24"/>
          <w:szCs w:val="24"/>
        </w:rPr>
        <w:t>验收合格（以甲方出具的书面验收合格文件为准）后支付合同总价的30%，半年期满后支付合同总价的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0%,壹年期满后支付剩余的10%。</w:t>
      </w:r>
    </w:p>
    <w:p w14:paraId="32504339">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lang w:val="en-US" w:eastAsia="zh-CN"/>
        </w:rPr>
        <w:t>2、</w:t>
      </w:r>
      <w:r>
        <w:rPr>
          <w:rFonts w:hint="eastAsia" w:ascii="宋体" w:hAnsi="宋体" w:eastAsia="宋体" w:cs="宋体"/>
          <w:sz w:val="24"/>
          <w:szCs w:val="18"/>
        </w:rPr>
        <w:t>支付方式</w:t>
      </w:r>
    </w:p>
    <w:p w14:paraId="3CEAE0E3">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通过银行转帐方式将款项转入乙方银行帐户。乙方银行帐户信息如下:</w:t>
      </w:r>
    </w:p>
    <w:p w14:paraId="3F931216">
      <w:pPr>
        <w:pStyle w:val="2"/>
        <w:tabs>
          <w:tab w:val="left" w:pos="180"/>
          <w:tab w:val="left" w:pos="9360"/>
        </w:tabs>
        <w:spacing w:line="520" w:lineRule="exact"/>
        <w:ind w:left="560" w:leftChars="0" w:firstLine="0" w:firstLineChars="0"/>
        <w:rPr>
          <w:rFonts w:hint="eastAsia" w:ascii="宋体" w:hAnsi="宋体" w:eastAsia="宋体" w:cs="宋体"/>
          <w:color w:val="auto"/>
          <w:sz w:val="24"/>
          <w:szCs w:val="18"/>
          <w:u w:val="single"/>
          <w:lang w:val="en-US" w:eastAsia="zh-CN"/>
        </w:rPr>
      </w:pPr>
      <w:r>
        <w:rPr>
          <w:rFonts w:hint="eastAsia" w:ascii="宋体" w:hAnsi="宋体" w:eastAsia="宋体" w:cs="宋体"/>
          <w:color w:val="auto"/>
          <w:sz w:val="24"/>
          <w:szCs w:val="18"/>
        </w:rPr>
        <w:t>帐户全称:</w:t>
      </w:r>
      <w:r>
        <w:rPr>
          <w:rFonts w:hint="eastAsia" w:ascii="宋体" w:hAnsi="宋体" w:eastAsia="宋体" w:cs="宋体"/>
          <w:sz w:val="24"/>
          <w:szCs w:val="18"/>
          <w:u w:val="single"/>
        </w:rPr>
        <w:t xml:space="preserve"> </w:t>
      </w:r>
      <w:r>
        <w:rPr>
          <w:rFonts w:hint="eastAsia" w:ascii="宋体" w:hAnsi="宋体" w:eastAsia="宋体" w:cs="宋体"/>
          <w:sz w:val="24"/>
          <w:szCs w:val="18"/>
          <w:u w:val="single"/>
          <w:lang w:val="en-US" w:eastAsia="zh-CN"/>
        </w:rPr>
        <w:t xml:space="preserve">                </w:t>
      </w:r>
    </w:p>
    <w:p w14:paraId="742796A6">
      <w:pPr>
        <w:pStyle w:val="2"/>
        <w:tabs>
          <w:tab w:val="left" w:pos="9360"/>
        </w:tabs>
        <w:spacing w:line="520" w:lineRule="exact"/>
        <w:ind w:left="560" w:leftChars="0" w:firstLine="0" w:firstLineChars="0"/>
        <w:rPr>
          <w:rFonts w:hint="eastAsia" w:ascii="宋体" w:hAnsi="宋体" w:eastAsia="宋体" w:cs="宋体"/>
          <w:color w:val="auto"/>
          <w:sz w:val="24"/>
          <w:szCs w:val="18"/>
          <w:lang w:val="en-US" w:eastAsia="zh-CN"/>
        </w:rPr>
      </w:pPr>
      <w:r>
        <w:rPr>
          <w:rFonts w:hint="eastAsia" w:ascii="宋体" w:hAnsi="宋体" w:eastAsia="宋体" w:cs="宋体"/>
          <w:color w:val="auto"/>
          <w:sz w:val="24"/>
          <w:szCs w:val="18"/>
        </w:rPr>
        <w:t>帐    号:</w:t>
      </w:r>
      <w:r>
        <w:rPr>
          <w:rFonts w:hint="eastAsia" w:ascii="宋体" w:hAnsi="宋体" w:eastAsia="宋体" w:cs="宋体"/>
          <w:color w:val="auto"/>
          <w:sz w:val="24"/>
          <w:szCs w:val="18"/>
          <w:u w:val="single"/>
        </w:rPr>
        <w:t xml:space="preserve"> </w:t>
      </w:r>
      <w:r>
        <w:rPr>
          <w:rFonts w:hint="eastAsia" w:ascii="宋体" w:hAnsi="宋体" w:eastAsia="宋体" w:cs="宋体"/>
          <w:color w:val="auto"/>
          <w:sz w:val="24"/>
          <w:szCs w:val="18"/>
          <w:u w:val="single"/>
          <w:lang w:val="en-US" w:eastAsia="zh-CN"/>
        </w:rPr>
        <w:t xml:space="preserve">                </w:t>
      </w:r>
    </w:p>
    <w:p w14:paraId="5C617EB4">
      <w:pPr>
        <w:pStyle w:val="2"/>
        <w:tabs>
          <w:tab w:val="left" w:pos="9360"/>
        </w:tabs>
        <w:spacing w:line="520" w:lineRule="exact"/>
        <w:ind w:left="560" w:leftChars="0" w:firstLine="0" w:firstLineChars="0"/>
        <w:rPr>
          <w:rFonts w:hint="eastAsia" w:ascii="宋体" w:hAnsi="宋体" w:eastAsia="宋体" w:cs="宋体"/>
          <w:color w:val="auto"/>
          <w:sz w:val="24"/>
          <w:szCs w:val="18"/>
          <w:lang w:val="en-US" w:eastAsia="zh-CN"/>
        </w:rPr>
      </w:pPr>
      <w:r>
        <w:rPr>
          <w:rFonts w:hint="eastAsia" w:ascii="宋体" w:hAnsi="宋体" w:eastAsia="宋体" w:cs="宋体"/>
          <w:color w:val="auto"/>
          <w:sz w:val="24"/>
          <w:szCs w:val="18"/>
        </w:rPr>
        <w:t>开 户 行:</w:t>
      </w:r>
      <w:r>
        <w:rPr>
          <w:rFonts w:hint="eastAsia" w:ascii="宋体" w:hAnsi="宋体" w:eastAsia="宋体" w:cs="宋体"/>
          <w:color w:val="auto"/>
          <w:sz w:val="24"/>
          <w:szCs w:val="18"/>
          <w:u w:val="single"/>
        </w:rPr>
        <w:t xml:space="preserve"> </w:t>
      </w:r>
      <w:r>
        <w:rPr>
          <w:rFonts w:hint="eastAsia" w:ascii="宋体" w:hAnsi="宋体" w:eastAsia="宋体" w:cs="宋体"/>
          <w:color w:val="auto"/>
          <w:sz w:val="24"/>
          <w:szCs w:val="18"/>
          <w:u w:val="single"/>
          <w:lang w:val="en-US" w:eastAsia="zh-CN"/>
        </w:rPr>
        <w:t xml:space="preserve">                </w:t>
      </w:r>
    </w:p>
    <w:p w14:paraId="1C2A5FB3">
      <w:pPr>
        <w:pStyle w:val="2"/>
        <w:tabs>
          <w:tab w:val="left" w:pos="9360"/>
        </w:tabs>
        <w:spacing w:line="520" w:lineRule="exact"/>
        <w:ind w:left="0" w:leftChars="0" w:firstLine="480" w:firstLineChars="200"/>
        <w:rPr>
          <w:rFonts w:hint="eastAsia" w:ascii="宋体" w:hAnsi="宋体" w:eastAsia="宋体" w:cs="宋体"/>
          <w:sz w:val="24"/>
          <w:szCs w:val="18"/>
          <w:u w:val="single"/>
        </w:rPr>
      </w:pPr>
      <w:r>
        <w:rPr>
          <w:rFonts w:hint="eastAsia" w:ascii="宋体" w:hAnsi="宋体" w:eastAsia="宋体" w:cs="宋体"/>
          <w:sz w:val="24"/>
          <w:szCs w:val="18"/>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5D2BDF48">
      <w:pPr>
        <w:pStyle w:val="2"/>
        <w:spacing w:line="520" w:lineRule="exact"/>
        <w:ind w:left="0" w:leftChars="0" w:firstLine="482" w:firstLineChars="200"/>
        <w:rPr>
          <w:rFonts w:hint="eastAsia" w:ascii="宋体" w:hAnsi="宋体" w:eastAsia="宋体" w:cs="宋体"/>
          <w:b/>
          <w:bCs/>
          <w:sz w:val="24"/>
          <w:szCs w:val="18"/>
        </w:rPr>
      </w:pPr>
      <w:r>
        <w:rPr>
          <w:rFonts w:hint="eastAsia" w:ascii="宋体" w:hAnsi="宋体" w:eastAsia="宋体" w:cs="宋体"/>
          <w:b/>
          <w:bCs/>
          <w:sz w:val="24"/>
          <w:szCs w:val="18"/>
          <w:lang w:eastAsia="zh-CN"/>
        </w:rPr>
        <w:t>六</w:t>
      </w:r>
      <w:r>
        <w:rPr>
          <w:rFonts w:hint="eastAsia" w:ascii="宋体" w:hAnsi="宋体" w:eastAsia="宋体" w:cs="宋体"/>
          <w:b/>
          <w:bCs/>
          <w:sz w:val="24"/>
          <w:szCs w:val="18"/>
        </w:rPr>
        <w:t>、违约责任</w:t>
      </w:r>
    </w:p>
    <w:p w14:paraId="49F1BBD5">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1、按《中华人民共和国民法典》中的相关条款执行。</w:t>
      </w:r>
    </w:p>
    <w:p w14:paraId="6C9E296E">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2、</w:t>
      </w:r>
      <w:r>
        <w:rPr>
          <w:rFonts w:hint="eastAsia" w:ascii="宋体" w:hAnsi="宋体" w:eastAsia="宋体" w:cs="宋体"/>
          <w:sz w:val="24"/>
          <w:szCs w:val="18"/>
          <w:lang w:val="en-US" w:eastAsia="zh-CN"/>
        </w:rPr>
        <w:t>乙方</w:t>
      </w:r>
      <w:r>
        <w:rPr>
          <w:rFonts w:hint="eastAsia" w:ascii="宋体" w:hAnsi="宋体" w:eastAsia="宋体" w:cs="宋体"/>
          <w:sz w:val="24"/>
          <w:szCs w:val="18"/>
        </w:rPr>
        <w:t>未按合同要求提供产品或产品质量不能满足技术要求，甲方有权终止合同，并保留追究乙方违约责任的权利。</w:t>
      </w:r>
    </w:p>
    <w:p w14:paraId="6CD442DC">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3、时间迟延的，违约方按照每天1%向对方承担违约责任。产品质量问题违约的，除了按照迟延时问计算违约金外，且还可以采取退货、换货等方式，由乙方承担一切费用。</w:t>
      </w:r>
    </w:p>
    <w:p w14:paraId="2145015E">
      <w:pPr>
        <w:pStyle w:val="2"/>
        <w:numPr>
          <w:ilvl w:val="0"/>
          <w:numId w:val="0"/>
        </w:numPr>
        <w:spacing w:line="520" w:lineRule="exact"/>
        <w:ind w:leftChars="200"/>
        <w:rPr>
          <w:rFonts w:hint="eastAsia" w:ascii="宋体" w:hAnsi="宋体" w:eastAsia="宋体" w:cs="宋体"/>
          <w:b/>
          <w:bCs/>
          <w:sz w:val="24"/>
          <w:szCs w:val="18"/>
        </w:rPr>
      </w:pPr>
      <w:r>
        <w:rPr>
          <w:rFonts w:hint="eastAsia" w:ascii="宋体" w:hAnsi="宋体" w:eastAsia="宋体" w:cs="宋体"/>
          <w:b/>
          <w:bCs/>
          <w:sz w:val="24"/>
          <w:szCs w:val="18"/>
          <w:lang w:eastAsia="zh-CN"/>
        </w:rPr>
        <w:t>七、</w:t>
      </w:r>
      <w:r>
        <w:rPr>
          <w:rFonts w:hint="eastAsia" w:ascii="宋体" w:hAnsi="宋体" w:eastAsia="宋体" w:cs="宋体"/>
          <w:b/>
          <w:bCs/>
          <w:sz w:val="24"/>
          <w:szCs w:val="18"/>
        </w:rPr>
        <w:t>不可抗力</w:t>
      </w:r>
    </w:p>
    <w:p w14:paraId="1807D9D4">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48FD47B6">
      <w:pPr>
        <w:pStyle w:val="2"/>
        <w:numPr>
          <w:ilvl w:val="0"/>
          <w:numId w:val="0"/>
        </w:numPr>
        <w:spacing w:line="520" w:lineRule="exact"/>
        <w:ind w:leftChars="200"/>
        <w:rPr>
          <w:rFonts w:hint="eastAsia" w:ascii="宋体" w:hAnsi="宋体" w:eastAsia="宋体" w:cs="宋体"/>
          <w:b/>
          <w:bCs/>
          <w:sz w:val="24"/>
          <w:szCs w:val="18"/>
        </w:rPr>
      </w:pPr>
      <w:r>
        <w:rPr>
          <w:rFonts w:hint="eastAsia" w:ascii="宋体" w:hAnsi="宋体" w:eastAsia="宋体" w:cs="宋体"/>
          <w:b/>
          <w:bCs/>
          <w:sz w:val="24"/>
          <w:szCs w:val="18"/>
          <w:lang w:eastAsia="zh-CN"/>
        </w:rPr>
        <w:t>八、</w:t>
      </w:r>
      <w:r>
        <w:rPr>
          <w:rFonts w:hint="eastAsia" w:ascii="宋体" w:hAnsi="宋体" w:eastAsia="宋体" w:cs="宋体"/>
          <w:b/>
          <w:bCs/>
          <w:sz w:val="24"/>
          <w:szCs w:val="18"/>
        </w:rPr>
        <w:t>争议解决方式</w:t>
      </w:r>
    </w:p>
    <w:p w14:paraId="0A97CA3F">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因本合同而发生的争议或纠纷，甲乙双方应先协商解决，协商不成时可向甲方所在地的人民法院提请诉讼。</w:t>
      </w:r>
    </w:p>
    <w:p w14:paraId="0503458C">
      <w:pPr>
        <w:pStyle w:val="2"/>
        <w:numPr>
          <w:ilvl w:val="0"/>
          <w:numId w:val="0"/>
        </w:numPr>
        <w:spacing w:line="520" w:lineRule="exact"/>
        <w:ind w:leftChars="200"/>
        <w:rPr>
          <w:rFonts w:hint="eastAsia" w:ascii="宋体" w:hAnsi="宋体" w:eastAsia="宋体" w:cs="宋体"/>
          <w:b/>
          <w:bCs/>
          <w:sz w:val="24"/>
          <w:szCs w:val="18"/>
        </w:rPr>
      </w:pPr>
      <w:r>
        <w:rPr>
          <w:rFonts w:hint="eastAsia" w:ascii="宋体" w:hAnsi="宋体" w:eastAsia="宋体" w:cs="宋体"/>
          <w:b/>
          <w:bCs/>
          <w:sz w:val="24"/>
          <w:szCs w:val="18"/>
          <w:lang w:eastAsia="zh-CN"/>
        </w:rPr>
        <w:t>九、</w:t>
      </w:r>
      <w:r>
        <w:rPr>
          <w:rFonts w:hint="eastAsia" w:ascii="宋体" w:hAnsi="宋体" w:eastAsia="宋体" w:cs="宋体"/>
          <w:b/>
          <w:bCs/>
          <w:sz w:val="24"/>
          <w:szCs w:val="18"/>
        </w:rPr>
        <w:t>合同生效</w:t>
      </w:r>
    </w:p>
    <w:p w14:paraId="171D93E5">
      <w:pPr>
        <w:pStyle w:val="2"/>
        <w:spacing w:line="520" w:lineRule="exact"/>
        <w:ind w:left="0" w:leftChars="0" w:firstLine="480" w:firstLineChars="200"/>
        <w:rPr>
          <w:rFonts w:hint="eastAsia" w:ascii="宋体" w:hAnsi="宋体" w:eastAsia="宋体" w:cs="宋体"/>
          <w:sz w:val="24"/>
          <w:szCs w:val="18"/>
        </w:rPr>
      </w:pPr>
      <w:r>
        <w:rPr>
          <w:rFonts w:hint="eastAsia" w:ascii="宋体" w:hAnsi="宋体" w:eastAsia="宋体" w:cs="宋体"/>
          <w:sz w:val="24"/>
          <w:szCs w:val="18"/>
        </w:rPr>
        <w:t>本合同自甲乙双方代表签字并盖章后生效。本合同一式肆份,甲乙双方各执贰份。本合同未尽事宜由甲乙双方协商解决，并作出书面补充规定（协议），补充规定作为本合同的组成部分，与本合同具有同等法律效力。</w:t>
      </w:r>
    </w:p>
    <w:p w14:paraId="5E90CBC8">
      <w:pPr>
        <w:pStyle w:val="2"/>
        <w:numPr>
          <w:ilvl w:val="0"/>
          <w:numId w:val="0"/>
        </w:numPr>
        <w:spacing w:line="520" w:lineRule="exact"/>
        <w:ind w:leftChars="200"/>
        <w:rPr>
          <w:rFonts w:hint="eastAsia" w:ascii="宋体" w:hAnsi="宋体" w:eastAsia="宋体" w:cs="宋体"/>
          <w:sz w:val="24"/>
          <w:szCs w:val="24"/>
          <w:lang w:val="en-US" w:eastAsia="zh-Hans"/>
        </w:rPr>
      </w:pPr>
      <w:r>
        <w:rPr>
          <w:rFonts w:hint="eastAsia" w:ascii="宋体" w:hAnsi="宋体" w:eastAsia="宋体" w:cs="宋体"/>
          <w:b/>
          <w:bCs/>
          <w:sz w:val="24"/>
          <w:szCs w:val="18"/>
          <w:lang w:val="en-US" w:eastAsia="zh-CN"/>
        </w:rPr>
        <w:t>十、其他</w:t>
      </w:r>
    </w:p>
    <w:p w14:paraId="6B64BFF4"/>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96382"/>
    <w:rsid w:val="79596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3"/>
    <w:basedOn w:val="1"/>
    <w:qFormat/>
    <w:uiPriority w:val="0"/>
    <w:pPr>
      <w:topLinePunct/>
      <w:spacing w:line="360" w:lineRule="auto"/>
      <w:ind w:left="199" w:leftChars="95" w:firstLine="210" w:firstLineChars="100"/>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2025-04-08T01:01:00Z</dcterms:created>
  <dc:creator>vvf</dc:creator>
  <cp:lastModifiedBy>vvf</cp:lastModifiedBy>
  <dcterms:modified xsi:type="dcterms:W3CDTF">2025-04-08T01:02:03Z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4BA3BB36215240F99E6E46BDF0D07295_11</vt:lpwstr>
  </property>
  <property fmtid="{D5CDD505-2E9C-101B-9397-08002B2CF9AE}" pid="4" name="KSOTemplateDocerSaveRecord">
    <vt:lpwstr>eyJoZGlkIjoiYzM0OGQ1NTVkMjYyZmFhMjg3MzU2ZDJjNmRkMGM0YmEiLCJ1c2VySWQiOiI1MDU0NTY4MDEifQ==</vt:lpwstr>
  </property>
</Properties>
</file>