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版本号：GXTC-A1-2557017420250401001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鄠邑校区大学生活动中心项目设计与工程咨询服务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GXTC-A1-25570174</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国信国际工程咨询集团股份有限公司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国信国际工程咨询集团股份有限公司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鄠邑校区大学生活动中心项目设计与工程咨询服务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GXTC-A1-25570174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鄠邑校区大学生活动中心项目设计与工程咨询服务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鄠邑校区大学生活动中心项目总建筑面积约1.5万平方米。本项目设计与工程咨询服务工作需完成项目可行性研究报告编制、方案设计、初步设计、设计概算与施工图设计等工作。工程设计周期：自收到设计任务书之日起45日历天完成施工图设计等其他相关内容。服务期限：自签订合同之日起，至工程竣工结算资料移交招标人后止。项目预算（最高限价）：215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人具备工程设计综合资质甲级，或建筑行业设计甲级及以上与风景园林工程设计专项资质，或建筑行业（建筑工程）专业设计甲级及以上与风景园林工程设计专项资质，并在人员、设备、资金等方面具备相应的设计能力。</w:t>
      </w:r>
    </w:p>
    <w:p>
      <w:pPr>
        <w:pStyle w:val="null3"/>
      </w:pPr>
      <w:r>
        <w:rPr>
          <w:rFonts w:ascii="仿宋_GB2312" w:hAnsi="仿宋_GB2312" w:cs="仿宋_GB2312" w:eastAsia="仿宋_GB2312"/>
        </w:rPr>
        <w:t>2、项目负责人执业资格：项目负责人具备【一级注册建筑师】或【一级注册结构工程师】执业资格，并在本单位登记注册。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国信国际工程咨询集团股份有限公司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开户名称：国信国际工程咨询集团股份有限公司陕西分公司</w:t>
            </w:r>
          </w:p>
          <w:p>
            <w:pPr>
              <w:pStyle w:val="null3"/>
            </w:pPr>
            <w:r>
              <w:rPr>
                <w:rFonts w:ascii="仿宋_GB2312" w:hAnsi="仿宋_GB2312" w:cs="仿宋_GB2312" w:eastAsia="仿宋_GB2312"/>
              </w:rPr>
              <w:t>开户银行：招商银行西安城南支行</w:t>
            </w:r>
          </w:p>
          <w:p>
            <w:pPr>
              <w:pStyle w:val="null3"/>
            </w:pPr>
            <w:r>
              <w:rPr>
                <w:rFonts w:ascii="仿宋_GB2312" w:hAnsi="仿宋_GB2312" w:cs="仿宋_GB2312" w:eastAsia="仿宋_GB2312"/>
              </w:rPr>
              <w:t>银行账号：1299054558101012500007265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计价格[2002]1980号）的通知和国家发展改革委员会办公厅颁发的《关于招标代理服务收费有关问题的通知》（发改办价格[2003]857号）的有关规定服务类收费标准的90%收取。服务费账号同保证金账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国信国际工程咨询集团股份有限公司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国信国际工程咨询集团股份有限公司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国信国际工程咨询集团股份有限公司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国信国际工程咨询集团股份有限公司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国信国际工程咨询集团股份有限公司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国信国际工程咨询集团股份有限公司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地址：陕西省西安市雁塔区南二环西段58号成长大厦20层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鄠邑校区大学生活动中心项目总建筑面积约1.5万平方米。本项目设计与工程咨询服务工作需完成项目可行性研究报告编制、方案设计、初步设计、设计概算与施工图设计等工作。详细内容详见附件，且此处与附件内容不一致时，以附件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2,150,000.00</w:t>
      </w:r>
    </w:p>
    <w:p>
      <w:pPr>
        <w:pStyle w:val="null3"/>
      </w:pPr>
      <w:r>
        <w:rPr>
          <w:rFonts w:ascii="仿宋_GB2312" w:hAnsi="仿宋_GB2312" w:cs="仿宋_GB2312" w:eastAsia="仿宋_GB2312"/>
        </w:rPr>
        <w:t>采购包最高限价（元）: 2,150,000.00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西安石油大学鄠邑校区大学生活动中心项目设计与工程咨询服务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标的名称：西安石油大学鄠邑校区大学生活动中心项目设计与工程咨询服务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工程设计范围、阶段与服务内容</w:t>
            </w:r>
          </w:p>
        </w:tc>
        <w:tc>
          <w:tcPr>
            <w:tcW w:type="dxa" w:w="2076"/>
          </w:tcPr>
          <w:p>
            <w:pPr>
              <w:pStyle w:val="null3"/>
              <w:ind w:left="120" w:firstLine="480"/>
            </w:pPr>
            <w:r>
              <w:rPr>
                <w:rFonts w:ascii="仿宋_GB2312" w:hAnsi="仿宋_GB2312" w:cs="仿宋_GB2312" w:eastAsia="仿宋_GB2312"/>
                <w:sz w:val="18"/>
              </w:rPr>
              <w:t>1.</w:t>
            </w:r>
            <w:r>
              <w:rPr>
                <w:rFonts w:ascii="仿宋_GB2312" w:hAnsi="仿宋_GB2312" w:cs="仿宋_GB2312" w:eastAsia="仿宋_GB2312"/>
                <w:sz w:val="18"/>
              </w:rPr>
              <w:t>工程设计范围：本次设计范围包含但不限于：</w:t>
            </w:r>
          </w:p>
          <w:p>
            <w:pPr>
              <w:pStyle w:val="null3"/>
              <w:ind w:firstLine="141"/>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智能化设计等施工图全部内容，设计图纸中不得出现二次深化设计或由专业厂商提供配套设计图纸字样</w:t>
            </w:r>
            <w:r>
              <w:rPr>
                <w:rFonts w:ascii="仿宋_GB2312" w:hAnsi="仿宋_GB2312" w:cs="仿宋_GB2312" w:eastAsia="仿宋_GB2312"/>
                <w:sz w:val="18"/>
              </w:rPr>
              <w:t>。</w:t>
            </w:r>
          </w:p>
          <w:p>
            <w:pPr>
              <w:pStyle w:val="null3"/>
              <w:ind w:left="105"/>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可行性研究报告咨询服务包括：为编制项目可行性研究而进行的所有调研、现场踏勘、资料收集、编制、评审以及根据审批要求进行报告修改等全部工作，投标人须确保项目可行研究通过政府相关部门审批。</w:t>
            </w:r>
          </w:p>
          <w:p>
            <w:pPr>
              <w:pStyle w:val="null3"/>
              <w:ind w:left="105"/>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根据</w:t>
            </w:r>
            <w:r>
              <w:rPr>
                <w:rFonts w:ascii="仿宋_GB2312" w:hAnsi="仿宋_GB2312" w:cs="仿宋_GB2312" w:eastAsia="仿宋_GB2312"/>
                <w:sz w:val="18"/>
              </w:rPr>
              <w:t>招标人</w:t>
            </w:r>
            <w:r>
              <w:rPr>
                <w:rFonts w:ascii="仿宋_GB2312" w:hAnsi="仿宋_GB2312" w:cs="仿宋_GB2312" w:eastAsia="仿宋_GB2312"/>
                <w:sz w:val="18"/>
              </w:rPr>
              <w:t>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负责组织专家评审并取得政府相关部门初步设计批复。</w:t>
            </w:r>
          </w:p>
          <w:p>
            <w:pPr>
              <w:pStyle w:val="null3"/>
              <w:ind w:left="105"/>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根据项目实际情况在满足建筑使用功能的前提下，做到布局合理、结构安全、造价合理、节约投资并充分体现绿色、低碳、节能的设计理念</w:t>
            </w:r>
            <w:r>
              <w:rPr>
                <w:rFonts w:ascii="仿宋_GB2312" w:hAnsi="仿宋_GB2312" w:cs="仿宋_GB2312" w:eastAsia="仿宋_GB2312"/>
                <w:sz w:val="18"/>
              </w:rPr>
              <w:t>。</w:t>
            </w:r>
          </w:p>
          <w:p>
            <w:pPr>
              <w:pStyle w:val="null3"/>
            </w:pPr>
            <w:r>
              <w:rPr>
                <w:rFonts w:ascii="仿宋_GB2312" w:hAnsi="仿宋_GB2312" w:cs="仿宋_GB2312" w:eastAsia="仿宋_GB2312"/>
                <w:sz w:val="18"/>
                <w:b/>
              </w:rPr>
              <w:t>2.工程设计阶段：</w:t>
            </w:r>
            <w:r>
              <w:rPr>
                <w:rFonts w:ascii="仿宋_GB2312" w:hAnsi="仿宋_GB2312" w:cs="仿宋_GB2312" w:eastAsia="仿宋_GB2312"/>
                <w:sz w:val="18"/>
              </w:rPr>
              <w:t>工程咨询、</w:t>
            </w:r>
            <w:r>
              <w:rPr>
                <w:rFonts w:ascii="仿宋_GB2312" w:hAnsi="仿宋_GB2312" w:cs="仿宋_GB2312" w:eastAsia="仿宋_GB2312"/>
                <w:sz w:val="18"/>
              </w:rPr>
              <w:t>方</w:t>
            </w:r>
            <w:r>
              <w:rPr>
                <w:rFonts w:ascii="仿宋_GB2312" w:hAnsi="仿宋_GB2312" w:cs="仿宋_GB2312" w:eastAsia="仿宋_GB2312"/>
                <w:sz w:val="18"/>
              </w:rPr>
              <w:t>案设计、初步设计及</w:t>
            </w:r>
            <w:r>
              <w:rPr>
                <w:rFonts w:ascii="仿宋_GB2312" w:hAnsi="仿宋_GB2312" w:cs="仿宋_GB2312" w:eastAsia="仿宋_GB2312"/>
                <w:sz w:val="18"/>
              </w:rPr>
              <w:t>设计</w:t>
            </w:r>
            <w:r>
              <w:rPr>
                <w:rFonts w:ascii="仿宋_GB2312" w:hAnsi="仿宋_GB2312" w:cs="仿宋_GB2312" w:eastAsia="仿宋_GB2312"/>
                <w:sz w:val="18"/>
              </w:rPr>
              <w:t>概算、施工图设计（含室内装修）</w:t>
            </w:r>
            <w:r>
              <w:rPr>
                <w:rFonts w:ascii="仿宋_GB2312" w:hAnsi="仿宋_GB2312" w:cs="仿宋_GB2312" w:eastAsia="仿宋_GB2312"/>
                <w:sz w:val="18"/>
              </w:rPr>
              <w:t>。</w:t>
            </w:r>
          </w:p>
          <w:p>
            <w:pPr>
              <w:pStyle w:val="null3"/>
            </w:pPr>
            <w:r>
              <w:rPr>
                <w:rFonts w:ascii="仿宋_GB2312" w:hAnsi="仿宋_GB2312" w:cs="仿宋_GB2312" w:eastAsia="仿宋_GB2312"/>
                <w:sz w:val="18"/>
                <w:b/>
              </w:rPr>
              <w:t>3.工程设计</w:t>
            </w:r>
            <w:r>
              <w:rPr>
                <w:rFonts w:ascii="仿宋_GB2312" w:hAnsi="仿宋_GB2312" w:cs="仿宋_GB2312" w:eastAsia="仿宋_GB2312"/>
                <w:sz w:val="18"/>
                <w:b/>
              </w:rPr>
              <w:t>服务内容包含但不限于：</w:t>
            </w:r>
          </w:p>
          <w:p>
            <w:pPr>
              <w:pStyle w:val="null3"/>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可行性研究报告编制</w:t>
            </w:r>
            <w:r>
              <w:rPr>
                <w:rFonts w:ascii="仿宋_GB2312" w:hAnsi="仿宋_GB2312" w:cs="仿宋_GB2312" w:eastAsia="仿宋_GB2312"/>
                <w:sz w:val="18"/>
              </w:rPr>
              <w:t>、</w:t>
            </w:r>
            <w:r>
              <w:rPr>
                <w:rFonts w:ascii="仿宋_GB2312" w:hAnsi="仿宋_GB2312" w:cs="仿宋_GB2312" w:eastAsia="仿宋_GB2312"/>
                <w:sz w:val="18"/>
              </w:rPr>
              <w:t>方</w:t>
            </w:r>
            <w:r>
              <w:rPr>
                <w:rFonts w:ascii="仿宋_GB2312" w:hAnsi="仿宋_GB2312" w:cs="仿宋_GB2312" w:eastAsia="仿宋_GB2312"/>
                <w:sz w:val="18"/>
              </w:rPr>
              <w:t>案设计、初步设计及</w:t>
            </w:r>
            <w:r>
              <w:rPr>
                <w:rFonts w:ascii="仿宋_GB2312" w:hAnsi="仿宋_GB2312" w:cs="仿宋_GB2312" w:eastAsia="仿宋_GB2312"/>
                <w:sz w:val="18"/>
              </w:rPr>
              <w:t>设计</w:t>
            </w:r>
            <w:r>
              <w:rPr>
                <w:rFonts w:ascii="仿宋_GB2312" w:hAnsi="仿宋_GB2312" w:cs="仿宋_GB2312" w:eastAsia="仿宋_GB2312"/>
                <w:sz w:val="18"/>
              </w:rPr>
              <w:t>概算、施工图设计（含室内装修）</w:t>
            </w:r>
            <w:r>
              <w:rPr>
                <w:rFonts w:ascii="仿宋_GB2312" w:hAnsi="仿宋_GB2312" w:cs="仿宋_GB2312" w:eastAsia="仿宋_GB2312"/>
                <w:sz w:val="18"/>
              </w:rPr>
              <w:t>等设计范围内所有内容</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配合并协助</w:t>
            </w:r>
            <w:r>
              <w:rPr>
                <w:rFonts w:ascii="仿宋_GB2312" w:hAnsi="仿宋_GB2312" w:cs="仿宋_GB2312" w:eastAsia="仿宋_GB2312"/>
                <w:sz w:val="18"/>
              </w:rPr>
              <w:t>招标人</w:t>
            </w:r>
            <w:r>
              <w:rPr>
                <w:rFonts w:ascii="仿宋_GB2312" w:hAnsi="仿宋_GB2312" w:cs="仿宋_GB2312" w:eastAsia="仿宋_GB2312"/>
                <w:sz w:val="18"/>
              </w:rPr>
              <w:t>进行项目报批报建、项目建议书编制工作</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负责完成</w:t>
            </w:r>
            <w:r>
              <w:rPr>
                <w:rFonts w:ascii="仿宋_GB2312" w:hAnsi="仿宋_GB2312" w:cs="仿宋_GB2312" w:eastAsia="仿宋_GB2312"/>
                <w:sz w:val="18"/>
              </w:rPr>
              <w:t>项目</w:t>
            </w:r>
            <w:r>
              <w:rPr>
                <w:rFonts w:ascii="仿宋_GB2312" w:hAnsi="仿宋_GB2312" w:cs="仿宋_GB2312" w:eastAsia="仿宋_GB2312"/>
                <w:sz w:val="18"/>
              </w:rPr>
              <w:t>可行性研究</w:t>
            </w:r>
            <w:r>
              <w:rPr>
                <w:rFonts w:ascii="仿宋_GB2312" w:hAnsi="仿宋_GB2312" w:cs="仿宋_GB2312" w:eastAsia="仿宋_GB2312"/>
                <w:sz w:val="18"/>
              </w:rPr>
              <w:t>报告</w:t>
            </w:r>
            <w:r>
              <w:rPr>
                <w:rFonts w:ascii="仿宋_GB2312" w:hAnsi="仿宋_GB2312" w:cs="仿宋_GB2312" w:eastAsia="仿宋_GB2312"/>
                <w:sz w:val="18"/>
              </w:rPr>
              <w:t>编制、评审</w:t>
            </w:r>
            <w:r>
              <w:rPr>
                <w:rFonts w:ascii="仿宋_GB2312" w:hAnsi="仿宋_GB2312" w:cs="仿宋_GB2312" w:eastAsia="仿宋_GB2312"/>
                <w:sz w:val="18"/>
              </w:rPr>
              <w:t>以及根据审批要求进行报告修改等全部工作，确保项目</w:t>
            </w:r>
            <w:r>
              <w:rPr>
                <w:rFonts w:ascii="仿宋_GB2312" w:hAnsi="仿宋_GB2312" w:cs="仿宋_GB2312" w:eastAsia="仿宋_GB2312"/>
                <w:sz w:val="18"/>
              </w:rPr>
              <w:t>可行研究</w:t>
            </w:r>
            <w:r>
              <w:rPr>
                <w:rFonts w:ascii="仿宋_GB2312" w:hAnsi="仿宋_GB2312" w:cs="仿宋_GB2312" w:eastAsia="仿宋_GB2312"/>
                <w:sz w:val="18"/>
              </w:rPr>
              <w:t>通过政府相关部门</w:t>
            </w:r>
            <w:r>
              <w:rPr>
                <w:rFonts w:ascii="仿宋_GB2312" w:hAnsi="仿宋_GB2312" w:cs="仿宋_GB2312" w:eastAsia="仿宋_GB2312"/>
                <w:sz w:val="18"/>
              </w:rPr>
              <w:t>审批</w:t>
            </w:r>
            <w:r>
              <w:rPr>
                <w:rFonts w:ascii="仿宋_GB2312" w:hAnsi="仿宋_GB2312" w:cs="仿宋_GB2312" w:eastAsia="仿宋_GB2312"/>
                <w:sz w:val="18"/>
              </w:rPr>
              <w:t>，</w:t>
            </w:r>
            <w:r>
              <w:rPr>
                <w:rFonts w:ascii="仿宋_GB2312" w:hAnsi="仿宋_GB2312" w:cs="仿宋_GB2312" w:eastAsia="仿宋_GB2312"/>
                <w:sz w:val="18"/>
              </w:rPr>
              <w:t>负责</w:t>
            </w:r>
            <w:r>
              <w:rPr>
                <w:rFonts w:ascii="仿宋_GB2312" w:hAnsi="仿宋_GB2312" w:cs="仿宋_GB2312" w:eastAsia="仿宋_GB2312"/>
                <w:sz w:val="18"/>
              </w:rPr>
              <w:t>编制初步设计及概算</w:t>
            </w:r>
            <w:r>
              <w:rPr>
                <w:rFonts w:ascii="仿宋_GB2312" w:hAnsi="仿宋_GB2312" w:cs="仿宋_GB2312" w:eastAsia="仿宋_GB2312"/>
                <w:sz w:val="18"/>
              </w:rPr>
              <w:t>并</w:t>
            </w:r>
            <w:r>
              <w:rPr>
                <w:rFonts w:ascii="仿宋_GB2312" w:hAnsi="仿宋_GB2312" w:cs="仿宋_GB2312" w:eastAsia="仿宋_GB2312"/>
                <w:sz w:val="18"/>
              </w:rPr>
              <w:t>确保通过</w:t>
            </w:r>
            <w:r>
              <w:rPr>
                <w:rFonts w:ascii="仿宋_GB2312" w:hAnsi="仿宋_GB2312" w:cs="仿宋_GB2312" w:eastAsia="仿宋_GB2312"/>
                <w:sz w:val="18"/>
              </w:rPr>
              <w:t>政府相关部门</w:t>
            </w:r>
            <w:r>
              <w:rPr>
                <w:rFonts w:ascii="仿宋_GB2312" w:hAnsi="仿宋_GB2312" w:cs="仿宋_GB2312" w:eastAsia="仿宋_GB2312"/>
                <w:sz w:val="18"/>
              </w:rPr>
              <w:t>审批</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提供施工前答疑交底、施工过程中的验收等现场服务工作。提供技术交底、图纸会审服务；配合施工全过程并参加相关验收</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配合</w:t>
            </w:r>
            <w:r>
              <w:rPr>
                <w:rFonts w:ascii="仿宋_GB2312" w:hAnsi="仿宋_GB2312" w:cs="仿宋_GB2312" w:eastAsia="仿宋_GB2312"/>
                <w:sz w:val="18"/>
              </w:rPr>
              <w:t>招标人</w:t>
            </w:r>
            <w:r>
              <w:rPr>
                <w:rFonts w:ascii="仿宋_GB2312" w:hAnsi="仿宋_GB2312" w:cs="仿宋_GB2312" w:eastAsia="仿宋_GB2312"/>
                <w:sz w:val="18"/>
              </w:rPr>
              <w:t>完成各类专项（包含但不限于绿色建筑评价、装配式建筑评价、海绵城市专项评价）评审及上会审查工作，负责组织专家评审并通过政府相关部门审批，相关费用计入</w:t>
            </w:r>
            <w:r>
              <w:rPr>
                <w:rFonts w:ascii="仿宋_GB2312" w:hAnsi="仿宋_GB2312" w:cs="仿宋_GB2312" w:eastAsia="仿宋_GB2312"/>
                <w:sz w:val="18"/>
              </w:rPr>
              <w:t>投标报价中</w:t>
            </w:r>
            <w:r>
              <w:rPr>
                <w:rFonts w:ascii="仿宋_GB2312" w:hAnsi="仿宋_GB2312" w:cs="仿宋_GB2312" w:eastAsia="仿宋_GB2312"/>
                <w:sz w:val="18"/>
              </w:rPr>
              <w:t>。</w:t>
            </w:r>
          </w:p>
          <w:p>
            <w:pPr>
              <w:pStyle w:val="null3"/>
            </w:pPr>
            <w:r>
              <w:rPr>
                <w:rFonts w:ascii="仿宋_GB2312" w:hAnsi="仿宋_GB2312" w:cs="仿宋_GB2312" w:eastAsia="仿宋_GB2312"/>
                <w:sz w:val="18"/>
                <w:b/>
              </w:rPr>
              <w:t>4.提交的成果要求：</w:t>
            </w:r>
            <w:r>
              <w:rPr>
                <w:rFonts w:ascii="仿宋_GB2312" w:hAnsi="仿宋_GB2312" w:cs="仿宋_GB2312" w:eastAsia="仿宋_GB2312"/>
                <w:sz w:val="18"/>
              </w:rPr>
              <w:t xml:space="preserve"> </w:t>
            </w:r>
          </w:p>
          <w:p>
            <w:pPr>
              <w:pStyle w:val="null3"/>
            </w:pPr>
            <w:r>
              <w:rPr>
                <w:rFonts w:ascii="仿宋_GB2312" w:hAnsi="仿宋_GB2312" w:cs="仿宋_GB2312" w:eastAsia="仿宋_GB2312"/>
                <w:sz w:val="18"/>
              </w:rPr>
              <w:t>（</w:t>
            </w:r>
            <w:r>
              <w:rPr>
                <w:rFonts w:ascii="仿宋_GB2312" w:hAnsi="仿宋_GB2312" w:cs="仿宋_GB2312" w:eastAsia="仿宋_GB2312"/>
                <w:sz w:val="18"/>
              </w:rPr>
              <w:t>1）可行性研究报告：</w:t>
            </w:r>
            <w:r>
              <w:rPr>
                <w:rFonts w:ascii="仿宋_GB2312" w:hAnsi="仿宋_GB2312" w:cs="仿宋_GB2312" w:eastAsia="仿宋_GB2312"/>
                <w:sz w:val="18"/>
              </w:rPr>
              <w:t>提供成果文件电子版</w:t>
            </w:r>
            <w:r>
              <w:rPr>
                <w:rFonts w:ascii="仿宋_GB2312" w:hAnsi="仿宋_GB2312" w:cs="仿宋_GB2312" w:eastAsia="仿宋_GB2312"/>
                <w:sz w:val="18"/>
              </w:rPr>
              <w:t>2份（含PDF及WORD格式），文字版</w:t>
            </w:r>
            <w:r>
              <w:rPr>
                <w:rFonts w:ascii="仿宋_GB2312" w:hAnsi="仿宋_GB2312" w:cs="仿宋_GB2312" w:eastAsia="仿宋_GB2312"/>
                <w:sz w:val="18"/>
              </w:rPr>
              <w:t>6</w:t>
            </w:r>
            <w:r>
              <w:rPr>
                <w:rFonts w:ascii="仿宋_GB2312" w:hAnsi="仿宋_GB2312" w:cs="仿宋_GB2312" w:eastAsia="仿宋_GB2312"/>
                <w:sz w:val="18"/>
              </w:rPr>
              <w:t>份，不含报送其他政府相关部门审批和评审所需的文件。</w:t>
            </w:r>
          </w:p>
          <w:p>
            <w:pPr>
              <w:pStyle w:val="null3"/>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方案设计：</w:t>
            </w:r>
            <w:r>
              <w:rPr>
                <w:rFonts w:ascii="仿宋_GB2312" w:hAnsi="仿宋_GB2312" w:cs="仿宋_GB2312" w:eastAsia="仿宋_GB2312"/>
                <w:sz w:val="18"/>
              </w:rPr>
              <w:t>提供彩色展板</w:t>
            </w:r>
            <w:r>
              <w:rPr>
                <w:rFonts w:ascii="仿宋_GB2312" w:hAnsi="仿宋_GB2312" w:cs="仿宋_GB2312" w:eastAsia="仿宋_GB2312"/>
                <w:sz w:val="18"/>
              </w:rPr>
              <w:t>1套（规格A0）及表达上述内容的纸质文件2套（规格A3）；所有设计成果同时提供电子文件。</w:t>
            </w:r>
          </w:p>
          <w:p>
            <w:pPr>
              <w:pStyle w:val="null3"/>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初步设计</w:t>
            </w:r>
            <w:r>
              <w:rPr>
                <w:rFonts w:ascii="仿宋_GB2312" w:hAnsi="仿宋_GB2312" w:cs="仿宋_GB2312" w:eastAsia="仿宋_GB2312"/>
                <w:sz w:val="18"/>
              </w:rPr>
              <w:t>、</w:t>
            </w:r>
            <w:r>
              <w:rPr>
                <w:rFonts w:ascii="仿宋_GB2312" w:hAnsi="仿宋_GB2312" w:cs="仿宋_GB2312" w:eastAsia="仿宋_GB2312"/>
                <w:sz w:val="18"/>
              </w:rPr>
              <w:t>设计概算</w:t>
            </w:r>
            <w:r>
              <w:rPr>
                <w:rFonts w:ascii="仿宋_GB2312" w:hAnsi="仿宋_GB2312" w:cs="仿宋_GB2312" w:eastAsia="仿宋_GB2312"/>
                <w:sz w:val="18"/>
              </w:rPr>
              <w:t>：</w:t>
            </w:r>
            <w:r>
              <w:rPr>
                <w:rFonts w:ascii="仿宋_GB2312" w:hAnsi="仿宋_GB2312" w:cs="仿宋_GB2312" w:eastAsia="仿宋_GB2312"/>
                <w:sz w:val="18"/>
              </w:rPr>
              <w:t>所有设计成果同时提供电子</w:t>
            </w:r>
            <w:r>
              <w:rPr>
                <w:rFonts w:ascii="仿宋_GB2312" w:hAnsi="仿宋_GB2312" w:cs="仿宋_GB2312" w:eastAsia="仿宋_GB2312"/>
                <w:sz w:val="18"/>
              </w:rPr>
              <w:t>版</w:t>
            </w:r>
            <w:r>
              <w:rPr>
                <w:rFonts w:ascii="仿宋_GB2312" w:hAnsi="仿宋_GB2312" w:cs="仿宋_GB2312" w:eastAsia="仿宋_GB2312"/>
                <w:sz w:val="18"/>
              </w:rPr>
              <w:t>2份（含</w:t>
            </w:r>
            <w:r>
              <w:rPr>
                <w:rFonts w:ascii="仿宋_GB2312" w:hAnsi="仿宋_GB2312" w:cs="仿宋_GB2312" w:eastAsia="仿宋_GB2312"/>
                <w:sz w:val="18"/>
              </w:rPr>
              <w:t>CAD、</w:t>
            </w:r>
            <w:r>
              <w:rPr>
                <w:rFonts w:ascii="仿宋_GB2312" w:hAnsi="仿宋_GB2312" w:cs="仿宋_GB2312" w:eastAsia="仿宋_GB2312"/>
                <w:sz w:val="18"/>
              </w:rPr>
              <w:t>PDF及WORD格式），</w:t>
            </w:r>
            <w:r>
              <w:rPr>
                <w:rFonts w:ascii="仿宋_GB2312" w:hAnsi="仿宋_GB2312" w:cs="仿宋_GB2312" w:eastAsia="仿宋_GB2312"/>
                <w:sz w:val="18"/>
              </w:rPr>
              <w:t>纸质</w:t>
            </w:r>
            <w:r>
              <w:rPr>
                <w:rFonts w:ascii="仿宋_GB2312" w:hAnsi="仿宋_GB2312" w:cs="仿宋_GB2312" w:eastAsia="仿宋_GB2312"/>
                <w:sz w:val="18"/>
              </w:rPr>
              <w:t>版</w:t>
            </w:r>
            <w:r>
              <w:rPr>
                <w:rFonts w:ascii="仿宋_GB2312" w:hAnsi="仿宋_GB2312" w:cs="仿宋_GB2312" w:eastAsia="仿宋_GB2312"/>
                <w:sz w:val="18"/>
              </w:rPr>
              <w:t>6</w:t>
            </w:r>
            <w:r>
              <w:rPr>
                <w:rFonts w:ascii="仿宋_GB2312" w:hAnsi="仿宋_GB2312" w:cs="仿宋_GB2312" w:eastAsia="仿宋_GB2312"/>
                <w:sz w:val="18"/>
              </w:rPr>
              <w:t>份，</w:t>
            </w:r>
            <w:r>
              <w:rPr>
                <w:rFonts w:ascii="仿宋_GB2312" w:hAnsi="仿宋_GB2312" w:cs="仿宋_GB2312" w:eastAsia="仿宋_GB2312"/>
                <w:sz w:val="18"/>
              </w:rPr>
              <w:t>概算书纸质版四套（广联达软格式</w:t>
            </w:r>
            <w:r>
              <w:rPr>
                <w:rFonts w:ascii="仿宋_GB2312" w:hAnsi="仿宋_GB2312" w:cs="仿宋_GB2312" w:eastAsia="仿宋_GB2312"/>
                <w:sz w:val="18"/>
              </w:rPr>
              <w:t>及</w:t>
            </w:r>
            <w:r>
              <w:rPr>
                <w:rFonts w:ascii="仿宋_GB2312" w:hAnsi="仿宋_GB2312" w:cs="仿宋_GB2312" w:eastAsia="仿宋_GB2312"/>
                <w:sz w:val="18"/>
              </w:rPr>
              <w:t>PDF格式</w:t>
            </w:r>
            <w:r>
              <w:rPr>
                <w:rFonts w:ascii="仿宋_GB2312" w:hAnsi="仿宋_GB2312" w:cs="仿宋_GB2312" w:eastAsia="仿宋_GB2312"/>
                <w:sz w:val="18"/>
              </w:rPr>
              <w:t>电子版一套）电子文件。</w:t>
            </w:r>
            <w:r>
              <w:rPr>
                <w:rFonts w:ascii="仿宋_GB2312" w:hAnsi="仿宋_GB2312" w:cs="仿宋_GB2312" w:eastAsia="仿宋_GB2312"/>
                <w:sz w:val="18"/>
              </w:rPr>
              <w:t>不含报送其他政府相关部门审批和评审所需的文件。</w:t>
            </w:r>
          </w:p>
          <w:p>
            <w:pPr>
              <w:pStyle w:val="null3"/>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施工图设计</w:t>
            </w:r>
            <w:r>
              <w:rPr>
                <w:rFonts w:ascii="仿宋_GB2312" w:hAnsi="仿宋_GB2312" w:cs="仿宋_GB2312" w:eastAsia="仿宋_GB2312"/>
                <w:sz w:val="18"/>
              </w:rPr>
              <w:t>（含室内装修）</w:t>
            </w:r>
            <w:r>
              <w:rPr>
                <w:rFonts w:ascii="仿宋_GB2312" w:hAnsi="仿宋_GB2312" w:cs="仿宋_GB2312" w:eastAsia="仿宋_GB2312"/>
                <w:sz w:val="18"/>
              </w:rPr>
              <w:t>：</w:t>
            </w:r>
            <w:r>
              <w:rPr>
                <w:rFonts w:ascii="仿宋_GB2312" w:hAnsi="仿宋_GB2312" w:cs="仿宋_GB2312" w:eastAsia="仿宋_GB2312"/>
                <w:sz w:val="18"/>
              </w:rPr>
              <w:t>施工图设计</w:t>
            </w:r>
            <w:r>
              <w:rPr>
                <w:rFonts w:ascii="仿宋_GB2312" w:hAnsi="仿宋_GB2312" w:cs="仿宋_GB2312" w:eastAsia="仿宋_GB2312"/>
                <w:sz w:val="18"/>
              </w:rPr>
              <w:t>纸质</w:t>
            </w:r>
            <w:r>
              <w:rPr>
                <w:rFonts w:ascii="仿宋_GB2312" w:hAnsi="仿宋_GB2312" w:cs="仿宋_GB2312" w:eastAsia="仿宋_GB2312"/>
                <w:sz w:val="18"/>
              </w:rPr>
              <w:t>蓝图</w:t>
            </w:r>
            <w:r>
              <w:rPr>
                <w:rFonts w:ascii="仿宋_GB2312" w:hAnsi="仿宋_GB2312" w:cs="仿宋_GB2312" w:eastAsia="仿宋_GB2312"/>
                <w:sz w:val="18"/>
              </w:rPr>
              <w:t>16套同时提供CAD、PDF</w:t>
            </w:r>
            <w:r>
              <w:rPr>
                <w:rFonts w:ascii="仿宋_GB2312" w:hAnsi="仿宋_GB2312" w:cs="仿宋_GB2312" w:eastAsia="仿宋_GB2312"/>
                <w:sz w:val="18"/>
              </w:rPr>
              <w:t>电子版</w:t>
            </w:r>
            <w:r>
              <w:rPr>
                <w:rFonts w:ascii="仿宋_GB2312" w:hAnsi="仿宋_GB2312" w:cs="仿宋_GB2312" w:eastAsia="仿宋_GB2312"/>
                <w:sz w:val="18"/>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工程设计周期及服务期限</w:t>
            </w:r>
          </w:p>
        </w:tc>
        <w:tc>
          <w:tcPr>
            <w:tcW w:type="dxa" w:w="2076"/>
          </w:tcPr>
          <w:p>
            <w:pPr>
              <w:pStyle w:val="null3"/>
            </w:pPr>
            <w:r>
              <w:rPr>
                <w:rFonts w:ascii="仿宋_GB2312" w:hAnsi="仿宋_GB2312" w:cs="仿宋_GB2312" w:eastAsia="仿宋_GB2312"/>
                <w:sz w:val="18"/>
              </w:rPr>
              <w:t>1.工程设计周期：自</w:t>
            </w:r>
            <w:r>
              <w:rPr>
                <w:rFonts w:ascii="仿宋_GB2312" w:hAnsi="仿宋_GB2312" w:cs="仿宋_GB2312" w:eastAsia="仿宋_GB2312"/>
                <w:sz w:val="18"/>
              </w:rPr>
              <w:t>收到设计任务书之</w:t>
            </w:r>
            <w:r>
              <w:rPr>
                <w:rFonts w:ascii="仿宋_GB2312" w:hAnsi="仿宋_GB2312" w:cs="仿宋_GB2312" w:eastAsia="仿宋_GB2312"/>
                <w:sz w:val="18"/>
              </w:rPr>
              <w:t>日起</w:t>
            </w:r>
            <w:r>
              <w:rPr>
                <w:rFonts w:ascii="仿宋_GB2312" w:hAnsi="仿宋_GB2312" w:cs="仿宋_GB2312" w:eastAsia="仿宋_GB2312"/>
                <w:sz w:val="18"/>
              </w:rPr>
              <w:t>45</w:t>
            </w:r>
            <w:r>
              <w:rPr>
                <w:rFonts w:ascii="仿宋_GB2312" w:hAnsi="仿宋_GB2312" w:cs="仿宋_GB2312" w:eastAsia="仿宋_GB2312"/>
                <w:sz w:val="18"/>
              </w:rPr>
              <w:t>日历天完成施工图设计等其他相关内容。</w:t>
            </w:r>
          </w:p>
          <w:p>
            <w:pPr>
              <w:pStyle w:val="null3"/>
            </w:pPr>
            <w:r>
              <w:rPr>
                <w:rFonts w:ascii="仿宋_GB2312" w:hAnsi="仿宋_GB2312" w:cs="仿宋_GB2312" w:eastAsia="仿宋_GB2312"/>
                <w:sz w:val="18"/>
              </w:rPr>
              <w:t>2.服务</w:t>
            </w:r>
            <w:r>
              <w:rPr>
                <w:rFonts w:ascii="仿宋_GB2312" w:hAnsi="仿宋_GB2312" w:cs="仿宋_GB2312" w:eastAsia="仿宋_GB2312"/>
                <w:sz w:val="18"/>
              </w:rPr>
              <w:t>期限</w:t>
            </w:r>
            <w:r>
              <w:rPr>
                <w:rFonts w:ascii="仿宋_GB2312" w:hAnsi="仿宋_GB2312" w:cs="仿宋_GB2312" w:eastAsia="仿宋_GB2312"/>
                <w:sz w:val="18"/>
              </w:rPr>
              <w:t>：自签订合同之日起，至工程竣工结算资料移交招标人后止。</w:t>
            </w:r>
          </w:p>
          <w:p>
            <w:pPr>
              <w:pStyle w:val="null3"/>
            </w:pP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设计及技术服务要求</w:t>
            </w:r>
          </w:p>
        </w:tc>
        <w:tc>
          <w:tcPr>
            <w:tcW w:type="dxa" w:w="2076"/>
          </w:tcPr>
          <w:p>
            <w:pPr>
              <w:pStyle w:val="null3"/>
              <w:ind w:left="105"/>
            </w:pPr>
            <w:r>
              <w:rPr>
                <w:rFonts w:ascii="仿宋_GB2312" w:hAnsi="仿宋_GB2312" w:cs="仿宋_GB2312" w:eastAsia="仿宋_GB2312"/>
                <w:sz w:val="18"/>
              </w:rPr>
              <w:t>1.本项目设计需贯彻集约节能、绿色建筑、智能建筑理念，真正实现节约、智能、绿色、低碳等生态文明的新建筑方式。</w:t>
            </w:r>
          </w:p>
          <w:p>
            <w:pPr>
              <w:pStyle w:val="null3"/>
            </w:pPr>
            <w:r>
              <w:rPr>
                <w:rFonts w:ascii="仿宋_GB2312" w:hAnsi="仿宋_GB2312" w:cs="仿宋_GB2312" w:eastAsia="仿宋_GB2312"/>
                <w:sz w:val="18"/>
              </w:rPr>
              <w:t>（</w:t>
            </w:r>
            <w:r>
              <w:rPr>
                <w:rFonts w:ascii="仿宋_GB2312" w:hAnsi="仿宋_GB2312" w:cs="仿宋_GB2312" w:eastAsia="仿宋_GB2312"/>
                <w:sz w:val="18"/>
              </w:rPr>
              <w:t>1）无障碍设计：需求和功能的分析，无障碍设计理念，体现人性化的细节设计；</w:t>
            </w:r>
          </w:p>
          <w:p>
            <w:pPr>
              <w:pStyle w:val="null3"/>
            </w:pPr>
            <w:r>
              <w:rPr>
                <w:rFonts w:ascii="仿宋_GB2312" w:hAnsi="仿宋_GB2312" w:cs="仿宋_GB2312" w:eastAsia="仿宋_GB2312"/>
                <w:sz w:val="18"/>
              </w:rPr>
              <w:t>（</w:t>
            </w:r>
            <w:r>
              <w:rPr>
                <w:rFonts w:ascii="仿宋_GB2312" w:hAnsi="仿宋_GB2312" w:cs="仿宋_GB2312" w:eastAsia="仿宋_GB2312"/>
                <w:sz w:val="18"/>
              </w:rPr>
              <w:t>2）方案效果：合适的建筑体量、高度和外立面风格的设计方案；</w:t>
            </w:r>
          </w:p>
          <w:p>
            <w:pPr>
              <w:pStyle w:val="null3"/>
            </w:pPr>
            <w:r>
              <w:rPr>
                <w:rFonts w:ascii="仿宋_GB2312" w:hAnsi="仿宋_GB2312" w:cs="仿宋_GB2312" w:eastAsia="仿宋_GB2312"/>
                <w:sz w:val="18"/>
              </w:rPr>
              <w:t>（</w:t>
            </w:r>
            <w:r>
              <w:rPr>
                <w:rFonts w:ascii="仿宋_GB2312" w:hAnsi="仿宋_GB2312" w:cs="仿宋_GB2312" w:eastAsia="仿宋_GB2312"/>
                <w:sz w:val="18"/>
              </w:rPr>
              <w:t>3）安全可靠：学生相对集中，需充分考虑消防疏散和紧急避难的需求；</w:t>
            </w:r>
          </w:p>
          <w:p>
            <w:pPr>
              <w:pStyle w:val="null3"/>
            </w:pPr>
            <w:r>
              <w:rPr>
                <w:rFonts w:ascii="仿宋_GB2312" w:hAnsi="仿宋_GB2312" w:cs="仿宋_GB2312" w:eastAsia="仿宋_GB2312"/>
                <w:sz w:val="18"/>
              </w:rPr>
              <w:t>（</w:t>
            </w:r>
            <w:r>
              <w:rPr>
                <w:rFonts w:ascii="仿宋_GB2312" w:hAnsi="仿宋_GB2312" w:cs="仿宋_GB2312" w:eastAsia="仿宋_GB2312"/>
                <w:sz w:val="18"/>
              </w:rPr>
              <w:t>4）整体布局：研判适宜面积和复合使用可能性，空间流线设计合理，各功能区配置得当；</w:t>
            </w:r>
          </w:p>
          <w:p>
            <w:pPr>
              <w:pStyle w:val="null3"/>
            </w:pPr>
            <w:r>
              <w:rPr>
                <w:rFonts w:ascii="仿宋_GB2312" w:hAnsi="仿宋_GB2312" w:cs="仿宋_GB2312" w:eastAsia="仿宋_GB2312"/>
                <w:sz w:val="18"/>
              </w:rPr>
              <w:t>（</w:t>
            </w:r>
            <w:r>
              <w:rPr>
                <w:rFonts w:ascii="仿宋_GB2312" w:hAnsi="仿宋_GB2312" w:cs="仿宋_GB2312" w:eastAsia="仿宋_GB2312"/>
                <w:sz w:val="18"/>
              </w:rPr>
              <w:t>5）竖向交通：竖向交通的合理设计；</w:t>
            </w:r>
          </w:p>
          <w:p>
            <w:pPr>
              <w:pStyle w:val="null3"/>
            </w:pPr>
            <w:r>
              <w:rPr>
                <w:rFonts w:ascii="仿宋_GB2312" w:hAnsi="仿宋_GB2312" w:cs="仿宋_GB2312" w:eastAsia="仿宋_GB2312"/>
                <w:sz w:val="18"/>
              </w:rPr>
              <w:t>（</w:t>
            </w:r>
            <w:r>
              <w:rPr>
                <w:rFonts w:ascii="仿宋_GB2312" w:hAnsi="仿宋_GB2312" w:cs="仿宋_GB2312" w:eastAsia="仿宋_GB2312"/>
                <w:sz w:val="18"/>
              </w:rPr>
              <w:t>6）空间合理：室内外交流、休憩空间的人性化设计；</w:t>
            </w:r>
          </w:p>
          <w:p>
            <w:pPr>
              <w:pStyle w:val="null3"/>
            </w:pPr>
            <w:r>
              <w:rPr>
                <w:rFonts w:ascii="仿宋_GB2312" w:hAnsi="仿宋_GB2312" w:cs="仿宋_GB2312" w:eastAsia="仿宋_GB2312"/>
                <w:sz w:val="18"/>
              </w:rPr>
              <w:t>（</w:t>
            </w:r>
            <w:r>
              <w:rPr>
                <w:rFonts w:ascii="仿宋_GB2312" w:hAnsi="仿宋_GB2312" w:cs="仿宋_GB2312" w:eastAsia="仿宋_GB2312"/>
                <w:sz w:val="18"/>
              </w:rPr>
              <w:t>7）道路规划：规范设计消防通道，遵循合理可落地的设计准则；</w:t>
            </w:r>
          </w:p>
          <w:p>
            <w:pPr>
              <w:pStyle w:val="null3"/>
            </w:pPr>
            <w:r>
              <w:rPr>
                <w:rFonts w:ascii="仿宋_GB2312" w:hAnsi="仿宋_GB2312" w:cs="仿宋_GB2312" w:eastAsia="仿宋_GB2312"/>
                <w:sz w:val="18"/>
              </w:rPr>
              <w:t>（</w:t>
            </w:r>
            <w:r>
              <w:rPr>
                <w:rFonts w:ascii="仿宋_GB2312" w:hAnsi="仿宋_GB2312" w:cs="仿宋_GB2312" w:eastAsia="仿宋_GB2312"/>
                <w:sz w:val="18"/>
              </w:rPr>
              <w:t>8）周边联系：与周边环境及公共空间的联系，合理的连接方式；</w:t>
            </w:r>
          </w:p>
          <w:p>
            <w:pPr>
              <w:pStyle w:val="null3"/>
            </w:pPr>
            <w:r>
              <w:rPr>
                <w:rFonts w:ascii="仿宋_GB2312" w:hAnsi="仿宋_GB2312" w:cs="仿宋_GB2312" w:eastAsia="仿宋_GB2312"/>
                <w:sz w:val="18"/>
              </w:rPr>
              <w:t>（</w:t>
            </w:r>
            <w:r>
              <w:rPr>
                <w:rFonts w:ascii="仿宋_GB2312" w:hAnsi="仿宋_GB2312" w:cs="仿宋_GB2312" w:eastAsia="仿宋_GB2312"/>
                <w:sz w:val="18"/>
              </w:rPr>
              <w:t>9）统筹规划：与周边地块进行统筹规划设计，塑造建筑外观形象，体现</w:t>
            </w:r>
            <w:r>
              <w:rPr>
                <w:rFonts w:ascii="仿宋_GB2312" w:hAnsi="仿宋_GB2312" w:cs="仿宋_GB2312" w:eastAsia="仿宋_GB2312"/>
                <w:sz w:val="18"/>
              </w:rPr>
              <w:t>“</w:t>
            </w:r>
            <w:r>
              <w:rPr>
                <w:rFonts w:ascii="仿宋_GB2312" w:hAnsi="仿宋_GB2312" w:cs="仿宋_GB2312" w:eastAsia="仿宋_GB2312"/>
                <w:sz w:val="18"/>
              </w:rPr>
              <w:t>标杆性</w:t>
            </w:r>
            <w:r>
              <w:rPr>
                <w:rFonts w:ascii="仿宋_GB2312" w:hAnsi="仿宋_GB2312" w:cs="仿宋_GB2312" w:eastAsia="仿宋_GB2312"/>
                <w:sz w:val="18"/>
              </w:rPr>
              <w:t>”</w:t>
            </w:r>
            <w:r>
              <w:rPr>
                <w:rFonts w:ascii="仿宋_GB2312" w:hAnsi="仿宋_GB2312" w:cs="仿宋_GB2312" w:eastAsia="仿宋_GB2312"/>
                <w:sz w:val="18"/>
              </w:rPr>
              <w:t>意义，体现学生</w:t>
            </w:r>
            <w:r>
              <w:rPr>
                <w:rFonts w:ascii="仿宋_GB2312" w:hAnsi="仿宋_GB2312" w:cs="仿宋_GB2312" w:eastAsia="仿宋_GB2312"/>
                <w:sz w:val="18"/>
              </w:rPr>
              <w:t>社团及文体活动</w:t>
            </w:r>
            <w:r>
              <w:rPr>
                <w:rFonts w:ascii="仿宋_GB2312" w:hAnsi="仿宋_GB2312" w:cs="仿宋_GB2312" w:eastAsia="仿宋_GB2312"/>
                <w:sz w:val="18"/>
              </w:rPr>
              <w:t>功能；</w:t>
            </w:r>
          </w:p>
          <w:p>
            <w:pPr>
              <w:pStyle w:val="null3"/>
            </w:pPr>
            <w:r>
              <w:rPr>
                <w:rFonts w:ascii="仿宋_GB2312" w:hAnsi="仿宋_GB2312" w:cs="仿宋_GB2312" w:eastAsia="仿宋_GB2312"/>
                <w:sz w:val="18"/>
              </w:rPr>
              <w:t>（</w:t>
            </w:r>
            <w:r>
              <w:rPr>
                <w:rFonts w:ascii="仿宋_GB2312" w:hAnsi="仿宋_GB2312" w:cs="仿宋_GB2312" w:eastAsia="仿宋_GB2312"/>
                <w:sz w:val="18"/>
              </w:rPr>
              <w:t>10）生态建筑：充分考虑鄠邑区气候，创造良好、舒适的环境；</w:t>
            </w:r>
          </w:p>
          <w:p>
            <w:pPr>
              <w:pStyle w:val="null3"/>
            </w:pPr>
            <w:r>
              <w:rPr>
                <w:rFonts w:ascii="仿宋_GB2312" w:hAnsi="仿宋_GB2312" w:cs="仿宋_GB2312" w:eastAsia="仿宋_GB2312"/>
                <w:sz w:val="18"/>
              </w:rPr>
              <w:t>（</w:t>
            </w:r>
            <w:r>
              <w:rPr>
                <w:rFonts w:ascii="仿宋_GB2312" w:hAnsi="仿宋_GB2312" w:cs="仿宋_GB2312" w:eastAsia="仿宋_GB2312"/>
                <w:sz w:val="18"/>
              </w:rPr>
              <w:t>11）装配式建筑：适当考虑装配式建筑的要求，便于工业化生产，快速建造；符合政府规定及评审要求。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12）限额设计：综合考虑功能、结构、成本及建设周期等因素，适当考虑装配式建造的应用，杜绝过度追求造型，而增加建造难度和建设成本。鼓励建筑的墙体及室内材料采用简易环保材料。做到设计实用、经济、美观、环保、节约。</w:t>
            </w:r>
          </w:p>
          <w:p>
            <w:pPr>
              <w:pStyle w:val="null3"/>
            </w:pPr>
            <w:r>
              <w:rPr>
                <w:rFonts w:ascii="仿宋_GB2312" w:hAnsi="仿宋_GB2312" w:cs="仿宋_GB2312" w:eastAsia="仿宋_GB2312"/>
                <w:sz w:val="18"/>
              </w:rPr>
              <w:t>（</w:t>
            </w:r>
            <w:r>
              <w:rPr>
                <w:rFonts w:ascii="仿宋_GB2312" w:hAnsi="仿宋_GB2312" w:cs="仿宋_GB2312" w:eastAsia="仿宋_GB2312"/>
                <w:sz w:val="18"/>
              </w:rPr>
              <w:t>13）绿色建筑：按照陕西省绿色建筑要求进行绿色设计。</w:t>
            </w:r>
          </w:p>
          <w:p>
            <w:pPr>
              <w:pStyle w:val="null3"/>
            </w:pPr>
            <w:r>
              <w:rPr>
                <w:rFonts w:ascii="仿宋_GB2312" w:hAnsi="仿宋_GB2312" w:cs="仿宋_GB2312" w:eastAsia="仿宋_GB2312"/>
                <w:sz w:val="18"/>
              </w:rPr>
              <w:t>（</w:t>
            </w:r>
            <w:r>
              <w:rPr>
                <w:rFonts w:ascii="仿宋_GB2312" w:hAnsi="仿宋_GB2312" w:cs="仿宋_GB2312" w:eastAsia="仿宋_GB2312"/>
                <w:sz w:val="18"/>
              </w:rPr>
              <w:t>14）消防系统、设施、设备设计：应符合国家现行消防相关规范要求。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15）室外工程及景观绿化设计：须符合现行规范要求并满足政府规划审批部门审批要求，达到编制工程量清单及指导施工的设计深度。</w:t>
            </w:r>
          </w:p>
          <w:p>
            <w:pPr>
              <w:pStyle w:val="null3"/>
            </w:pPr>
            <w:r>
              <w:rPr>
                <w:rFonts w:ascii="仿宋_GB2312" w:hAnsi="仿宋_GB2312" w:cs="仿宋_GB2312" w:eastAsia="仿宋_GB2312"/>
                <w:sz w:val="18"/>
              </w:rPr>
              <w:t>2.设计原则</w:t>
            </w:r>
          </w:p>
          <w:p>
            <w:pPr>
              <w:pStyle w:val="null3"/>
            </w:pPr>
            <w:r>
              <w:rPr>
                <w:rFonts w:ascii="仿宋_GB2312" w:hAnsi="仿宋_GB2312" w:cs="仿宋_GB2312" w:eastAsia="仿宋_GB2312"/>
                <w:sz w:val="18"/>
              </w:rPr>
              <w:t>(1)建筑文化性</w:t>
            </w:r>
          </w:p>
          <w:p>
            <w:pPr>
              <w:pStyle w:val="null3"/>
              <w:ind w:firstLine="480"/>
            </w:pPr>
            <w:r>
              <w:rPr>
                <w:rFonts w:ascii="仿宋_GB2312" w:hAnsi="仿宋_GB2312" w:cs="仿宋_GB2312" w:eastAsia="仿宋_GB2312"/>
                <w:sz w:val="18"/>
              </w:rPr>
              <w:t>满足功能需求的基础上，着重文化需求，强调品质型、未来性，在方案设计中体现学校特色，同时符合整体空间所追求的文脉特征。</w:t>
            </w:r>
          </w:p>
          <w:p>
            <w:pPr>
              <w:pStyle w:val="null3"/>
            </w:pPr>
            <w:r>
              <w:rPr>
                <w:rFonts w:ascii="仿宋_GB2312" w:hAnsi="仿宋_GB2312" w:cs="仿宋_GB2312" w:eastAsia="仿宋_GB2312"/>
                <w:sz w:val="18"/>
              </w:rPr>
              <w:t>(2)融合现有校园规划环境</w:t>
            </w:r>
          </w:p>
          <w:p>
            <w:pPr>
              <w:pStyle w:val="null3"/>
              <w:ind w:firstLine="480"/>
            </w:pPr>
            <w:r>
              <w:rPr>
                <w:rFonts w:ascii="仿宋_GB2312" w:hAnsi="仿宋_GB2312" w:cs="仿宋_GB2312" w:eastAsia="仿宋_GB2312"/>
                <w:sz w:val="18"/>
              </w:rPr>
              <w:t>考虑学校现有的建筑风貌，要注意避免对传统建筑的重复设计，尊重校区环境，注重差异与提升。在体现建筑使用功能的前提下，考虑已有建筑的存在形态，将自然与建筑融为一体。</w:t>
            </w:r>
          </w:p>
          <w:p>
            <w:pPr>
              <w:pStyle w:val="null3"/>
            </w:pPr>
            <w:r>
              <w:rPr>
                <w:rFonts w:ascii="仿宋_GB2312" w:hAnsi="仿宋_GB2312" w:cs="仿宋_GB2312" w:eastAsia="仿宋_GB2312"/>
                <w:sz w:val="18"/>
              </w:rPr>
              <w:t>(3)注重多视角展现建筑形象和校园风貌</w:t>
            </w:r>
          </w:p>
          <w:p>
            <w:pPr>
              <w:pStyle w:val="null3"/>
              <w:ind w:firstLine="480"/>
            </w:pPr>
            <w:r>
              <w:rPr>
                <w:rFonts w:ascii="仿宋_GB2312" w:hAnsi="仿宋_GB2312" w:cs="仿宋_GB2312" w:eastAsia="仿宋_GB2312"/>
                <w:sz w:val="18"/>
              </w:rPr>
              <w:t>立足校园文化的外在表现形式和向外界传达特色的窗口，把握项目细节，统筹多方面、多视角、多位置形象设计，提升校园展示度，展现学校文化</w:t>
            </w:r>
            <w:r>
              <w:rPr>
                <w:rFonts w:ascii="仿宋_GB2312" w:hAnsi="仿宋_GB2312" w:cs="仿宋_GB2312" w:eastAsia="仿宋_GB2312"/>
                <w:sz w:val="18"/>
              </w:rPr>
              <w:t>底蕴</w:t>
            </w:r>
            <w:r>
              <w:rPr>
                <w:rFonts w:ascii="仿宋_GB2312" w:hAnsi="仿宋_GB2312" w:cs="仿宋_GB2312" w:eastAsia="仿宋_GB2312"/>
                <w:sz w:val="18"/>
              </w:rPr>
              <w:t>及精神风貌。</w:t>
            </w:r>
          </w:p>
          <w:p>
            <w:pPr>
              <w:pStyle w:val="null3"/>
            </w:pPr>
            <w:r>
              <w:rPr>
                <w:rFonts w:ascii="仿宋_GB2312" w:hAnsi="仿宋_GB2312" w:cs="仿宋_GB2312" w:eastAsia="仿宋_GB2312"/>
                <w:sz w:val="18"/>
              </w:rPr>
              <w:t>(4)节能可持续设计</w:t>
            </w:r>
          </w:p>
          <w:p>
            <w:pPr>
              <w:pStyle w:val="null3"/>
              <w:ind w:firstLine="480"/>
            </w:pPr>
            <w:r>
              <w:rPr>
                <w:rFonts w:ascii="仿宋_GB2312" w:hAnsi="仿宋_GB2312" w:cs="仿宋_GB2312" w:eastAsia="仿宋_GB2312"/>
                <w:sz w:val="18"/>
              </w:rPr>
              <w:t>根据当地特殊气候条件，通过适当的建筑空间组织和设计，提供良好朝向和遮阳通风的室内外空间，最大限度地利用自然通风和采光以降低能耗。可对抗西北地区严寒、夏季极端情况高热等恶劣极端天气，减少公共建筑维护成本。除特殊功能的空间，其它建筑空间设计应强调功能的通用性，使用功能可以灵活化，避免后期大规模改造，提高使用率。应贯彻以人为本的设计思想，着重使用期的节能措施。</w:t>
            </w:r>
          </w:p>
          <w:p>
            <w:pPr>
              <w:pStyle w:val="null3"/>
            </w:pPr>
            <w:r>
              <w:rPr>
                <w:rFonts w:ascii="仿宋_GB2312" w:hAnsi="仿宋_GB2312" w:cs="仿宋_GB2312" w:eastAsia="仿宋_GB2312"/>
                <w:sz w:val="18"/>
              </w:rPr>
              <w:t>(5)智能化设计要求</w:t>
            </w:r>
          </w:p>
          <w:p>
            <w:pPr>
              <w:pStyle w:val="null3"/>
            </w:pPr>
            <w:r>
              <w:rPr>
                <w:rFonts w:ascii="仿宋_GB2312" w:hAnsi="仿宋_GB2312" w:cs="仿宋_GB2312" w:eastAsia="仿宋_GB2312"/>
                <w:sz w:val="18"/>
              </w:rPr>
              <w:t>智能化设计应包含网络、监控、</w:t>
            </w:r>
            <w:r>
              <w:rPr>
                <w:rFonts w:ascii="仿宋_GB2312" w:hAnsi="仿宋_GB2312" w:cs="仿宋_GB2312" w:eastAsia="仿宋_GB2312"/>
                <w:sz w:val="18"/>
              </w:rPr>
              <w:t>广播</w:t>
            </w:r>
            <w:r>
              <w:rPr>
                <w:rFonts w:ascii="仿宋_GB2312" w:hAnsi="仿宋_GB2312" w:cs="仿宋_GB2312" w:eastAsia="仿宋_GB2312"/>
                <w:sz w:val="18"/>
              </w:rPr>
              <w:t>系统等加强内部联动，呈现智慧智能、艺术美观的建筑效果，增强与周边建筑的衔接。</w:t>
            </w:r>
            <w:r>
              <w:rPr>
                <w:rFonts w:ascii="仿宋_GB2312" w:hAnsi="仿宋_GB2312" w:cs="仿宋_GB2312" w:eastAsia="仿宋_GB2312"/>
                <w:sz w:val="18"/>
              </w:rPr>
              <w:t>出入</w:t>
            </w:r>
            <w:r>
              <w:rPr>
                <w:rFonts w:ascii="仿宋_GB2312" w:hAnsi="仿宋_GB2312" w:cs="仿宋_GB2312" w:eastAsia="仿宋_GB2312"/>
                <w:sz w:val="18"/>
              </w:rPr>
              <w:t>口采用智能刷卡或校园卡方式进入，并充分考虑网络后期扩展兼容等内容。</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投标报价要求</w:t>
            </w:r>
          </w:p>
        </w:tc>
        <w:tc>
          <w:tcPr>
            <w:tcW w:type="dxa" w:w="2076"/>
          </w:tcPr>
          <w:p>
            <w:pPr>
              <w:pStyle w:val="null3"/>
            </w:pPr>
            <w:r>
              <w:rPr>
                <w:rFonts w:ascii="仿宋_GB2312" w:hAnsi="仿宋_GB2312" w:cs="仿宋_GB2312" w:eastAsia="仿宋_GB2312"/>
                <w:sz w:val="18"/>
              </w:rPr>
              <w:t>投标报价应是完成招标范围内全部工作内容的价格体现，包括但不限于差旅费、会议费、设计费用、进出场费、设计成果制作费用、设计配合费用、配合图纸审批、验收、中标代理服务费、后续服务费用、后期手续办理相关费用等完成本项目目标的一切费用。投标文件一经提交，则将被视为发包内容的全部费用已经包含在投标报价内，投标人亦不得以任何理由在投标报价中重复计价。除合同另有约定外，对中标人提出的任何追加报价，招标人将不予考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除项目负责人外团队成员至少包含7人，满足建筑、结构、电气、暖通、给排水、工程造价、工程咨询专业，每个专业各配1人及以上。</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自签订合同之日起，至工程竣工结算资料移交招标人后止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验收须以合同、招标文件及投标文件、澄清、及国家相应的标准、规范等为依据。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可行性研究报告通过政府有关部门审批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设计方案、初步设计提交并经招标人确认，并通过政府有关部门审批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施工图设计成果（施工图设计纸质蓝图、CAD、PDF）提交并经招标人接收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施工图纸现场交底答疑工作结束</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施工单位工程竣工结算资料移交后招标人后，招标人以施工图审查后的建筑面积为准调整签约合同价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保证金提交注意事项：（1）请投标人在汇款时务必注明所投标项目的招标编号，否则，因款项用途不明导致投标无效等后果由投标人自行承担。（2）请各投标人在投标截止时间前3日，按招标文件的要求向招标代理机构递交投标保证金，投标截止时间之后递交的投标保证金将被拒绝。2.为顺利推进政府采购电子化交易平台试点应用工作，供应商需要在线提交所有通过电子化交易平台实施的政府采购项目的投标文件，同时，线下提交响应文件正本壹份、副本贰份、电子版壹份（U盘一套标明供应商名称，随正本密封）。若系统电子投标文件与纸质投标文件不一致的，以系统电子投标文件为准。请于投标文件递交截止时间前将纸质版文件和U盘密封完好移交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附件2供应商财务状况证明文件.docx 投标函 附件1具有独立承担民事责任能力的法人或其他组织.docx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附件2供应商财务状况证明文件.docx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工程设计综合资质甲级，或建筑行业设计甲级及以上与风景园林工程设计专项资质，或建筑行业（建筑工程）专业设计甲级及以上与风景园林工程设计专项资质，并在人员、设备、资金等方面具备相应的设计能力。</w:t>
            </w:r>
          </w:p>
        </w:tc>
        <w:tc>
          <w:tcPr>
            <w:tcW w:type="dxa" w:w="1661"/>
          </w:tcPr>
          <w:p>
            <w:pPr>
              <w:pStyle w:val="null3"/>
            </w:pPr>
            <w:r>
              <w:rPr>
                <w:rFonts w:ascii="仿宋_GB2312" w:hAnsi="仿宋_GB2312" w:cs="仿宋_GB2312" w:eastAsia="仿宋_GB2312"/>
              </w:rPr>
              <w:t>附件3其他资格证明文件.docx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项目负责人执业资格</w:t>
            </w:r>
          </w:p>
        </w:tc>
        <w:tc>
          <w:tcPr>
            <w:tcW w:type="dxa" w:w="3322"/>
          </w:tcPr>
          <w:p>
            <w:pPr>
              <w:pStyle w:val="null3"/>
            </w:pPr>
            <w:r>
              <w:rPr>
                <w:rFonts w:ascii="仿宋_GB2312" w:hAnsi="仿宋_GB2312" w:cs="仿宋_GB2312" w:eastAsia="仿宋_GB2312"/>
              </w:rPr>
              <w:t>项目负责人具备【一级注册建筑师】或【一级注册结构工程师】执业资格，并在本单位登记注册。</w:t>
            </w:r>
          </w:p>
        </w:tc>
        <w:tc>
          <w:tcPr>
            <w:tcW w:type="dxa" w:w="1661"/>
          </w:tcPr>
          <w:p>
            <w:pPr>
              <w:pStyle w:val="null3"/>
            </w:pPr>
            <w:r>
              <w:rPr>
                <w:rFonts w:ascii="仿宋_GB2312" w:hAnsi="仿宋_GB2312" w:cs="仿宋_GB2312" w:eastAsia="仿宋_GB2312"/>
              </w:rPr>
              <w:t>附件3其他资格证明文件.docx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中小企业声明函 附件6拟投入本项目的人员简历表.docx 附件1具有独立承担民事责任能力的法人或其他组织.docx 附件7服务方案.docx 附件3其他资格证明文件.docx 附件2供应商财务状况证明文件.docx 投标函 残疾人福利性单位声明函 附件5拟投入本项目的项目负责人简历表.docx 标的清单 投标文件封面 附件4业绩一览表.docx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（2）投标报价表填写符合要求； （3）计量单位、报价货币均符合招标文件要求； 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符合招标文件第三章“3.3商务要求”。</w:t>
            </w:r>
          </w:p>
        </w:tc>
        <w:tc>
          <w:tcPr>
            <w:tcW w:type="dxa" w:w="1661"/>
          </w:tcPr>
          <w:p>
            <w:pPr>
              <w:pStyle w:val="null3"/>
            </w:pPr>
            <w:r>
              <w:rPr>
                <w:rFonts w:ascii="仿宋_GB2312" w:hAnsi="仿宋_GB2312" w:cs="仿宋_GB2312" w:eastAsia="仿宋_GB2312"/>
              </w:rPr>
              <w:t>附件7服务方案.docx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符合招标文件第三章“3.2服务内容及服务要求响应”中★条款要求。</w:t>
            </w:r>
          </w:p>
        </w:tc>
        <w:tc>
          <w:tcPr>
            <w:tcW w:type="dxa" w:w="1661"/>
          </w:tcPr>
          <w:p>
            <w:pPr>
              <w:pStyle w:val="null3"/>
            </w:pPr>
            <w:r>
              <w:rPr>
                <w:rFonts w:ascii="仿宋_GB2312" w:hAnsi="仿宋_GB2312" w:cs="仿宋_GB2312" w:eastAsia="仿宋_GB2312"/>
              </w:rPr>
              <w:t>附件7服务方案.docx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投标人有法律、规章、规范性文件和采购文件规定的其他无效情形，按无效响应处理。</w:t>
            </w:r>
          </w:p>
        </w:tc>
        <w:tc>
          <w:tcPr>
            <w:tcW w:type="dxa" w:w="1661"/>
          </w:tcPr>
          <w:p>
            <w:pPr>
              <w:pStyle w:val="null3"/>
            </w:pPr>
            <w:r>
              <w:rPr>
                <w:rFonts w:ascii="仿宋_GB2312" w:hAnsi="仿宋_GB2312" w:cs="仿宋_GB2312" w:eastAsia="仿宋_GB2312"/>
              </w:rPr>
              <w:t>开标一览表 中小企业声明函 附件6拟投入本项目的人员简历表.docx 附件1具有独立承担民事责任能力的法人或其他组织.docx 附件7服务方案.docx 附件3其他资格证明文件.docx 附件2供应商财务状况证明文件.docx 投标函 残疾人福利性单位声明函 附件5拟投入本项目的项目负责人简历表.docx 标的清单 附件4业绩一览表.docx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投标人提供自2022年03月01日起至投标文件递交截止时间公共建筑工程类设计业绩证明材料，每提供1项公共建筑工程类设计项目业绩得0.5分，最多得2分。 评审依据：提供合同复印件或扫描件并加盖投标人公章证明业绩有效。时间以合同签订时间为准。企业业绩与项目负责人业绩不重复打分。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附件4业绩一览表.docx</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项目负责人具备高级以上职称资格得2分。 评审依据：提供人员的身份证、职称证书、与投标人签订的劳动合同、提供所在单位近一年（2024年03月01日至投标文件递交截止时间）内任意1个月社保证明。未提供或提供资料不完整者，相应人员不予认定和赋分。提供材料须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附件5拟投入本项目的项目负责人简历表.docx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提供项目负责人自2022年03月01日起至投标文件递交截止时间参与过类似设计业绩证明材料，每提供1项公共建筑类设计项目业绩的得0.5分，最多得2分。 评审依据：提供中标通知书或合同的复印件或扫描件或其他项目负责人业绩的支撑证明材料（例如甲方出具加盖公章的证明或设计合同中直接体现项目负责人姓名）。业绩所属时间以合同签订时间或中标通知书签发时间为准。企业业绩与项目负责人业绩不重复打分。提供材料须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附件5拟投入本项目的项目负责人简历表.docx</w:t>
            </w:r>
          </w:p>
        </w:tc>
      </w:tr>
      <w:tr>
        <w:tc>
          <w:tcPr>
            <w:tcW w:type="dxa" w:w="831"/>
            <w:vMerge/>
          </w:tcPr>
          <w:p/>
        </w:tc>
        <w:tc>
          <w:tcPr>
            <w:tcW w:type="dxa" w:w="1661"/>
          </w:tcPr>
          <w:p>
            <w:pPr>
              <w:pStyle w:val="null3"/>
            </w:pPr>
            <w:r>
              <w:rPr>
                <w:rFonts w:ascii="仿宋_GB2312" w:hAnsi="仿宋_GB2312" w:cs="仿宋_GB2312" w:eastAsia="仿宋_GB2312"/>
              </w:rPr>
              <w:t>设计人员配备情况</w:t>
            </w:r>
          </w:p>
        </w:tc>
        <w:tc>
          <w:tcPr>
            <w:tcW w:type="dxa" w:w="2492"/>
          </w:tcPr>
          <w:p>
            <w:pPr>
              <w:pStyle w:val="null3"/>
            </w:pPr>
            <w:r>
              <w:rPr>
                <w:rFonts w:ascii="仿宋_GB2312" w:hAnsi="仿宋_GB2312" w:cs="仿宋_GB2312" w:eastAsia="仿宋_GB2312"/>
              </w:rPr>
              <w:t>各专业主要设计负责人：除项目负责人外团队成员至少包含7人，且必须满足建筑、结构、电气、暖通、给排水、工程造价、工程咨询专业，每个专业各配1人及以上，不满足基本团队成员配置要求，本项不得分。 （不同专业的负责人不能为同一人，如果出现是同一人的情况，按一个专业负责人计分。） （1）建筑专业负责人：具备高级以上职称资格且具有一级注册建筑师执业资格的，得1分；其余不得分。 （2）结构专业负责人：具备高级以上职称资格且具有一级注册结构工程师执业资格的，得 1分；其余不得分。 （3）给排水专业负责人：具备高级以上职称资格且具有国家注册公用设备工程师执业资格的，得1分；其余不得分。 （4）暖通专业负责人：具备高级以上职称资格且具有国家注册公用设备工程师执业资格的，得 1 分；其余不得分。 （5）电气专业负责人：具备高级以上职称资格且具有国家注册电气工程师执业资格的，得 1分；其余不得分。 （6）工程造价专业负责人：具备高级以上职称资格且具有国家一级注册造价工程师执业资格的，得1分；其余不得分。 （7）工程咨询专业负责人：具备高级以上职称资格且具有国家注册咨询工程师执业资格的，得 1分；其余不得分。 评审依据：提供人员的身份证、职称证书、与投标人签订的劳动合同、提供所在单位近一年（2024年03月01日至投标文件递交截止时间）内任意1个月社保证明。未提供或提供资料不完整者，相应人员不予认定和赋分。不同专业的负责人不能为同一人，如果出现是同一人的情况，按一个专业负责人计分。提供材料须加盖投标人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附件6拟投入本项目的人员简历表.docx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使用功能要求，在满足项目功能的前提下，体现（1）整体空间布局、（2）建筑外观风格、（3）安全可靠性、（4）节能及绿色建筑、（5）智能建筑、（6）无障碍设计、（7）经济合理及限额设计等方面，真正实现节能、智能、绿色、低碳等生态文明的新型建筑设计理念。 二、评审标准 1.方案完整性：设计方案的内容须完整全面，对评审内容中的各项要求有详细论述及说明。 2.方案可实施性：设计方案切合本项目实际情况，具有创意新颖、经济合理、符合建设工程相关规范及标准，具有很强的可实施性。 3.针对性：方案能够紧扣项目实际情况及使用功能，充分考虑学生社团活动及文体活动需求。 三、赋分标准 ①方案完整性：每完全满足一项评审内容得1分，部分满足得0.5分，不满足不得分，满分7分； ②方案可实施性:每完全满足一项评审内容得1分，部分满足得0.5分，不满足不得分，满分7分； ③针对性：每完全满足一项评审内容得1分，部分满足得0.5分，不满足不得分，满分7分。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附件7服务方案.docx</w:t>
            </w:r>
          </w:p>
        </w:tc>
      </w:tr>
      <w:tr>
        <w:tc>
          <w:tcPr>
            <w:tcW w:type="dxa" w:w="831"/>
            <w:vMerge/>
          </w:tcPr>
          <w:p/>
        </w:tc>
        <w:tc>
          <w:tcPr>
            <w:tcW w:type="dxa" w:w="1661"/>
          </w:tcPr>
          <w:p>
            <w:pPr>
              <w:pStyle w:val="null3"/>
            </w:pPr>
            <w:r>
              <w:rPr>
                <w:rFonts w:ascii="仿宋_GB2312" w:hAnsi="仿宋_GB2312" w:cs="仿宋_GB2312" w:eastAsia="仿宋_GB2312"/>
              </w:rPr>
              <w:t>平面图</w:t>
            </w:r>
          </w:p>
        </w:tc>
        <w:tc>
          <w:tcPr>
            <w:tcW w:type="dxa" w:w="2492"/>
          </w:tcPr>
          <w:p>
            <w:pPr>
              <w:pStyle w:val="null3"/>
            </w:pPr>
            <w:r>
              <w:rPr>
                <w:rFonts w:ascii="仿宋_GB2312" w:hAnsi="仿宋_GB2312" w:cs="仿宋_GB2312" w:eastAsia="仿宋_GB2312"/>
              </w:rPr>
              <w:t>一、评审内容 提供平面图（主要考虑功能布局等因素，需有详细尺寸标注） 包括：（1）建筑功能空间布局、（2）各功能区域内部空间规划、（3）建筑内人员交通、疏散路线、（4）供电、供热、网络、监控、门禁等设备设施用房空间布置及分析图等。 二、评审标准 1.平面图内容完整性：平面图的内容须完整全面，对评审内容中的各项要求有详细尺寸标注及说明； 2.平面布置的科学合理性：室内空间布局须科学合理，便于日常文体活动及社团活动，做到动-静功能分区、室内空间利用率高、采光舒适、通风良好。 3.针对性：能够紧扣项目实际情况及使用功能，充分考虑空间布局科学合理。 三、赋分标准 ①平面内容完整性：每完全满足一项评审内容得1分，部分满足得0.5分，不满足不得分，满分4分； ②平面布置的科学合理性：每完全满足一项评审内容得1分，部分满足得0.5分，不满足不得分，满分4分。 ③针对性：每完全满足一项评审内容得1分，部分满足得0.5分，不满足不得分，满分4分。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附件7服务方案.docx</w:t>
            </w:r>
          </w:p>
        </w:tc>
      </w:tr>
      <w:tr>
        <w:tc>
          <w:tcPr>
            <w:tcW w:type="dxa" w:w="831"/>
            <w:vMerge/>
          </w:tcPr>
          <w:p/>
        </w:tc>
        <w:tc>
          <w:tcPr>
            <w:tcW w:type="dxa" w:w="1661"/>
          </w:tcPr>
          <w:p>
            <w:pPr>
              <w:pStyle w:val="null3"/>
            </w:pPr>
            <w:r>
              <w:rPr>
                <w:rFonts w:ascii="仿宋_GB2312" w:hAnsi="仿宋_GB2312" w:cs="仿宋_GB2312" w:eastAsia="仿宋_GB2312"/>
              </w:rPr>
              <w:t>效果图</w:t>
            </w:r>
          </w:p>
        </w:tc>
        <w:tc>
          <w:tcPr>
            <w:tcW w:type="dxa" w:w="2492"/>
          </w:tcPr>
          <w:p>
            <w:pPr>
              <w:pStyle w:val="null3"/>
            </w:pPr>
            <w:r>
              <w:rPr>
                <w:rFonts w:ascii="仿宋_GB2312" w:hAnsi="仿宋_GB2312" w:cs="仿宋_GB2312" w:eastAsia="仿宋_GB2312"/>
              </w:rPr>
              <w:t>一、评审内容 提供效果图，包括（1）鸟瞰图；（2）室内各功能区域装饰效果图；（3）外立面效果图（4）门厅装饰效果图；（5）卫生间效果图；（6）楼梯间效果图；（7）公共走廊装修效果图；等。 二、评审标准 1.效果图内容完整性：效果图的内容须完整全面，对评审内容中的各类效果图均应体现； 2.建筑文化的彰显：具有展现建筑文化性、建筑美学性、新颖性、创意性、时尚性、艺术性等。 三、赋分标准（满分14分） ①效果图内容完整性：每完全满足一项评审内容得1分，部分满足得0.5分，不满足不得分，满分7分； ②建筑文化的彰显：每完全满足一项评审内容得1分，部分满足得0.5分，不满足不得分，满分7分。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附件7服务方案.docx</w:t>
            </w:r>
          </w:p>
        </w:tc>
      </w:tr>
      <w:tr>
        <w:tc>
          <w:tcPr>
            <w:tcW w:type="dxa" w:w="831"/>
            <w:vMerge/>
          </w:tcPr>
          <w:p/>
        </w:tc>
        <w:tc>
          <w:tcPr>
            <w:tcW w:type="dxa" w:w="1661"/>
          </w:tcPr>
          <w:p>
            <w:pPr>
              <w:pStyle w:val="null3"/>
            </w:pPr>
            <w:r>
              <w:rPr>
                <w:rFonts w:ascii="仿宋_GB2312" w:hAnsi="仿宋_GB2312" w:cs="仿宋_GB2312" w:eastAsia="仿宋_GB2312"/>
              </w:rPr>
              <w:t>室外图纸</w:t>
            </w:r>
          </w:p>
        </w:tc>
        <w:tc>
          <w:tcPr>
            <w:tcW w:type="dxa" w:w="2492"/>
          </w:tcPr>
          <w:p>
            <w:pPr>
              <w:pStyle w:val="null3"/>
            </w:pPr>
            <w:r>
              <w:rPr>
                <w:rFonts w:ascii="仿宋_GB2312" w:hAnsi="仿宋_GB2312" w:cs="仿宋_GB2312" w:eastAsia="仿宋_GB2312"/>
              </w:rPr>
              <w:t>一、评审内容 提供图纸，包括（1）给、排水管网布置及走向；（2）强、弱电管线布置及走向；（3）道路交通路线及消防通道要求；（4）建筑周边景观绿化布置；（5）供热管网布置及走向；（6）网络、监控系统线缆布置分析图等。 二、评审标准 1.完整性：内容须完整全面，对评审内容中的各项内容均应体现； 2.科学合理性：室外水、电输入输出管网、道路交通、景观绿化、设备设施用房空间布置科学合理、符合现行规范及标准。 三、赋分标准 ①完整性：每完全满足一项评审内容得0.5分，不满足不得分，满分3分； ②科学合理性：每完全满足一项评审内容得0.5分，不满足不得分，满分3分。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附件7服务方案.docx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本项目整体空间布局、安全可靠、绿色建筑、智能建筑、装配式设计、外观风格、限额设计、集约节能提出的有利于提高建筑使用功能且降低建设成本等方面的合理化建议或者在合作期内的特色增值服务情况进行评审： （1）合理化建议或者增值服务切实可行，有利于项目后期实施得4分； （2）合理化建议或者增值服务内容简单但基本可行得2分； （3）合理化建议或者增值服务可实施性差或未提供，不得分。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附件7服务方案.docx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 注：满足招标文件要求且投标价格最低的投标报价为评标基准价。 最低报价不是中标的唯一依据。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详见附件：附件1具有独立承担民事责任能力的法人或其他组织.docx</w:t>
      </w:r>
    </w:p>
    <w:p>
      <w:pPr>
        <w:pStyle w:val="null3"/>
        <w:ind w:firstLine="960"/>
      </w:pPr>
      <w:r>
        <w:rPr>
          <w:rFonts w:ascii="仿宋_GB2312" w:hAnsi="仿宋_GB2312" w:cs="仿宋_GB2312" w:eastAsia="仿宋_GB2312"/>
        </w:rPr>
        <w:t>详见附件：附件2供应商财务状况证明文件.docx</w:t>
      </w:r>
    </w:p>
    <w:p>
      <w:pPr>
        <w:pStyle w:val="null3"/>
        <w:ind w:firstLine="960"/>
      </w:pPr>
      <w:r>
        <w:rPr>
          <w:rFonts w:ascii="仿宋_GB2312" w:hAnsi="仿宋_GB2312" w:cs="仿宋_GB2312" w:eastAsia="仿宋_GB2312"/>
        </w:rPr>
        <w:t>详见附件：附件3其他资格证明文件.docx</w:t>
      </w:r>
    </w:p>
    <w:p>
      <w:pPr>
        <w:pStyle w:val="null3"/>
        <w:ind w:firstLine="960"/>
      </w:pPr>
      <w:r>
        <w:rPr>
          <w:rFonts w:ascii="仿宋_GB2312" w:hAnsi="仿宋_GB2312" w:cs="仿宋_GB2312" w:eastAsia="仿宋_GB2312"/>
        </w:rPr>
        <w:t>详见附件：附件4业绩一览表.docx</w:t>
      </w:r>
    </w:p>
    <w:p>
      <w:pPr>
        <w:pStyle w:val="null3"/>
        <w:ind w:firstLine="960"/>
      </w:pPr>
      <w:r>
        <w:rPr>
          <w:rFonts w:ascii="仿宋_GB2312" w:hAnsi="仿宋_GB2312" w:cs="仿宋_GB2312" w:eastAsia="仿宋_GB2312"/>
        </w:rPr>
        <w:t>详见附件：附件5拟投入本项目的项目负责人简历表.docx</w:t>
      </w:r>
    </w:p>
    <w:p>
      <w:pPr>
        <w:pStyle w:val="null3"/>
        <w:ind w:firstLine="960"/>
      </w:pPr>
      <w:r>
        <w:rPr>
          <w:rFonts w:ascii="仿宋_GB2312" w:hAnsi="仿宋_GB2312" w:cs="仿宋_GB2312" w:eastAsia="仿宋_GB2312"/>
        </w:rPr>
        <w:t>详见附件：附件6拟投入本项目的人员简历表.docx</w:t>
      </w:r>
    </w:p>
    <w:p>
      <w:pPr>
        <w:pStyle w:val="null3"/>
        <w:ind w:firstLine="960"/>
      </w:pPr>
      <w:r>
        <w:rPr>
          <w:rFonts w:ascii="仿宋_GB2312" w:hAnsi="仿宋_GB2312" w:cs="仿宋_GB2312" w:eastAsia="仿宋_GB2312"/>
        </w:rPr>
        <w:t>详见附件：附件7服务方案.docx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