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4255C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供货、安装调试方案</w:t>
      </w:r>
    </w:p>
    <w:p w14:paraId="28C5D516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供应商根据评审办法提供</w:t>
      </w:r>
      <w:r>
        <w:rPr>
          <w:rFonts w:hint="eastAsia"/>
          <w:b/>
          <w:bCs/>
          <w:sz w:val="32"/>
          <w:szCs w:val="32"/>
        </w:rPr>
        <w:t>供货、安装调试方案</w:t>
      </w:r>
    </w:p>
    <w:p w14:paraId="2D2E0146">
      <w:pPr>
        <w:spacing w:line="360" w:lineRule="auto"/>
        <w:jc w:val="center"/>
        <w:rPr>
          <w:rFonts w:hint="eastAsia" w:ascii="宋体" w:hAnsi="宋体" w:cs="宋体" w:eastAsiaTheme="minor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19790F97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DE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2025-03-07T07:32:13Z</dcterms:created>
  <dc:creator>A</dc:creator>
  <cp:lastModifiedBy>微信用户</cp:lastModifiedBy>
  <dcterms:modified xsi:type="dcterms:W3CDTF">2025-03-07T07:33:37Z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74E4E9AD5861469483BBF26E81380EBD_12</vt:lpwstr>
  </property>
</Properties>
</file>