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版本号：THXZB2025-101420250409002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高速公路联网收费系统业务支撑平台运维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THXZB2025-1014</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高速公路联网收费系统业务支撑平台运维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高速公路联网收费系统业务支撑平台运维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陕西省高速公路联网收费系统业务支撑平台运维服务项目预算为179万元，为保障业务支撑平台7*24小时不间断运行的稳定、安全、高效运行，现委托专业运维供应商进行运维服务保障工作。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采购包1保证金金额：35,800.00元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开户银行：陕西天鸿信项目管理有限公司</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陕西省高速公路联网收费系统业务支撑平台运维服务项目预算为179万元，为保障业务支撑平台7*24小时不间断运行的稳定、安全、高效运行，现委托专业运维供应商进行运维服务保障工作。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高速公路联网收费系统业务支撑平台运维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标的名称：高速公路联网收费系统业务支撑平台运维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总体目标</w:t>
            </w:r>
          </w:p>
        </w:tc>
        <w:tc>
          <w:tcPr>
            <w:tcW w:type="dxa" w:w="2076"/>
          </w:tcPr>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1）在服务期内，确保省中心联网收费业务支撑平台的正常、安全、高效、稳定运行。</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按照信息技术服务运行维护标准（ITSS），为省中心联网收费业务支撑平台的日常维护和应急保障提供一套科学、规范的运维服务体系，实现人员、技术和流程的标准化管理。通过该体系的建设和持续完善，促进运维工作实现标准化、规范化。</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建立运维服务质量评价体系。覆盖系统连续性服务能力、系统可用性、人员服务能力、项目管理等方面，通过服务质量指标监控和运行分析，实现对系统运行服务的分级管理和监控，促进运维质量和效率的提升。</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二</w:t>
            </w:r>
            <w:r>
              <w:rPr>
                <w:rFonts w:ascii="仿宋_GB2312" w:hAnsi="仿宋_GB2312" w:cs="仿宋_GB2312" w:eastAsia="仿宋_GB2312"/>
                <w:sz w:val="18"/>
              </w:rPr>
              <w:t>）</w:t>
            </w:r>
            <w:r>
              <w:rPr>
                <w:rFonts w:ascii="仿宋_GB2312" w:hAnsi="仿宋_GB2312" w:cs="仿宋_GB2312" w:eastAsia="仿宋_GB2312"/>
                <w:sz w:val="18"/>
              </w:rPr>
              <w:t>服务范围及对象</w:t>
            </w:r>
          </w:p>
          <w:p>
            <w:pPr>
              <w:pStyle w:val="null3"/>
              <w:ind w:firstLine="360"/>
            </w:pPr>
            <w:r>
              <w:rPr>
                <w:rFonts w:ascii="仿宋_GB2312" w:hAnsi="仿宋_GB2312" w:cs="仿宋_GB2312" w:eastAsia="仿宋_GB2312"/>
                <w:sz w:val="18"/>
              </w:rPr>
              <w:t>本次运维服务范围涵盖省中心联网收费业务支撑平台各个子系统，包括机房环境（供配电系统、空调）、网络设施（交换机、路由器、负载均衡设备）、计算资源</w:t>
            </w:r>
            <w:r>
              <w:rPr>
                <w:rFonts w:ascii="仿宋_GB2312" w:hAnsi="仿宋_GB2312" w:cs="仿宋_GB2312" w:eastAsia="仿宋_GB2312"/>
                <w:sz w:val="18"/>
              </w:rPr>
              <w:t>及</w:t>
            </w:r>
            <w:r>
              <w:rPr>
                <w:rFonts w:ascii="仿宋_GB2312" w:hAnsi="仿宋_GB2312" w:cs="仿宋_GB2312" w:eastAsia="仿宋_GB2312"/>
                <w:sz w:val="18"/>
              </w:rPr>
              <w:t>存储资源（相关硬件服务器、虚拟机服务器）和配套基础软件（虚拟化软件、存储软件、数据库同步软件）等。</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360"/>
            </w:pPr>
            <w:r>
              <w:rPr>
                <w:rFonts w:ascii="仿宋_GB2312" w:hAnsi="仿宋_GB2312" w:cs="仿宋_GB2312" w:eastAsia="仿宋_GB2312"/>
                <w:sz w:val="18"/>
              </w:rPr>
              <w:t>（一）机房环境运维服务</w:t>
            </w:r>
          </w:p>
          <w:p>
            <w:pPr>
              <w:pStyle w:val="null3"/>
              <w:ind w:firstLine="360"/>
            </w:pPr>
            <w:r>
              <w:rPr>
                <w:rFonts w:ascii="仿宋_GB2312" w:hAnsi="仿宋_GB2312" w:cs="仿宋_GB2312" w:eastAsia="仿宋_GB2312"/>
                <w:sz w:val="18"/>
              </w:rPr>
              <w:t>供应商派驻场运维工程师提供</w:t>
            </w:r>
            <w:r>
              <w:rPr>
                <w:rFonts w:ascii="仿宋_GB2312" w:hAnsi="仿宋_GB2312" w:cs="仿宋_GB2312" w:eastAsia="仿宋_GB2312"/>
                <w:sz w:val="18"/>
              </w:rPr>
              <w:t>7天*24小时机房环境运行情况现场巡检和实时监控服务，通过驻场运维工程师现场巡检和系统实时监控、预警的方式，对UPS、列头柜、STS等机房供配电系统和精密空调、模块化一体机房内的行间空调和机房内的温湿度等运行情况进行现场巡检、实时监测和预警。常规时期现场巡检不少于每天2次，特殊时期，如电力故障或重保时期现场巡检不少于每天4次，并做好每日巡检记录。如脱保精密空调</w:t>
            </w:r>
            <w:r>
              <w:rPr>
                <w:rFonts w:ascii="仿宋_GB2312" w:hAnsi="仿宋_GB2312" w:cs="仿宋_GB2312" w:eastAsia="仿宋_GB2312"/>
                <w:sz w:val="18"/>
              </w:rPr>
              <w:t>出现</w:t>
            </w:r>
            <w:r>
              <w:rPr>
                <w:rFonts w:ascii="仿宋_GB2312" w:hAnsi="仿宋_GB2312" w:cs="仿宋_GB2312" w:eastAsia="仿宋_GB2312"/>
                <w:sz w:val="18"/>
              </w:rPr>
              <w:t>故障，</w:t>
            </w:r>
            <w:r>
              <w:rPr>
                <w:rFonts w:ascii="仿宋_GB2312" w:hAnsi="仿宋_GB2312" w:cs="仿宋_GB2312" w:eastAsia="仿宋_GB2312"/>
                <w:sz w:val="18"/>
              </w:rPr>
              <w:t>需</w:t>
            </w:r>
            <w:r>
              <w:rPr>
                <w:rFonts w:ascii="仿宋_GB2312" w:hAnsi="仿宋_GB2312" w:cs="仿宋_GB2312" w:eastAsia="仿宋_GB2312"/>
                <w:sz w:val="18"/>
              </w:rPr>
              <w:t>及时派工程师处理，确保机房环境运行稳定；采购人只承担精密空调设备</w:t>
            </w:r>
            <w:r>
              <w:rPr>
                <w:rFonts w:ascii="仿宋_GB2312" w:hAnsi="仿宋_GB2312" w:cs="仿宋_GB2312" w:eastAsia="仿宋_GB2312"/>
                <w:sz w:val="18"/>
              </w:rPr>
              <w:t>（</w:t>
            </w:r>
            <w:r>
              <w:rPr>
                <w:rFonts w:ascii="仿宋_GB2312" w:hAnsi="仿宋_GB2312" w:cs="仿宋_GB2312" w:eastAsia="仿宋_GB2312"/>
                <w:sz w:val="18"/>
              </w:rPr>
              <w:t>压缩机、风机、电机、</w:t>
            </w:r>
            <w:r>
              <w:rPr>
                <w:rFonts w:ascii="仿宋_GB2312" w:hAnsi="仿宋_GB2312" w:cs="仿宋_GB2312" w:eastAsia="仿宋_GB2312"/>
                <w:sz w:val="18"/>
              </w:rPr>
              <w:t>干</w:t>
            </w:r>
            <w:r>
              <w:rPr>
                <w:rFonts w:ascii="仿宋_GB2312" w:hAnsi="仿宋_GB2312" w:cs="仿宋_GB2312" w:eastAsia="仿宋_GB2312"/>
                <w:sz w:val="18"/>
              </w:rPr>
              <w:t>燥器、控制面板、蒸发器</w:t>
            </w:r>
            <w:r>
              <w:rPr>
                <w:rFonts w:ascii="仿宋_GB2312" w:hAnsi="仿宋_GB2312" w:cs="仿宋_GB2312" w:eastAsia="仿宋_GB2312"/>
                <w:sz w:val="18"/>
              </w:rPr>
              <w:t>）</w:t>
            </w:r>
            <w:r>
              <w:rPr>
                <w:rFonts w:ascii="仿宋_GB2312" w:hAnsi="仿宋_GB2312" w:cs="仿宋_GB2312" w:eastAsia="仿宋_GB2312"/>
                <w:sz w:val="18"/>
              </w:rPr>
              <w:t>的维修和更换费用，其余维护范围内的配件和材料费用由供应商承担。如出现其他故障应及时协助省中心协调相关厂商进行维修，并做好事件记录和故障报告。</w:t>
            </w:r>
          </w:p>
          <w:p>
            <w:pPr>
              <w:pStyle w:val="null3"/>
              <w:ind w:firstLine="360"/>
            </w:pPr>
            <w:r>
              <w:rPr>
                <w:rFonts w:ascii="仿宋_GB2312" w:hAnsi="仿宋_GB2312" w:cs="仿宋_GB2312" w:eastAsia="仿宋_GB2312"/>
                <w:sz w:val="18"/>
              </w:rPr>
              <w:t>（二）网络设施运维服务</w:t>
            </w:r>
          </w:p>
          <w:p>
            <w:pPr>
              <w:pStyle w:val="null3"/>
              <w:ind w:firstLine="360"/>
            </w:pPr>
            <w:r>
              <w:rPr>
                <w:rFonts w:ascii="仿宋_GB2312" w:hAnsi="仿宋_GB2312" w:cs="仿宋_GB2312" w:eastAsia="仿宋_GB2312"/>
                <w:sz w:val="18"/>
              </w:rPr>
              <w:t>供应商从平台网络的运行监控、故障响应、定期巡检、配置和资源管理和接入支持几个方面实现对网络系统的运维管理：每日</w:t>
            </w:r>
            <w:r>
              <w:rPr>
                <w:rFonts w:ascii="仿宋_GB2312" w:hAnsi="仿宋_GB2312" w:cs="仿宋_GB2312" w:eastAsia="仿宋_GB2312"/>
                <w:sz w:val="18"/>
              </w:rPr>
              <w:t>4次（节假日及特殊时期6次）通过现场巡查的方式对机房网络硬件设备的物理运行状态进行巡检；7*24小时实时通过网管平台对网络节点设备硬件资源进行实时状态监控，包括CPU/内存利用率、端口状态、接口带宽使用情况和设备网络连接状态等；每日2次（节假日及特殊时期3次），对关键网络设备节点配置信息进行配置状态检查，包括主备状态、关键静态路由指向等；每季度采集网络设备信息，对网络的运行和维护现状进行检查和分析，包括网络性能、设备日志、设备配置信息等，梳理网络隐患，提供整改建议，提交《网络设备季度巡检报告》；按需完成网络接入支持；当网络发生故障时协助中心快速分析、诊断、解决故障，跟踪问题的处理进展，将事件类型、过程、解决方案等记录进《故障报告》提交省中心；每半年根据网络资产清单和现网实际情况，建立《网络配置信息库》；每月对网络配置文件备份及存档；每年一次网络评估优化，对联网收费支撑平台现有网络的基础架构、技术架构、业务流量承载、基础服务能力等各方面进行综合评估分析。</w:t>
            </w:r>
          </w:p>
          <w:p>
            <w:pPr>
              <w:pStyle w:val="null3"/>
              <w:ind w:firstLine="360"/>
            </w:pPr>
            <w:r>
              <w:rPr>
                <w:rFonts w:ascii="仿宋_GB2312" w:hAnsi="仿宋_GB2312" w:cs="仿宋_GB2312" w:eastAsia="仿宋_GB2312"/>
                <w:sz w:val="18"/>
              </w:rPr>
              <w:t>（三）计算资源运维服务</w:t>
            </w:r>
          </w:p>
          <w:p>
            <w:pPr>
              <w:pStyle w:val="null3"/>
              <w:ind w:firstLine="360"/>
            </w:pPr>
            <w:r>
              <w:rPr>
                <w:rFonts w:ascii="仿宋_GB2312" w:hAnsi="仿宋_GB2312" w:cs="仿宋_GB2312" w:eastAsia="仿宋_GB2312"/>
                <w:sz w:val="18"/>
              </w:rPr>
              <w:t>本次运维服务的计算资源分为物理主机与虚拟主机的运维，供应商每日</w:t>
            </w:r>
            <w:r>
              <w:rPr>
                <w:rFonts w:ascii="仿宋_GB2312" w:hAnsi="仿宋_GB2312" w:cs="仿宋_GB2312" w:eastAsia="仿宋_GB2312"/>
                <w:sz w:val="18"/>
              </w:rPr>
              <w:t>4次（节假日及特殊时期6次），通过现场巡查的方式对机房硬件设备的物理运行状态进行巡检；每日4次（节假日及特殊时期6次），进行主机资源运行监控，巡检物理主机、虚拟主机运行状态，实时监控计算资源池资源分配及使用情况；按要求进行虚拟机日常管理、快照及备份管理、网络资源管理、计算资源、镜像管理；每半年进行计算资源主机设备资产管理，主机设备资产清点，建立并维护资产清单</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（四）存储运维服务</w:t>
            </w:r>
          </w:p>
          <w:p>
            <w:pPr>
              <w:pStyle w:val="null3"/>
              <w:ind w:firstLine="360"/>
            </w:pPr>
            <w:r>
              <w:rPr>
                <w:rFonts w:ascii="仿宋_GB2312" w:hAnsi="仿宋_GB2312" w:cs="仿宋_GB2312" w:eastAsia="仿宋_GB2312"/>
                <w:sz w:val="18"/>
              </w:rPr>
              <w:t>供应商通过对联网收费业务支撑平台的全闪存储资源池、混合存储资源池、非结构化存储资源池和备份存储资源池，采取存储设备硬件巡查、每日</w:t>
            </w:r>
            <w:r>
              <w:rPr>
                <w:rFonts w:ascii="仿宋_GB2312" w:hAnsi="仿宋_GB2312" w:cs="仿宋_GB2312" w:eastAsia="仿宋_GB2312"/>
                <w:sz w:val="18"/>
              </w:rPr>
              <w:t>4次（节假日及特殊时期6次），通过现场巡查的方式对机房存储硬件设备的物理运行状态进行巡检；每日4次（节假日及特殊时期6次），进行存储运行监控，对存储资源池运行状态进行检查、监控，同时实时进行虚拟存储资源池IOPS性能、带宽、延迟、数据状态、健康状态、告警，存储资源池等实时监控；每日1次统计全闪存储、混合存储、非结构化存储、备份存储等资源池空间使用情况；每半年进行存储主机设备资产管理，主机设备资产清点，建立并维护资产清单</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（五）基础软件运维服务</w:t>
            </w:r>
          </w:p>
          <w:p>
            <w:pPr>
              <w:pStyle w:val="null3"/>
            </w:pPr>
            <w:r>
              <w:rPr>
                <w:rFonts w:ascii="仿宋_GB2312" w:hAnsi="仿宋_GB2312" w:cs="仿宋_GB2312" w:eastAsia="仿宋_GB2312"/>
                <w:sz w:val="18"/>
              </w:rPr>
              <w:t>供应商每半年进行软件资产梳理，将基础软件资产记录在资产清单中；每日</w:t>
            </w:r>
            <w:r>
              <w:rPr>
                <w:rFonts w:ascii="仿宋_GB2312" w:hAnsi="仿宋_GB2312" w:cs="仿宋_GB2312" w:eastAsia="仿宋_GB2312"/>
                <w:sz w:val="18"/>
              </w:rPr>
              <w:t>1次进行本地数据备份执行情况监控，按需制定和改进本地数据备份策略和方案；每季度进行虚拟化系统、分布式存储系统、备份系统的预防性维护定期巡检服务</w:t>
            </w:r>
            <w:r>
              <w:rPr>
                <w:rFonts w:ascii="仿宋_GB2312" w:hAnsi="仿宋_GB2312" w:cs="仿宋_GB2312" w:eastAsia="仿宋_GB2312"/>
                <w:sz w:val="18"/>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360"/>
            </w:pPr>
            <w:r>
              <w:rPr>
                <w:rFonts w:ascii="仿宋_GB2312" w:hAnsi="仿宋_GB2312" w:cs="仿宋_GB2312" w:eastAsia="仿宋_GB2312"/>
                <w:sz w:val="18"/>
              </w:rPr>
              <w:t>（一）服务人员要求</w:t>
            </w:r>
          </w:p>
          <w:p>
            <w:pPr>
              <w:pStyle w:val="null3"/>
              <w:ind w:firstLine="360"/>
            </w:pPr>
            <w:r>
              <w:rPr>
                <w:rFonts w:ascii="仿宋_GB2312" w:hAnsi="仿宋_GB2312" w:cs="仿宋_GB2312" w:eastAsia="仿宋_GB2312"/>
                <w:sz w:val="18"/>
              </w:rPr>
              <w:t>1.服务供应商应为本项目指派一名项目经理，负责项目的整体统筹管理、资源协调、服务质量总体把关。须拥有信息系统运维项目管理经验，具备项目经理PMP、信息系统项目管理师认证。</w:t>
            </w:r>
          </w:p>
          <w:p>
            <w:pPr>
              <w:pStyle w:val="null3"/>
              <w:ind w:firstLine="360"/>
            </w:pPr>
            <w:r>
              <w:rPr>
                <w:rFonts w:ascii="仿宋_GB2312" w:hAnsi="仿宋_GB2312" w:cs="仿宋_GB2312" w:eastAsia="仿宋_GB2312"/>
                <w:sz w:val="18"/>
              </w:rPr>
              <w:t>2.驻场运维服务团队至少设置5人，其中设置现场主管1人负责驻场运维团队管理、服务质量管理和运维技术把控；设置技术岗负责现场网络、虚拟化和存储等日常技术问题的处理；设置操作岗进行7*24小时轮班值守负责日常运维操作服务。现场主管须拥有信息系统运维从业经验，具备ITSS服务经理认证以及云计算高级认证。技术岗人员须拥有信息系统运维从业经验，具有网络和云计算专业方向中级及以上认证。操作岗人员须拥有信息系统运维从业经验，具备网络、云计算、安全其中之一专业方向中级认证。</w:t>
            </w:r>
            <w:r>
              <w:br/>
            </w:r>
            <w:r>
              <w:rPr>
                <w:rFonts w:ascii="仿宋_GB2312" w:hAnsi="仿宋_GB2312" w:cs="仿宋_GB2312" w:eastAsia="仿宋_GB2312"/>
                <w:sz w:val="18"/>
              </w:rPr>
              <w:t xml:space="preserve">  3.服务供应商须提供二线技术专家支持团队不少于3人，团队成员应具备各专业（网络工程师、数据库工程师、信息安全工程师）认证资质。如出现驻场服务人员不能解决的问题，二线技术专家人员应及时响应、现场服务。为提供快速、有效的应急响应服务，供应商应具备本地化服务能力，二线技术专家支持团队本地人员占比不低于50%。</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服务供应商应针对本项目成立专门的运维团队，明确运维团</w:t>
            </w:r>
            <w:r>
              <w:rPr>
                <w:rFonts w:ascii="仿宋_GB2312" w:hAnsi="仿宋_GB2312" w:cs="仿宋_GB2312" w:eastAsia="仿宋_GB2312"/>
                <w:sz w:val="18"/>
              </w:rPr>
              <w:t>队的</w:t>
            </w:r>
            <w:r>
              <w:rPr>
                <w:rFonts w:ascii="仿宋_GB2312" w:hAnsi="仿宋_GB2312" w:cs="仿宋_GB2312" w:eastAsia="仿宋_GB2312"/>
                <w:sz w:val="18"/>
              </w:rPr>
              <w:t>组织、人员、岗位职责、工作流程等，并派驻专业的运维人员在中心驻场服务，提供</w:t>
            </w:r>
            <w:r>
              <w:rPr>
                <w:rFonts w:ascii="仿宋_GB2312" w:hAnsi="仿宋_GB2312" w:cs="仿宋_GB2312" w:eastAsia="仿宋_GB2312"/>
                <w:sz w:val="18"/>
              </w:rPr>
              <w:t>7×24小时值守、日常运维操作、故障响应处理、运行状况分析、应急保障等运维服务。</w:t>
            </w:r>
          </w:p>
          <w:p>
            <w:pPr>
              <w:pStyle w:val="null3"/>
              <w:ind w:firstLine="360"/>
            </w:pPr>
            <w:r>
              <w:rPr>
                <w:rFonts w:ascii="仿宋_GB2312" w:hAnsi="仿宋_GB2312" w:cs="仿宋_GB2312" w:eastAsia="仿宋_GB2312"/>
                <w:sz w:val="18"/>
              </w:rPr>
              <w:t>（二）服务方式要求</w:t>
            </w:r>
          </w:p>
          <w:p>
            <w:pPr>
              <w:pStyle w:val="null3"/>
              <w:ind w:firstLine="360"/>
            </w:pPr>
            <w:r>
              <w:rPr>
                <w:rFonts w:ascii="仿宋_GB2312" w:hAnsi="仿宋_GB2312" w:cs="仿宋_GB2312" w:eastAsia="仿宋_GB2312"/>
                <w:sz w:val="18"/>
              </w:rPr>
              <w:t>本项目运维服务方式要求</w:t>
            </w:r>
            <w:r>
              <w:rPr>
                <w:rFonts w:ascii="仿宋_GB2312" w:hAnsi="仿宋_GB2312" w:cs="仿宋_GB2312" w:eastAsia="仿宋_GB2312"/>
                <w:sz w:val="18"/>
              </w:rPr>
              <w:t>采用</w:t>
            </w:r>
            <w:r>
              <w:rPr>
                <w:rFonts w:ascii="仿宋_GB2312" w:hAnsi="仿宋_GB2312" w:cs="仿宋_GB2312" w:eastAsia="仿宋_GB2312"/>
                <w:sz w:val="18"/>
              </w:rPr>
              <w:t>7*24小时驻场服务和5*8小时现场技术支持相结合的方式，针对不同专业和服务内容采用灵活的服务方式。</w:t>
            </w:r>
          </w:p>
          <w:p>
            <w:pPr>
              <w:pStyle w:val="null3"/>
              <w:ind w:firstLine="360"/>
            </w:pPr>
            <w:r>
              <w:rPr>
                <w:rFonts w:ascii="仿宋_GB2312" w:hAnsi="仿宋_GB2312" w:cs="仿宋_GB2312" w:eastAsia="仿宋_GB2312"/>
                <w:sz w:val="18"/>
              </w:rPr>
              <w:t>1.驻场服务</w:t>
            </w:r>
          </w:p>
          <w:p>
            <w:pPr>
              <w:pStyle w:val="null3"/>
              <w:ind w:firstLine="360"/>
            </w:pPr>
            <w:r>
              <w:rPr>
                <w:rFonts w:ascii="仿宋_GB2312" w:hAnsi="仿宋_GB2312" w:cs="仿宋_GB2312" w:eastAsia="仿宋_GB2312"/>
                <w:sz w:val="18"/>
              </w:rPr>
              <w:t>须在省中心现场安排值班工程师进行</w:t>
            </w:r>
            <w:r>
              <w:rPr>
                <w:rFonts w:ascii="仿宋_GB2312" w:hAnsi="仿宋_GB2312" w:cs="仿宋_GB2312" w:eastAsia="仿宋_GB2312"/>
                <w:sz w:val="18"/>
              </w:rPr>
              <w:t>7*24小时驻场服务，执行日常运维服务工作，以确保随时能够处理紧急事件。周一至周五（法定正常工作时间）除安排7*24小时值班工程师外，还须安排技术工程师5*8小时驻场服务，执行运维分析、处置、优化等服务工作。</w:t>
            </w:r>
          </w:p>
          <w:p>
            <w:pPr>
              <w:pStyle w:val="null3"/>
              <w:ind w:firstLine="360"/>
            </w:pPr>
            <w:r>
              <w:rPr>
                <w:rFonts w:ascii="仿宋_GB2312" w:hAnsi="仿宋_GB2312" w:cs="仿宋_GB2312" w:eastAsia="仿宋_GB2312"/>
                <w:sz w:val="18"/>
              </w:rPr>
              <w:t>2.现场技术支持</w:t>
            </w:r>
          </w:p>
          <w:p>
            <w:pPr>
              <w:pStyle w:val="null3"/>
              <w:ind w:firstLine="360"/>
            </w:pPr>
            <w:r>
              <w:rPr>
                <w:rFonts w:ascii="仿宋_GB2312" w:hAnsi="仿宋_GB2312" w:cs="仿宋_GB2312" w:eastAsia="仿宋_GB2312"/>
                <w:sz w:val="18"/>
              </w:rPr>
              <w:t>根据联网收费支撑平台维护专业性实际维护需求，当发生紧急事件或驻场工程师无法解决的问题时，二线技术专家通过远程或到达现场的方式提供技术支持服务。</w:t>
            </w:r>
          </w:p>
          <w:p>
            <w:pPr>
              <w:pStyle w:val="null3"/>
              <w:ind w:firstLine="360"/>
            </w:pPr>
            <w:r>
              <w:rPr>
                <w:rFonts w:ascii="仿宋_GB2312" w:hAnsi="仿宋_GB2312" w:cs="仿宋_GB2312" w:eastAsia="仿宋_GB2312"/>
                <w:sz w:val="18"/>
              </w:rPr>
              <w:t>（三）服务响应要求</w:t>
            </w:r>
          </w:p>
          <w:p>
            <w:pPr>
              <w:pStyle w:val="null3"/>
              <w:ind w:firstLine="360"/>
            </w:pPr>
            <w:r>
              <w:rPr>
                <w:rFonts w:ascii="仿宋_GB2312" w:hAnsi="仿宋_GB2312" w:cs="仿宋_GB2312" w:eastAsia="仿宋_GB2312"/>
                <w:sz w:val="18"/>
              </w:rPr>
              <w:t>在服务期内，供应商须提供</w:t>
            </w:r>
            <w:r>
              <w:rPr>
                <w:rFonts w:ascii="仿宋_GB2312" w:hAnsi="仿宋_GB2312" w:cs="仿宋_GB2312" w:eastAsia="仿宋_GB2312"/>
                <w:sz w:val="18"/>
              </w:rPr>
              <w:t>7*24小时驻场服务，工作日5*8时间内应在10分钟内故障响应，2小时内提出故障解决方案。</w:t>
            </w:r>
            <w:r>
              <w:rPr>
                <w:rFonts w:ascii="仿宋_GB2312" w:hAnsi="仿宋_GB2312" w:cs="仿宋_GB2312" w:eastAsia="仿宋_GB2312"/>
                <w:sz w:val="18"/>
              </w:rPr>
              <w:t>其他时间</w:t>
            </w:r>
            <w:r>
              <w:rPr>
                <w:rFonts w:ascii="仿宋_GB2312" w:hAnsi="仿宋_GB2312" w:cs="仿宋_GB2312" w:eastAsia="仿宋_GB2312"/>
                <w:sz w:val="18"/>
              </w:rPr>
              <w:t>应在</w:t>
            </w:r>
            <w:r>
              <w:rPr>
                <w:rFonts w:ascii="仿宋_GB2312" w:hAnsi="仿宋_GB2312" w:cs="仿宋_GB2312" w:eastAsia="仿宋_GB2312"/>
                <w:sz w:val="18"/>
              </w:rPr>
              <w:t>30分钟内故障响应，4小时内提出故障解决方案。</w:t>
            </w:r>
          </w:p>
          <w:p>
            <w:pPr>
              <w:pStyle w:val="null3"/>
              <w:ind w:firstLine="360"/>
            </w:pPr>
            <w:r>
              <w:rPr>
                <w:rFonts w:ascii="仿宋_GB2312" w:hAnsi="仿宋_GB2312" w:cs="仿宋_GB2312" w:eastAsia="仿宋_GB2312"/>
                <w:sz w:val="18"/>
              </w:rPr>
              <w:t>（四）运维管理流程要求</w:t>
            </w:r>
          </w:p>
          <w:p>
            <w:pPr>
              <w:pStyle w:val="null3"/>
              <w:ind w:firstLine="360"/>
            </w:pPr>
            <w:r>
              <w:rPr>
                <w:rFonts w:ascii="仿宋_GB2312" w:hAnsi="仿宋_GB2312" w:cs="仿宋_GB2312" w:eastAsia="仿宋_GB2312"/>
                <w:sz w:val="18"/>
              </w:rPr>
              <w:t>为了保障高速公路联网收费业务支撑平台的运维服务质量，</w:t>
            </w:r>
            <w:r>
              <w:rPr>
                <w:rFonts w:ascii="仿宋_GB2312" w:hAnsi="仿宋_GB2312" w:cs="仿宋_GB2312" w:eastAsia="仿宋_GB2312"/>
                <w:sz w:val="18"/>
              </w:rPr>
              <w:t>供应商</w:t>
            </w:r>
            <w:r>
              <w:rPr>
                <w:rFonts w:ascii="仿宋_GB2312" w:hAnsi="仿宋_GB2312" w:cs="仿宋_GB2312" w:eastAsia="仿宋_GB2312"/>
                <w:sz w:val="18"/>
              </w:rPr>
              <w:t>应基于</w:t>
            </w:r>
            <w:r>
              <w:rPr>
                <w:rFonts w:ascii="仿宋_GB2312" w:hAnsi="仿宋_GB2312" w:cs="仿宋_GB2312" w:eastAsia="仿宋_GB2312"/>
                <w:sz w:val="18"/>
              </w:rPr>
              <w:t>ITSS运维管理最佳实践，在本项目运维过程中建立完善的运维管理制度和流程，包括：事件/故障管理流程、变更管理流程、资源管理流程、监控与告警管理流程、备份与恢复管理流程和运维报告管理等运维管理流程，并执行。同时须建立服务质量评价指标，包括系统连续性、可用性、人员能力、响应性等，并通过服务质量指标对运维服务进行监控和运行分析，促进运维质量和效率的提升。</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五</w:t>
            </w:r>
            <w:r>
              <w:rPr>
                <w:rFonts w:ascii="仿宋_GB2312" w:hAnsi="仿宋_GB2312" w:cs="仿宋_GB2312" w:eastAsia="仿宋_GB2312"/>
                <w:sz w:val="18"/>
              </w:rPr>
              <w:t>）监控与巡检管理要求</w:t>
            </w:r>
          </w:p>
          <w:p>
            <w:pPr>
              <w:pStyle w:val="null3"/>
              <w:ind w:firstLine="360"/>
            </w:pPr>
            <w:r>
              <w:rPr>
                <w:rFonts w:ascii="仿宋_GB2312" w:hAnsi="仿宋_GB2312" w:cs="仿宋_GB2312" w:eastAsia="仿宋_GB2312"/>
                <w:sz w:val="18"/>
              </w:rPr>
              <w:t>为达到高速公路联网收费业务支撑平台运维管理的可用性目标，对平台进行统一监控、定期巡检及时发现问题，确保平台</w:t>
            </w:r>
            <w:r>
              <w:rPr>
                <w:rFonts w:ascii="仿宋_GB2312" w:hAnsi="仿宋_GB2312" w:cs="仿宋_GB2312" w:eastAsia="仿宋_GB2312"/>
                <w:sz w:val="18"/>
              </w:rPr>
              <w:t>7X24小时稳定可靠运行。监控与巡检管理总体要求如下：</w:t>
            </w:r>
          </w:p>
          <w:p>
            <w:pPr>
              <w:pStyle w:val="null3"/>
              <w:ind w:firstLine="360"/>
            </w:pPr>
            <w:r>
              <w:rPr>
                <w:rFonts w:ascii="仿宋_GB2312" w:hAnsi="仿宋_GB2312" w:cs="仿宋_GB2312" w:eastAsia="仿宋_GB2312"/>
                <w:sz w:val="18"/>
              </w:rPr>
              <w:t>1.针对机房环境、网络、计算、存储和虚拟层等各系统的不同特点，制定详细完整的常规巡检制度及检查／监控规程，确保平台的高</w:t>
            </w:r>
            <w:r>
              <w:rPr>
                <w:rFonts w:ascii="仿宋_GB2312" w:hAnsi="仿宋_GB2312" w:cs="仿宋_GB2312" w:eastAsia="仿宋_GB2312"/>
                <w:sz w:val="18"/>
              </w:rPr>
              <w:t>效</w:t>
            </w:r>
            <w:r>
              <w:rPr>
                <w:rFonts w:ascii="仿宋_GB2312" w:hAnsi="仿宋_GB2312" w:cs="仿宋_GB2312" w:eastAsia="仿宋_GB2312"/>
                <w:sz w:val="18"/>
              </w:rPr>
              <w:t>可用性。</w:t>
            </w:r>
          </w:p>
          <w:p>
            <w:pPr>
              <w:pStyle w:val="null3"/>
              <w:ind w:firstLine="360"/>
            </w:pPr>
            <w:r>
              <w:rPr>
                <w:rFonts w:ascii="仿宋_GB2312" w:hAnsi="仿宋_GB2312" w:cs="仿宋_GB2312" w:eastAsia="仿宋_GB2312"/>
                <w:sz w:val="18"/>
              </w:rPr>
              <w:t>2.每天由值班工作人员进行检查，机房环境常规时期现场巡检不少于每天2次，特殊时期现场巡检不少于每天4次，平台软硬件运行情况常规时期现场巡检不少于每天4次，特殊时期现场巡检不少于每天6次，并做好每日巡检记录，确保平台的正常运行。</w:t>
            </w:r>
          </w:p>
          <w:p>
            <w:pPr>
              <w:pStyle w:val="null3"/>
              <w:ind w:firstLine="360"/>
            </w:pPr>
            <w:r>
              <w:rPr>
                <w:rFonts w:ascii="仿宋_GB2312" w:hAnsi="仿宋_GB2312" w:cs="仿宋_GB2312" w:eastAsia="仿宋_GB2312"/>
                <w:sz w:val="18"/>
              </w:rPr>
              <w:t>3.出现告警时应由值班人员负责故障的排除及判断是否升级故障，对于监控系统所产生的告警，值班工作人员应按照事件处理流程，做统一记录，并进行故障上报、处理。</w:t>
            </w:r>
          </w:p>
          <w:p>
            <w:pPr>
              <w:pStyle w:val="null3"/>
              <w:ind w:firstLine="360"/>
            </w:pPr>
            <w:r>
              <w:rPr>
                <w:rFonts w:ascii="仿宋_GB2312" w:hAnsi="仿宋_GB2312" w:cs="仿宋_GB2312" w:eastAsia="仿宋_GB2312"/>
                <w:sz w:val="18"/>
              </w:rPr>
              <w:t>4.对维护范围内的网络设施、计算、存储和备份资源提供至少每季度一次的系统性巡检，提交巡检报告。通过系统健康检查对系统运行的潜在问题进行深入检查，排查隐患、分析系统性能，并提出解决建议。</w:t>
            </w:r>
          </w:p>
          <w:p>
            <w:pPr>
              <w:pStyle w:val="null3"/>
              <w:ind w:firstLine="360"/>
            </w:pPr>
            <w:r>
              <w:rPr>
                <w:rFonts w:ascii="仿宋_GB2312" w:hAnsi="仿宋_GB2312" w:cs="仿宋_GB2312" w:eastAsia="仿宋_GB2312"/>
                <w:sz w:val="18"/>
              </w:rPr>
              <w:t>5.针对各种维护操作制定相应的岗位职责及管理制度，并通过事后的监督审核确保各项操作得到可靠</w:t>
            </w:r>
            <w:r>
              <w:rPr>
                <w:rFonts w:ascii="仿宋_GB2312" w:hAnsi="仿宋_GB2312" w:cs="仿宋_GB2312" w:eastAsia="仿宋_GB2312"/>
                <w:sz w:val="18"/>
              </w:rPr>
              <w:t>地</w:t>
            </w:r>
            <w:r>
              <w:rPr>
                <w:rFonts w:ascii="仿宋_GB2312" w:hAnsi="仿宋_GB2312" w:cs="仿宋_GB2312" w:eastAsia="仿宋_GB2312"/>
                <w:sz w:val="18"/>
              </w:rPr>
              <w:t>执行。</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六</w:t>
            </w:r>
            <w:r>
              <w:rPr>
                <w:rFonts w:ascii="仿宋_GB2312" w:hAnsi="仿宋_GB2312" w:cs="仿宋_GB2312" w:eastAsia="仿宋_GB2312"/>
                <w:sz w:val="18"/>
              </w:rPr>
              <w:t>）关键时刻保障服务</w:t>
            </w:r>
          </w:p>
          <w:p>
            <w:pPr>
              <w:pStyle w:val="null3"/>
              <w:ind w:firstLine="360"/>
            </w:pPr>
            <w:r>
              <w:rPr>
                <w:rFonts w:ascii="仿宋_GB2312" w:hAnsi="仿宋_GB2312" w:cs="仿宋_GB2312" w:eastAsia="仿宋_GB2312"/>
                <w:sz w:val="18"/>
              </w:rPr>
              <w:t>针对关键时刻，如重大节假日、重要活动等，驻场工程师</w:t>
            </w:r>
            <w:r>
              <w:rPr>
                <w:rFonts w:ascii="仿宋_GB2312" w:hAnsi="仿宋_GB2312" w:cs="仿宋_GB2312" w:eastAsia="仿宋_GB2312"/>
                <w:sz w:val="18"/>
              </w:rPr>
              <w:t>将</w:t>
            </w:r>
            <w:r>
              <w:rPr>
                <w:rFonts w:ascii="仿宋_GB2312" w:hAnsi="仿宋_GB2312" w:cs="仿宋_GB2312" w:eastAsia="仿宋_GB2312"/>
                <w:sz w:val="18"/>
              </w:rPr>
              <w:t>与省中心沟通，制定关键时刻保障计划，加大日巡检次数和重保前平台健康检查和隐患排查，有效应对关键时期的各种突发事件。</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七</w:t>
            </w:r>
            <w:r>
              <w:rPr>
                <w:rFonts w:ascii="仿宋_GB2312" w:hAnsi="仿宋_GB2312" w:cs="仿宋_GB2312" w:eastAsia="仿宋_GB2312"/>
                <w:sz w:val="18"/>
              </w:rPr>
              <w:t>）培训要求</w:t>
            </w:r>
          </w:p>
          <w:p>
            <w:pPr>
              <w:pStyle w:val="null3"/>
              <w:ind w:firstLine="360"/>
            </w:pPr>
            <w:r>
              <w:rPr>
                <w:rFonts w:ascii="仿宋_GB2312" w:hAnsi="仿宋_GB2312" w:cs="仿宋_GB2312" w:eastAsia="仿宋_GB2312"/>
                <w:sz w:val="18"/>
              </w:rPr>
              <w:t>在服务期内，针对运维岗位人员要求，对运维服务人员组织定期培训，提供系统性的原理和技术性能、操作维护方法、安装调测、排除故障等各个方面的培训，以确保运维服务人员具备相应的服务能力，能够持续满足运维服务要求。为确保培训过程最终能够满足以上要求，需通过考试来验证和保证培训效果。网络安全要求：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r>
              <w:br/>
            </w:r>
            <w:r>
              <w:rPr>
                <w:rFonts w:ascii="仿宋_GB2312" w:hAnsi="仿宋_GB2312" w:cs="仿宋_GB2312" w:eastAsia="仿宋_GB2312"/>
                <w:sz w:val="18"/>
              </w:rPr>
              <w:t xml:space="preserve">    （八）保密要求：供应商应承担保密义务，不得以任何形式向第三方提供或泄露中心的工作机密， 包括中心的日常运作、工作情况、网络结构、系统软件及中心所提供的所有相关资料、数据等。</w:t>
            </w:r>
            <w:r>
              <w:br/>
            </w:r>
            <w:r>
              <w:rPr>
                <w:rFonts w:ascii="仿宋_GB2312" w:hAnsi="仿宋_GB2312" w:cs="仿宋_GB2312" w:eastAsia="仿宋_GB2312"/>
                <w:sz w:val="18"/>
              </w:rPr>
              <w:t xml:space="preserve">    （九）其他要求</w:t>
            </w:r>
            <w:r>
              <w:br/>
            </w:r>
            <w:r>
              <w:rPr>
                <w:rFonts w:ascii="仿宋_GB2312" w:hAnsi="仿宋_GB2312" w:cs="仿宋_GB2312" w:eastAsia="仿宋_GB2312"/>
                <w:sz w:val="18"/>
              </w:rPr>
              <w:t xml:space="preserve">  1.如果在维护期内联网收费业务支撑平台新增硬件设备，供应商应提供对新增硬件设备状态的日常巡检服务。</w:t>
            </w:r>
            <w:r>
              <w:br/>
            </w:r>
            <w:r>
              <w:rPr>
                <w:rFonts w:ascii="仿宋_GB2312" w:hAnsi="仿宋_GB2312" w:cs="仿宋_GB2312" w:eastAsia="仿宋_GB2312"/>
                <w:sz w:val="18"/>
              </w:rPr>
              <w:t xml:space="preserve">  2.供应商应保障支撑平台运行的连续性，制订详细、可行的连续性应急预案，维护期内如发生硬件故障，供应商应及时定位故障，并采取应急措施确保支撑平台运行的连续性。如需维修或更换硬件，供应商应提出配件规格型号，由中心自行采购或委托供应商代购。</w:t>
            </w:r>
          </w:p>
          <w:p>
            <w:pPr>
              <w:pStyle w:val="null3"/>
              <w:ind w:firstLine="360"/>
            </w:pPr>
            <w:r>
              <w:rPr>
                <w:rFonts w:ascii="仿宋_GB2312" w:hAnsi="仿宋_GB2312" w:cs="仿宋_GB2312" w:eastAsia="仿宋_GB2312"/>
                <w:sz w:val="18"/>
              </w:rPr>
              <w:t>3.出现下列情况，每次扣除维护服务费1000元，从当期维护服务费中扣除。</w:t>
            </w:r>
            <w:r>
              <w:br/>
            </w:r>
            <w:r>
              <w:rPr>
                <w:rFonts w:ascii="仿宋_GB2312" w:hAnsi="仿宋_GB2312" w:cs="仿宋_GB2312" w:eastAsia="仿宋_GB2312"/>
                <w:sz w:val="18"/>
              </w:rPr>
              <w:t xml:space="preserve">   （1）供应商在服务期内，应当按中心要求保证运维质量，如未按要求及时响应维护。</w:t>
            </w:r>
            <w:r>
              <w:br/>
            </w:r>
            <w:r>
              <w:rPr>
                <w:rFonts w:ascii="仿宋_GB2312" w:hAnsi="仿宋_GB2312" w:cs="仿宋_GB2312" w:eastAsia="仿宋_GB2312"/>
                <w:sz w:val="18"/>
              </w:rPr>
              <w:t xml:space="preserve">   （2）日常维护中因巡检不到位造成故障不能及时发现处置。</w:t>
            </w:r>
            <w:r>
              <w:br/>
            </w:r>
            <w:r>
              <w:rPr>
                <w:rFonts w:ascii="仿宋_GB2312" w:hAnsi="仿宋_GB2312" w:cs="仿宋_GB2312" w:eastAsia="仿宋_GB2312"/>
                <w:sz w:val="18"/>
              </w:rPr>
              <w:t xml:space="preserve">   （3）供应商应保障支撑平台运行的连续性，制订连续性应急措施，如发生硬件损坏故障，因应急措施不当影响了支撑平台运行的连续性。</w:t>
            </w:r>
            <w:r>
              <w:br/>
            </w:r>
            <w:r>
              <w:rPr>
                <w:rFonts w:ascii="仿宋_GB2312" w:hAnsi="仿宋_GB2312" w:cs="仿宋_GB2312" w:eastAsia="仿宋_GB2312"/>
                <w:sz w:val="18"/>
              </w:rPr>
              <w:t xml:space="preserve">   （4）未经允许驻场人员擅离职守。</w:t>
            </w:r>
            <w:r>
              <w:br/>
            </w:r>
            <w:r>
              <w:rPr>
                <w:rFonts w:ascii="仿宋_GB2312" w:hAnsi="仿宋_GB2312" w:cs="仿宋_GB2312" w:eastAsia="仿宋_GB2312"/>
                <w:sz w:val="18"/>
              </w:rPr>
              <w:t xml:space="preserve">  4.供应商未提供保证本运维项目执行的管理及运维文件，中心可以推迟付款，直至供应商补齐有关文件。</w:t>
            </w:r>
            <w:r>
              <w:br/>
            </w:r>
            <w:r>
              <w:rPr>
                <w:rFonts w:ascii="仿宋_GB2312" w:hAnsi="仿宋_GB2312" w:cs="仿宋_GB2312" w:eastAsia="仿宋_GB2312"/>
                <w:sz w:val="18"/>
              </w:rPr>
              <w:t xml:space="preserve">  5.因供应商泄密或操作不当造成中心利益损害，除一切后果与法律责任由供应商承担，中心有权要求供应商赔偿经济损失。</w:t>
            </w:r>
            <w:r>
              <w:br/>
            </w:r>
            <w:r>
              <w:rPr>
                <w:rFonts w:ascii="仿宋_GB2312" w:hAnsi="仿宋_GB2312" w:cs="仿宋_GB2312" w:eastAsia="仿宋_GB2312"/>
                <w:sz w:val="18"/>
              </w:rPr>
              <w:t xml:space="preserve">  6.上述违约内容直接从中心未支付供应商的合同金额中扣减，如合同剩余金额不足的，供应商应在规定时限内向中心交纳。</w:t>
            </w:r>
          </w:p>
          <w:p>
            <w:pPr>
              <w:pStyle w:val="null3"/>
              <w:jc w:val="center"/>
            </w:pPr>
            <w:r>
              <w:rPr>
                <w:rFonts w:ascii="仿宋_GB2312" w:hAnsi="仿宋_GB2312" w:cs="仿宋_GB2312" w:eastAsia="仿宋_GB2312"/>
                <w:sz w:val="18"/>
              </w:rPr>
              <w:t>陕西省高速公路联网收费业务支撑平台运维服务设备清单</w:t>
            </w:r>
          </w:p>
          <w:tbl>
            <w:tblPr>
              <w:tblBorders>
                <w:top w:val="none" w:color="000000" w:sz="4"/>
                <w:left w:val="none" w:color="000000" w:sz="4"/>
                <w:bottom w:val="none" w:color="000000" w:sz="4"/>
                <w:right w:val="none" w:color="000000" w:sz="4"/>
                <w:insideH w:val="none"/>
                <w:insideV w:val="none"/>
              </w:tblBorders>
            </w:tblPr>
            <w:tblGrid>
              <w:gridCol w:w="127"/>
              <w:gridCol w:w="169"/>
              <w:gridCol w:w="379"/>
              <w:gridCol w:w="705"/>
              <w:gridCol w:w="163"/>
              <w:gridCol w:w="148"/>
              <w:gridCol w:w="169"/>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类别</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子类</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w:t>
                  </w:r>
                  <w:r>
                    <w:rPr>
                      <w:rFonts w:ascii="仿宋_GB2312" w:hAnsi="仿宋_GB2312" w:cs="仿宋_GB2312" w:eastAsia="仿宋_GB2312"/>
                      <w:sz w:val="18"/>
                    </w:rPr>
                    <w:t>/硬件名称</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质保期</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机房环境</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供配电系统</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施耐德</w:t>
                  </w:r>
                  <w:r>
                    <w:rPr>
                      <w:rFonts w:ascii="仿宋_GB2312" w:hAnsi="仿宋_GB2312" w:cs="仿宋_GB2312" w:eastAsia="仿宋_GB2312"/>
                      <w:sz w:val="18"/>
                    </w:rPr>
                    <w:t>APC-160单模块16</w:t>
                  </w:r>
                  <w:r>
                    <w:rPr>
                      <w:rFonts w:ascii="仿宋_GB2312" w:hAnsi="仿宋_GB2312" w:cs="仿宋_GB2312" w:eastAsia="仿宋_GB2312"/>
                      <w:sz w:val="18"/>
                    </w:rPr>
                    <w:t>kW</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智能列头柜</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华晟智能</w:t>
                  </w:r>
                  <w:r>
                    <w:rPr>
                      <w:rFonts w:ascii="仿宋_GB2312" w:hAnsi="仿宋_GB2312" w:cs="仿宋_GB2312" w:eastAsia="仿宋_GB2312"/>
                      <w:sz w:val="18"/>
                    </w:rPr>
                    <w:t>HS2000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vMerge/>
                  <w:tcBorders>
                    <w:top w:val="none" w:color="000000" w:sz="4"/>
                    <w:left w:val="single" w:color="000000" w:sz="4"/>
                    <w:bottom w:val="single" w:color="000000" w:sz="4"/>
                    <w:right w:val="single" w:color="000000" w:sz="4"/>
                  </w:tcBorders>
                </w:tc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69"/>
                  <w:vMerge/>
                  <w:tcBorders>
                    <w:top w:val="none" w:color="000000" w:sz="4"/>
                    <w:left w:val="single" w:color="000000" w:sz="4"/>
                    <w:bottom w:val="single" w:color="000000" w:sz="4"/>
                    <w:right w:val="single" w:color="000000" w:sz="4"/>
                  </w:tcBorders>
                </w:tc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精密空调</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Envi cool空调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Envi cool空调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iTeaQ 空调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黎耀</w:t>
                  </w:r>
                  <w:r>
                    <w:rPr>
                      <w:rFonts w:ascii="仿宋_GB2312" w:hAnsi="仿宋_GB2312" w:cs="仿宋_GB2312" w:eastAsia="仿宋_GB2312"/>
                      <w:sz w:val="18"/>
                    </w:rPr>
                    <w:t>/leayo</w:t>
                  </w:r>
                  <w:r>
                    <w:rPr>
                      <w:rFonts w:ascii="仿宋_GB2312" w:hAnsi="仿宋_GB2312" w:cs="仿宋_GB2312" w:eastAsia="仿宋_GB2312"/>
                      <w:sz w:val="18"/>
                    </w:rPr>
                    <w:t>空调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增添</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网络设施</w:t>
                  </w:r>
                </w:p>
                <w:p>
                  <w:pPr>
                    <w:pStyle w:val="null3"/>
                    <w:jc w:val="center"/>
                  </w:pPr>
                  <w:r>
                    <w:rPr>
                      <w:rFonts w:ascii="仿宋_GB2312" w:hAnsi="仿宋_GB2312" w:cs="仿宋_GB2312" w:eastAsia="仿宋_GB2312"/>
                      <w:sz w:val="18"/>
                    </w:rPr>
                    <w:t>网络设施</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路网接入交换机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S8900E-06</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平台核心交换机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S12800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69"/>
                  <w:vMerge/>
                  <w:tcBorders>
                    <w:top w:val="none" w:color="000000" w:sz="4"/>
                    <w:left w:val="single" w:color="000000" w:sz="4"/>
                    <w:bottom w:val="single" w:color="000000" w:sz="4"/>
                    <w:right w:val="single" w:color="000000" w:sz="4"/>
                  </w:tcBorders>
                </w:tc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接入交换机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S5820-54XQFP</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S5820-54XQFP</w:t>
                  </w:r>
                </w:p>
              </w:tc>
              <w:tc>
                <w:tcPr>
                  <w:tcW w:type="dxa" w:w="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4台</w:t>
                  </w:r>
                </w:p>
              </w:tc>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S5820-30XQFP</w:t>
                  </w:r>
                </w:p>
              </w:tc>
              <w:tc>
                <w:tcPr>
                  <w:tcW w:type="dxa" w:w="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69"/>
                  <w:vMerge/>
                  <w:tcBorders>
                    <w:top w:val="none" w:color="000000" w:sz="4"/>
                    <w:left w:val="single" w:color="000000" w:sz="4"/>
                    <w:bottom w:val="single" w:color="000000" w:sz="4"/>
                    <w:right w:val="single" w:color="000000" w:sz="4"/>
                  </w:tcBorders>
                </w:tc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千兆管理交换机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S3320-56TC-AC</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迈普</w:t>
                  </w:r>
                  <w:r>
                    <w:rPr>
                      <w:rFonts w:ascii="仿宋_GB2312" w:hAnsi="仿宋_GB2312" w:cs="仿宋_GB2312" w:eastAsia="仿宋_GB2312"/>
                      <w:sz w:val="18"/>
                    </w:rPr>
                    <w:t>S3330-54TXF-AC</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SAN交换机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博科</w:t>
                  </w:r>
                  <w:r>
                    <w:rPr>
                      <w:rFonts w:ascii="仿宋_GB2312" w:hAnsi="仿宋_GB2312" w:cs="仿宋_GB2312" w:eastAsia="仿宋_GB2312"/>
                      <w:sz w:val="18"/>
                    </w:rPr>
                    <w:t>BR6510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原核心交换机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S7706</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应用负载均衡</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普天</w:t>
                  </w:r>
                  <w:r>
                    <w:rPr>
                      <w:rFonts w:ascii="仿宋_GB2312" w:hAnsi="仿宋_GB2312" w:cs="仿宋_GB2312" w:eastAsia="仿宋_GB2312"/>
                      <w:sz w:val="18"/>
                    </w:rPr>
                    <w:t>CP ADC 3030S</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应用负载均衡</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普天</w:t>
                  </w:r>
                  <w:r>
                    <w:rPr>
                      <w:rFonts w:ascii="仿宋_GB2312" w:hAnsi="仿宋_GB2312" w:cs="仿宋_GB2312" w:eastAsia="仿宋_GB2312"/>
                      <w:sz w:val="18"/>
                    </w:rPr>
                    <w:t>CP ADC 3030S</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银行交换机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思科</w:t>
                  </w:r>
                  <w:r>
                    <w:rPr>
                      <w:rFonts w:ascii="仿宋_GB2312" w:hAnsi="仿宋_GB2312" w:cs="仿宋_GB2312" w:eastAsia="仿宋_GB2312"/>
                      <w:sz w:val="18"/>
                    </w:rPr>
                    <w:t>Catalyst 2960-S</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交换机（一二级路）</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锐捷交换机</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现金安全管理区交换机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S5700-28X</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交换机（管理网络）</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S5700-52P-LI-AC</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服务器汇聚交换机</w:t>
                  </w:r>
                  <w:r>
                    <w:rPr>
                      <w:rFonts w:ascii="仿宋_GB2312" w:hAnsi="仿宋_GB2312" w:cs="仿宋_GB2312" w:eastAsia="仿宋_GB2312"/>
                      <w:sz w:val="18"/>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CE5855-48T4S2Q-E1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服务器汇聚交换机</w:t>
                  </w:r>
                  <w:r>
                    <w:rPr>
                      <w:rFonts w:ascii="仿宋_GB2312" w:hAnsi="仿宋_GB2312" w:cs="仿宋_GB2312" w:eastAsia="仿宋_GB2312"/>
                      <w:sz w:val="18"/>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CE5855-48T4S2Q-E1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四楼结算室</w:t>
                  </w:r>
                  <w:r>
                    <w:rPr>
                      <w:rFonts w:ascii="仿宋_GB2312" w:hAnsi="仿宋_GB2312" w:cs="仿宋_GB2312" w:eastAsia="仿宋_GB2312"/>
                      <w:sz w:val="18"/>
                    </w:rPr>
                    <w:t>/发卡室交换机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思科</w:t>
                  </w:r>
                  <w:r>
                    <w:rPr>
                      <w:rFonts w:ascii="仿宋_GB2312" w:hAnsi="仿宋_GB2312" w:cs="仿宋_GB2312" w:eastAsia="仿宋_GB2312"/>
                      <w:sz w:val="18"/>
                    </w:rPr>
                    <w:t>Catalyst2950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四楼运维室交换机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思科</w:t>
                  </w:r>
                  <w:r>
                    <w:rPr>
                      <w:rFonts w:ascii="仿宋_GB2312" w:hAnsi="仿宋_GB2312" w:cs="仿宋_GB2312" w:eastAsia="仿宋_GB2312"/>
                      <w:sz w:val="18"/>
                    </w:rPr>
                    <w:t>Catalyst2950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备用链路路由器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MP7300X</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w:t>
                  </w:r>
                </w:p>
                <w:p>
                  <w:pPr>
                    <w:pStyle w:val="null3"/>
                    <w:jc w:val="center"/>
                  </w:pPr>
                  <w:r>
                    <w:rPr>
                      <w:rFonts w:ascii="仿宋_GB2312" w:hAnsi="仿宋_GB2312" w:cs="仿宋_GB2312" w:eastAsia="仿宋_GB2312"/>
                      <w:sz w:val="18"/>
                    </w:rPr>
                    <w:t>计算资源</w:t>
                  </w:r>
                </w:p>
                <w:p>
                  <w:pPr>
                    <w:pStyle w:val="null3"/>
                    <w:jc w:val="center"/>
                  </w:pPr>
                  <w:r>
                    <w:rPr>
                      <w:rFonts w:ascii="仿宋_GB2312" w:hAnsi="仿宋_GB2312" w:cs="仿宋_GB2312" w:eastAsia="仿宋_GB2312"/>
                      <w:sz w:val="18"/>
                    </w:rPr>
                    <w:t>计算资源</w:t>
                  </w:r>
                </w:p>
                <w:p>
                  <w:pPr>
                    <w:pStyle w:val="null3"/>
                    <w:jc w:val="center"/>
                  </w:p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虚拟化通用服务器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R5210 G11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R620 G30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虚拟化高性能服务器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R7410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支撑平台管理服务器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浪潮</w:t>
                  </w:r>
                  <w:r>
                    <w:rPr>
                      <w:rFonts w:ascii="仿宋_GB2312" w:hAnsi="仿宋_GB2312" w:cs="仿宋_GB2312" w:eastAsia="仿宋_GB2312"/>
                      <w:sz w:val="18"/>
                    </w:rPr>
                    <w:t>NF5280M5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图形虚拟化服务器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浪潮</w:t>
                  </w:r>
                  <w:r>
                    <w:rPr>
                      <w:rFonts w:ascii="仿宋_GB2312" w:hAnsi="仿宋_GB2312" w:cs="仿宋_GB2312" w:eastAsia="仿宋_GB2312"/>
                      <w:sz w:val="18"/>
                    </w:rPr>
                    <w:t>NF5280M5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测试虚拟化服务器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中兴</w:t>
                  </w:r>
                  <w:r>
                    <w:rPr>
                      <w:rFonts w:ascii="仿宋_GB2312" w:hAnsi="仿宋_GB2312" w:cs="仿宋_GB2312" w:eastAsia="仿宋_GB2312"/>
                      <w:sz w:val="18"/>
                    </w:rPr>
                    <w:t>ZXCLOUD R5300 G4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高性能容灾服务器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R7410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通用物理服务器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R5210 G11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高性能物理服务器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R7410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容器平台服务器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R620 G30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容器平台高性能服务器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R840 G30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同步分区负载服务器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迪思杰</w:t>
                  </w:r>
                  <w:r>
                    <w:rPr>
                      <w:rFonts w:ascii="仿宋_GB2312" w:hAnsi="仿宋_GB2312" w:cs="仿宋_GB2312" w:eastAsia="仿宋_GB2312"/>
                      <w:sz w:val="18"/>
                    </w:rPr>
                    <w:t>R7410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交换平台服务器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R840 G30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虚拟机</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易捷行云</w:t>
                  </w:r>
                  <w:r>
                    <w:rPr>
                      <w:rFonts w:ascii="仿宋_GB2312" w:hAnsi="仿宋_GB2312" w:cs="仿宋_GB2312" w:eastAsia="仿宋_GB2312"/>
                      <w:sz w:val="18"/>
                    </w:rPr>
                    <w:t>-云主机</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314台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NTP时间同步服务器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SYN2151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现金区</w:t>
                  </w:r>
                  <w:r>
                    <w:rPr>
                      <w:rFonts w:ascii="仿宋_GB2312" w:hAnsi="仿宋_GB2312" w:cs="仿宋_GB2312" w:eastAsia="仿宋_GB2312"/>
                      <w:sz w:val="18"/>
                    </w:rPr>
                    <w:t>&amp;ETC区交互服务器1</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IBM X3650M4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现金区</w:t>
                  </w:r>
                  <w:r>
                    <w:rPr>
                      <w:rFonts w:ascii="仿宋_GB2312" w:hAnsi="仿宋_GB2312" w:cs="仿宋_GB2312" w:eastAsia="仿宋_GB2312"/>
                      <w:sz w:val="18"/>
                    </w:rPr>
                    <w:t>&amp;ETC区交互服务器2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联想</w:t>
                  </w:r>
                  <w:r>
                    <w:rPr>
                      <w:rFonts w:ascii="仿宋_GB2312" w:hAnsi="仿宋_GB2312" w:cs="仿宋_GB2312" w:eastAsia="仿宋_GB2312"/>
                      <w:sz w:val="18"/>
                    </w:rPr>
                    <w:t>3650M5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日志收集服务器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戴尔</w:t>
                  </w:r>
                  <w:r>
                    <w:rPr>
                      <w:rFonts w:ascii="仿宋_GB2312" w:hAnsi="仿宋_GB2312" w:cs="仿宋_GB2312" w:eastAsia="仿宋_GB2312"/>
                      <w:sz w:val="18"/>
                    </w:rPr>
                    <w:t>R230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IT运维系统服务器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戴尔</w:t>
                  </w:r>
                  <w:r>
                    <w:rPr>
                      <w:rFonts w:ascii="仿宋_GB2312" w:hAnsi="仿宋_GB2312" w:cs="仿宋_GB2312" w:eastAsia="仿宋_GB2312"/>
                      <w:sz w:val="18"/>
                    </w:rPr>
                    <w:t>R230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安全管理及补丁分发服务器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戴尔</w:t>
                  </w:r>
                  <w:r>
                    <w:rPr>
                      <w:rFonts w:ascii="仿宋_GB2312" w:hAnsi="仿宋_GB2312" w:cs="仿宋_GB2312" w:eastAsia="仿宋_GB2312"/>
                      <w:sz w:val="18"/>
                    </w:rPr>
                    <w:t>R230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一级路前置机服务器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IBM X3650 M3</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一级路应用服务器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RH2288v3</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一级路数据库服务器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RH2288v3</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动环检测服务器</w:t>
                  </w:r>
                  <w:r>
                    <w:rPr>
                      <w:rFonts w:ascii="仿宋_GB2312" w:hAnsi="仿宋_GB2312" w:cs="仿宋_GB2312" w:eastAsia="仿宋_GB2312"/>
                      <w:sz w:val="18"/>
                    </w:rPr>
                    <w:t>1</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HUAWEI-2288HV5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动环检测服务器</w:t>
                  </w:r>
                  <w:r>
                    <w:rPr>
                      <w:rFonts w:ascii="仿宋_GB2312" w:hAnsi="仿宋_GB2312" w:cs="仿宋_GB2312" w:eastAsia="仿宋_GB2312"/>
                      <w:sz w:val="18"/>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HUAWEI-2288HV5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云智慧监测服务器</w:t>
                  </w:r>
                  <w:r>
                    <w:rPr>
                      <w:rFonts w:ascii="仿宋_GB2312" w:hAnsi="仿宋_GB2312" w:cs="仿宋_GB2312" w:eastAsia="仿宋_GB2312"/>
                      <w:sz w:val="18"/>
                    </w:rPr>
                    <w:t>-1</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HUAWEI-2288HV5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增添</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云智慧监测服务器</w:t>
                  </w:r>
                  <w:r>
                    <w:rPr>
                      <w:rFonts w:ascii="仿宋_GB2312" w:hAnsi="仿宋_GB2312" w:cs="仿宋_GB2312" w:eastAsia="仿宋_GB2312"/>
                      <w:sz w:val="18"/>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HUAWEI-2288HV5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增添</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云智慧监测服务器</w:t>
                  </w:r>
                  <w:r>
                    <w:rPr>
                      <w:rFonts w:ascii="仿宋_GB2312" w:hAnsi="仿宋_GB2312" w:cs="仿宋_GB2312" w:eastAsia="仿宋_GB2312"/>
                      <w:sz w:val="18"/>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HUAWEI-2288HV5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增添</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移动式收费服务器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联想</w:t>
                  </w:r>
                  <w:r>
                    <w:rPr>
                      <w:rFonts w:ascii="仿宋_GB2312" w:hAnsi="仿宋_GB2312" w:cs="仿宋_GB2312" w:eastAsia="仿宋_GB2312"/>
                      <w:sz w:val="18"/>
                    </w:rPr>
                    <w:t>SR590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稽核</w:t>
                  </w:r>
                  <w:r>
                    <w:rPr>
                      <w:rFonts w:ascii="仿宋_GB2312" w:hAnsi="仿宋_GB2312" w:cs="仿宋_GB2312" w:eastAsia="仿宋_GB2312"/>
                      <w:sz w:val="18"/>
                    </w:rPr>
                    <w:t>GPU服务器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超聚变</w:t>
                  </w:r>
                  <w:r>
                    <w:rPr>
                      <w:rFonts w:ascii="仿宋_GB2312" w:hAnsi="仿宋_GB2312" w:cs="仿宋_GB2312" w:eastAsia="仿宋_GB2312"/>
                      <w:sz w:val="18"/>
                    </w:rPr>
                    <w:t>2288H 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增添</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存储资源</w:t>
                  </w:r>
                </w:p>
                <w:p>
                  <w:pPr>
                    <w:pStyle w:val="null3"/>
                    <w:jc w:val="center"/>
                  </w:p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全闪块存储服务器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R5210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R620 G30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169"/>
                  <w:vMerge/>
                  <w:tcBorders>
                    <w:top w:val="none" w:color="000000" w:sz="4"/>
                    <w:left w:val="single" w:color="000000" w:sz="4"/>
                    <w:bottom w:val="single" w:color="000000" w:sz="4"/>
                    <w:right w:val="single" w:color="000000" w:sz="4"/>
                  </w:tcBorders>
                </w:tcPr>
                <w:p/>
              </w:tc>
              <w:tc>
                <w:tcPr>
                  <w:tcW w:type="dxa" w:w="3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混合块存储服务器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长城超云</w:t>
                  </w:r>
                  <w:r>
                    <w:rPr>
                      <w:rFonts w:ascii="仿宋_GB2312" w:hAnsi="仿宋_GB2312" w:cs="仿宋_GB2312" w:eastAsia="仿宋_GB2312"/>
                      <w:sz w:val="18"/>
                    </w:rPr>
                    <w:t>GW R5210 G11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169"/>
                  <w:vMerge/>
                  <w:tcBorders>
                    <w:top w:val="none" w:color="000000" w:sz="4"/>
                    <w:left w:val="single" w:color="000000" w:sz="4"/>
                    <w:bottom w:val="single" w:color="000000" w:sz="4"/>
                    <w:right w:val="single" w:color="000000" w:sz="4"/>
                  </w:tcBorders>
                </w:tcPr>
                <w:p/>
              </w:tc>
              <w:tc>
                <w:tcPr>
                  <w:tcW w:type="dxa" w:w="379"/>
                  <w:vMerge/>
                  <w:tcBorders>
                    <w:top w:val="none" w:color="000000" w:sz="4"/>
                    <w:left w:val="single" w:color="000000" w:sz="4"/>
                    <w:bottom w:val="single" w:color="000000" w:sz="4"/>
                    <w:right w:val="single" w:color="000000" w:sz="4"/>
                  </w:tcBorders>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R620 G40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非结构化存储服务器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R5410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备份存储服务器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长城超云</w:t>
                  </w:r>
                  <w:r>
                    <w:rPr>
                      <w:rFonts w:ascii="仿宋_GB2312" w:hAnsi="仿宋_GB2312" w:cs="仿宋_GB2312" w:eastAsia="仿宋_GB2312"/>
                      <w:sz w:val="18"/>
                    </w:rPr>
                    <w:t>GW R5210 G11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容器平台存储服务器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宁畅</w:t>
                  </w:r>
                  <w:r>
                    <w:rPr>
                      <w:rFonts w:ascii="仿宋_GB2312" w:hAnsi="仿宋_GB2312" w:cs="仿宋_GB2312" w:eastAsia="仿宋_GB2312"/>
                      <w:sz w:val="18"/>
                    </w:rPr>
                    <w:t>R620 G40</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高性能全闪存储服务器</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宏杉</w:t>
                  </w:r>
                  <w:r>
                    <w:rPr>
                      <w:rFonts w:ascii="仿宋_GB2312" w:hAnsi="仿宋_GB2312" w:cs="仿宋_GB2312" w:eastAsia="仿宋_GB2312"/>
                      <w:sz w:val="18"/>
                    </w:rPr>
                    <w:t>MS7370G2-mach</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扩容设备</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华为存储（一套）</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华为</w:t>
                  </w:r>
                  <w:r>
                    <w:rPr>
                      <w:rFonts w:ascii="仿宋_GB2312" w:hAnsi="仿宋_GB2312" w:cs="仿宋_GB2312" w:eastAsia="仿宋_GB2312"/>
                      <w:sz w:val="18"/>
                    </w:rPr>
                    <w:t>18500 V3</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利旧</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基础软件</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虚拟化平台管理软件</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ECS云计算系统V5</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平台软件</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分布式存储软件平台</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XEDPV4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平台软件</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数据交换共享平台软件</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迪思杰</w:t>
                  </w:r>
                  <w:r>
                    <w:rPr>
                      <w:rFonts w:ascii="仿宋_GB2312" w:hAnsi="仿宋_GB2312" w:cs="仿宋_GB2312" w:eastAsia="仿宋_GB2312"/>
                      <w:sz w:val="18"/>
                    </w:rPr>
                    <w:t>DataXoneV3.1</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扩容软件</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数据库复制软件</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迪思杰</w:t>
                  </w:r>
                  <w:r>
                    <w:rPr>
                      <w:rFonts w:ascii="仿宋_GB2312" w:hAnsi="仿宋_GB2312" w:cs="仿宋_GB2312" w:eastAsia="仿宋_GB2312"/>
                      <w:sz w:val="18"/>
                    </w:rPr>
                    <w:t>SuperSync数据库复制软件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3套</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脱保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平台软件</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169"/>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数据库复制软件</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迪思杰</w:t>
                  </w:r>
                  <w:r>
                    <w:rPr>
                      <w:rFonts w:ascii="仿宋_GB2312" w:hAnsi="仿宋_GB2312" w:cs="仿宋_GB2312" w:eastAsia="仿宋_GB2312"/>
                      <w:sz w:val="18"/>
                    </w:rPr>
                    <w:t>SuperSync数据库复制软件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在保</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扩容软件</w:t>
                  </w:r>
                </w:p>
              </w:tc>
            </w:tr>
          </w:tbl>
          <w:p>
            <w:pPr>
              <w:pStyle w:val="null3"/>
            </w:pPr>
            <w:r>
              <w:rPr>
                <w:rFonts w:ascii="仿宋_GB2312" w:hAnsi="仿宋_GB2312" w:cs="仿宋_GB2312" w:eastAsia="仿宋_GB2312"/>
                <w:sz w:val="18"/>
              </w:rPr>
              <w:t>陕西省高速公路联网收费业务支撑平台运维服务内容</w:t>
            </w:r>
          </w:p>
          <w:tbl>
            <w:tblPr>
              <w:tblBorders>
                <w:top w:val="none" w:color="000000" w:sz="4"/>
                <w:left w:val="none" w:color="000000" w:sz="4"/>
                <w:bottom w:val="none" w:color="000000" w:sz="4"/>
                <w:right w:val="none" w:color="000000" w:sz="4"/>
                <w:insideH w:val="none"/>
                <w:insideV w:val="none"/>
              </w:tblBorders>
            </w:tblPr>
            <w:tblGrid>
              <w:gridCol w:w="207"/>
              <w:gridCol w:w="194"/>
              <w:gridCol w:w="604"/>
              <w:gridCol w:w="222"/>
              <w:gridCol w:w="229"/>
              <w:gridCol w:w="200"/>
              <w:gridCol w:w="204"/>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w:t>
                  </w:r>
                  <w:r>
                    <w:rPr>
                      <w:rFonts w:ascii="仿宋_GB2312" w:hAnsi="仿宋_GB2312" w:cs="仿宋_GB2312" w:eastAsia="仿宋_GB2312"/>
                      <w:sz w:val="18"/>
                    </w:rPr>
                    <w:t>内容</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w:t>
                  </w:r>
                  <w:r>
                    <w:rPr>
                      <w:rFonts w:ascii="仿宋_GB2312" w:hAnsi="仿宋_GB2312" w:cs="仿宋_GB2312" w:eastAsia="仿宋_GB2312"/>
                      <w:sz w:val="18"/>
                    </w:rPr>
                    <w:t>名称</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服务描述</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服务时间</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服务频度</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交付方式</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交付成果</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机房环境运维服务</w:t>
                  </w:r>
                </w:p>
                <w:p>
                  <w:pPr>
                    <w:pStyle w:val="null3"/>
                    <w:jc w:val="center"/>
                  </w:pPr>
                  <w:r>
                    <w:rPr>
                      <w:rFonts w:ascii="仿宋_GB2312" w:hAnsi="仿宋_GB2312" w:cs="仿宋_GB2312" w:eastAsia="仿宋_GB2312"/>
                      <w:sz w:val="18"/>
                    </w:rPr>
                    <w:t>机房环境运维服务</w:t>
                  </w:r>
                </w:p>
                <w:p>
                  <w:pPr>
                    <w:pStyle w:val="null3"/>
                    <w:ind w:left="420"/>
                  </w:pPr>
                  <w:r>
                    <w:rPr>
                      <w:rFonts w:ascii="仿宋_GB2312" w:hAnsi="仿宋_GB2312" w:cs="仿宋_GB2312" w:eastAsia="仿宋_GB2312"/>
                      <w:sz w:val="18"/>
                    </w:rPr>
                    <w:t>机房环境运维服务</w:t>
                  </w:r>
                </w:p>
                <w:p>
                  <w:pPr>
                    <w:pStyle w:val="null3"/>
                  </w:pPr>
                  <w:r>
                    <w:rPr>
                      <w:rFonts w:ascii="仿宋_GB2312" w:hAnsi="仿宋_GB2312" w:cs="仿宋_GB2312" w:eastAsia="仿宋_GB2312"/>
                      <w:sz w:val="18"/>
                    </w:rPr>
                    <w:t>机房环境运维服务</w:t>
                  </w:r>
                </w:p>
                <w:p>
                  <w:pPr>
                    <w:pStyle w:val="null3"/>
                    <w:ind w:left="420"/>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机房温湿度监控</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1）通过动环系统对机房温度和湿度进行巡检、记录；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2）如发生异常情况告警应第一时间报告省中心协调厂商进行故障排查和维修。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1）巡检：2次/天（2）发生异常情况时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机房供配电运行监控</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1）通过现场巡检和动环系统监控的方式对机房供配电系统运行情况进行巡检、监控，包括UPS、列头柜等；</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2）如发生异常情况告警应第一时间报告省中心协助中心协调相关厂商进行故障排查和维修。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机房空调运行监控</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1）应采用现场巡检和动环系统监控的方式对机房空调系统的运行情况巡检、监控；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2）如发生异常情况告警应第一时间报告省中心协助中心协调相关厂商进行故障排查和维修。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机房出入管理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管理和记录人员进出机房情况</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随时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《机房出入记录》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机房资产管理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应定期对机房硬件资产进行盘点、标识，建立并维护资产清单，包含资产标识、设备板位图、设备互联详细端口信息、</w:t>
                  </w:r>
                  <w:r>
                    <w:rPr>
                      <w:rFonts w:ascii="仿宋_GB2312" w:hAnsi="仿宋_GB2312" w:cs="仿宋_GB2312" w:eastAsia="仿宋_GB2312"/>
                      <w:sz w:val="18"/>
                    </w:rPr>
                    <w:t>IP&amp;VLAN信息接口链路对应关系、物理连接拓扑图等。</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《资产清单》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机房空调维保</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18"/>
                    </w:rPr>
                    <w:t>应定期对精密空调进行状态检查排查故障并记录，定期更换和清洗空调滤网，定期清洗室外机。</w:t>
                  </w:r>
                </w:p>
                <w:p>
                  <w:pPr>
                    <w:pStyle w:val="null3"/>
                    <w:numPr>
                      <w:ilvl w:val="0"/>
                      <w:numId w:val="1"/>
                    </w:numPr>
                  </w:pPr>
                  <w:r>
                    <w:rPr>
                      <w:rFonts w:ascii="仿宋_GB2312" w:hAnsi="仿宋_GB2312" w:cs="仿宋_GB2312" w:eastAsia="仿宋_GB2312"/>
                      <w:sz w:val="18"/>
                    </w:rPr>
                    <w:t>空调故障时，接到通知应及时派出工程师至现场处理空调故障。</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1）运行检查并记录：2月/次，夏季高温时：1月/次</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2）更换滤网：1次/季度；</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3）室外机清洗：2月/次</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4）发生故障时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网络设施运维服务</w:t>
                  </w:r>
                </w:p>
                <w:p>
                  <w:pPr>
                    <w:pStyle w:val="null3"/>
                    <w:jc w:val="center"/>
                  </w:pPr>
                  <w:r>
                    <w:rPr>
                      <w:rFonts w:ascii="仿宋_GB2312" w:hAnsi="仿宋_GB2312" w:cs="仿宋_GB2312" w:eastAsia="仿宋_GB2312"/>
                      <w:sz w:val="18"/>
                    </w:rPr>
                    <w:t>网络设施运维服务</w:t>
                  </w:r>
                </w:p>
                <w:p>
                  <w:pPr>
                    <w:pStyle w:val="null3"/>
                  </w:pPr>
                  <w:r>
                    <w:rPr>
                      <w:rFonts w:ascii="仿宋_GB2312" w:hAnsi="仿宋_GB2312" w:cs="仿宋_GB2312" w:eastAsia="仿宋_GB2312"/>
                      <w:sz w:val="18"/>
                    </w:rPr>
                    <w:t>网络设施运维服务</w:t>
                  </w:r>
                </w:p>
                <w:p>
                  <w:pPr>
                    <w:pStyle w:val="null3"/>
                    <w:ind w:left="420"/>
                  </w:pPr>
                  <w:r>
                    <w:rPr>
                      <w:rFonts w:ascii="仿宋_GB2312" w:hAnsi="仿宋_GB2312" w:cs="仿宋_GB2312" w:eastAsia="仿宋_GB2312"/>
                      <w:sz w:val="18"/>
                    </w:rPr>
                    <w:t>网络设施运维服务</w:t>
                  </w:r>
                </w:p>
                <w:p>
                  <w:pPr>
                    <w:pStyle w:val="null3"/>
                    <w:ind w:left="420"/>
                  </w:pPr>
                  <w:r>
                    <w:rPr>
                      <w:rFonts w:ascii="仿宋_GB2312" w:hAnsi="仿宋_GB2312" w:cs="仿宋_GB2312" w:eastAsia="仿宋_GB2312"/>
                      <w:sz w:val="18"/>
                    </w:rPr>
                    <w:t>网络设施运维服务</w:t>
                  </w:r>
                </w:p>
                <w:p>
                  <w:pPr>
                    <w:pStyle w:val="null3"/>
                    <w:ind w:left="420"/>
                  </w:pPr>
                  <w:r>
                    <w:rPr>
                      <w:rFonts w:ascii="仿宋_GB2312" w:hAnsi="仿宋_GB2312" w:cs="仿宋_GB2312" w:eastAsia="仿宋_GB2312"/>
                      <w:sz w:val="18"/>
                    </w:rPr>
                    <w:t>网络设施运维服务</w:t>
                  </w:r>
                </w:p>
                <w:p>
                  <w:pPr>
                    <w:pStyle w:val="null3"/>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网络设备硬件巡检</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1）应通过现场巡查的方式对机房网络硬件设备的物理运行状态进行巡检、记录。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2）如发生异常情况，应第一时间报告省中心协助省中心协调相关厂商进行故障排查和维修。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1）巡检：4次/天</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2）发生异常情况时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网络运行监控</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1）应通过相关工具对网络节点设备硬件资源提供7天*24</w:t>
                  </w:r>
                  <w:r>
                    <w:rPr>
                      <w:rFonts w:ascii="仿宋_GB2312" w:hAnsi="仿宋_GB2312" w:cs="仿宋_GB2312" w:eastAsia="仿宋_GB2312"/>
                      <w:sz w:val="18"/>
                    </w:rPr>
                    <w:t>小时</w:t>
                  </w:r>
                  <w:r>
                    <w:rPr>
                      <w:rFonts w:ascii="仿宋_GB2312" w:hAnsi="仿宋_GB2312" w:cs="仿宋_GB2312" w:eastAsia="仿宋_GB2312"/>
                      <w:sz w:val="18"/>
                    </w:rPr>
                    <w:t>实时状态监控，包括</w:t>
                  </w:r>
                  <w:r>
                    <w:rPr>
                      <w:rFonts w:ascii="仿宋_GB2312" w:hAnsi="仿宋_GB2312" w:cs="仿宋_GB2312" w:eastAsia="仿宋_GB2312"/>
                      <w:sz w:val="18"/>
                    </w:rPr>
                    <w:t>CPU/内存利用率、端口状态、接口带宽使用情况和设备网络连接状态等，及时掌握设备硬件资源使用情况和网络的连通性。</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2）应对关键网络设备节点配置信息进行每天至少2次配置状态检查，包括主备状态、关键静态路由指向等，及时掌握关键配置信息应用情况，以满足设备稳定运行的需求。</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2次/天</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《日常运行监控报告》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网络定期巡检</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应采用相关工具采集网络设备信息，至少每季度对网络的运行和维护现状进行检查和分析包括网络性能、设备日志、设备配置信息等，梳理网络隐患，提供整改建议，提交《定期巡检报告》。</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1次/季度</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《网络定期巡检报告》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网络接入支持</w:t>
                  </w:r>
                </w:p>
                <w:p>
                  <w:pPr>
                    <w:pStyle w:val="null3"/>
                    <w:ind w:left="420"/>
                  </w:pP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1）在收费平台网络有变更需求时，协助省中心制定详细的网络变更方案，从业务和管理运维角度进行风险分析，确认变更风险点、影响范围，并针对风险制定有效防范措施。</w:t>
                  </w:r>
                </w:p>
                <w:p>
                  <w:pPr>
                    <w:pStyle w:val="null3"/>
                  </w:pPr>
                  <w:r>
                    <w:rPr>
                      <w:rFonts w:ascii="仿宋_GB2312" w:hAnsi="仿宋_GB2312" w:cs="仿宋_GB2312" w:eastAsia="仿宋_GB2312"/>
                      <w:sz w:val="18"/>
                    </w:rPr>
                    <w:t>（</w:t>
                  </w:r>
                  <w:r>
                    <w:rPr>
                      <w:rFonts w:ascii="仿宋_GB2312" w:hAnsi="仿宋_GB2312" w:cs="仿宋_GB2312" w:eastAsia="仿宋_GB2312"/>
                      <w:sz w:val="18"/>
                    </w:rPr>
                    <w:t>2）审核变更实施操作的准确性、验证测试方案的完整性和应急回退预案的有效性。</w:t>
                  </w:r>
                </w:p>
                <w:p>
                  <w:pPr>
                    <w:pStyle w:val="null3"/>
                  </w:pPr>
                  <w:r>
                    <w:rPr>
                      <w:rFonts w:ascii="仿宋_GB2312" w:hAnsi="仿宋_GB2312" w:cs="仿宋_GB2312" w:eastAsia="仿宋_GB2312"/>
                      <w:sz w:val="18"/>
                    </w:rPr>
                    <w:t>（</w:t>
                  </w:r>
                  <w:r>
                    <w:rPr>
                      <w:rFonts w:ascii="仿宋_GB2312" w:hAnsi="仿宋_GB2312" w:cs="仿宋_GB2312" w:eastAsia="仿宋_GB2312"/>
                      <w:sz w:val="18"/>
                    </w:rPr>
                    <w:t>3）网络接入的实施、配置，完整记录每步操作，并完成接入后的测试工作。</w:t>
                  </w:r>
                </w:p>
                <w:p>
                  <w:pPr>
                    <w:pStyle w:val="null3"/>
                  </w:pPr>
                  <w:r>
                    <w:rPr>
                      <w:rFonts w:ascii="仿宋_GB2312" w:hAnsi="仿宋_GB2312" w:cs="仿宋_GB2312" w:eastAsia="仿宋_GB2312"/>
                      <w:sz w:val="18"/>
                    </w:rPr>
                    <w:t>（</w:t>
                  </w:r>
                  <w:r>
                    <w:rPr>
                      <w:rFonts w:ascii="仿宋_GB2312" w:hAnsi="仿宋_GB2312" w:cs="仿宋_GB2312" w:eastAsia="仿宋_GB2312"/>
                      <w:sz w:val="18"/>
                    </w:rPr>
                    <w:t>4）变更过程中如遇疑难问题须得到二线技术专家团队的技术支持。</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按需</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1）《网络接入/变更方案》</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2）《网络接入/变更记录》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网络故障响应</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1）当网络发生故障时应协助中心快速分析、诊断、解决故障，跟踪问题的处理进展并定期回顾。</w:t>
                  </w:r>
                </w:p>
                <w:p>
                  <w:pPr>
                    <w:pStyle w:val="null3"/>
                  </w:pPr>
                  <w:r>
                    <w:rPr>
                      <w:rFonts w:ascii="仿宋_GB2312" w:hAnsi="仿宋_GB2312" w:cs="仿宋_GB2312" w:eastAsia="仿宋_GB2312"/>
                      <w:sz w:val="18"/>
                    </w:rPr>
                    <w:t>（</w:t>
                  </w:r>
                  <w:r>
                    <w:rPr>
                      <w:rFonts w:ascii="仿宋_GB2312" w:hAnsi="仿宋_GB2312" w:cs="仿宋_GB2312" w:eastAsia="仿宋_GB2312"/>
                      <w:sz w:val="18"/>
                    </w:rPr>
                    <w:t>2）将故障处理的事件类型、过程、解决方案等记录进《服务事件记录》《故障报告》提交省中心。</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/远程</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网络配置和资源管理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根据网络资产清单和现网实际情况，建立《网络配置信息库》，内容包括资产名称、</w:t>
                  </w:r>
                  <w:r>
                    <w:rPr>
                      <w:rFonts w:ascii="仿宋_GB2312" w:hAnsi="仿宋_GB2312" w:cs="仿宋_GB2312" w:eastAsia="仿宋_GB2312"/>
                      <w:sz w:val="18"/>
                    </w:rPr>
                    <w:t>IP地址、Vlan、路由信息、端口信息、账户信息等配置信息管理，在网络设备配置信息发生变更后及时更新网络配置信息库，确保配置库的准确、一致性。</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《网络配置信息库》</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网络配置文件备份及存档</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应对关键网络设备的配置信息进行每月至少</w:t>
                  </w:r>
                  <w:r>
                    <w:rPr>
                      <w:rFonts w:ascii="仿宋_GB2312" w:hAnsi="仿宋_GB2312" w:cs="仿宋_GB2312" w:eastAsia="仿宋_GB2312"/>
                      <w:sz w:val="18"/>
                    </w:rPr>
                    <w:t>1次的备份，并将备份文件按照规范的命名存档至备份目录。</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1次/月</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《网络配置文件记录》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网络评估优化</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对联网收费支撑平台现有网络的基础架构、技术架构、业务流量承载、基础服务能力等各方面进行综合评估分析，结合联网收费的业务部署及发展需求，分析网络的运营及支撑能力能否达到业务的运营及发展要求。同时依据现网状况和业务需求的分析结果，对架构规划、协议规划、配置参数等内容提出优化建议。</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《网络优化建议方案》</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计算资源运维服务</w:t>
                  </w:r>
                </w:p>
                <w:p>
                  <w:pPr>
                    <w:pStyle w:val="null3"/>
                    <w:ind w:left="420"/>
                  </w:pPr>
                  <w:r>
                    <w:rPr>
                      <w:rFonts w:ascii="仿宋_GB2312" w:hAnsi="仿宋_GB2312" w:cs="仿宋_GB2312" w:eastAsia="仿宋_GB2312"/>
                      <w:sz w:val="18"/>
                    </w:rPr>
                    <w:t>计算资源运维服务</w:t>
                  </w:r>
                </w:p>
                <w:p>
                  <w:pPr>
                    <w:pStyle w:val="null3"/>
                    <w:ind w:left="420"/>
                  </w:pPr>
                  <w:r>
                    <w:rPr>
                      <w:rFonts w:ascii="仿宋_GB2312" w:hAnsi="仿宋_GB2312" w:cs="仿宋_GB2312" w:eastAsia="仿宋_GB2312"/>
                      <w:sz w:val="18"/>
                    </w:rPr>
                    <w:t>计算资源运维服务</w:t>
                  </w:r>
                </w:p>
                <w:p>
                  <w:pPr>
                    <w:pStyle w:val="null3"/>
                  </w:pPr>
                  <w:r>
                    <w:rPr>
                      <w:rFonts w:ascii="仿宋_GB2312" w:hAnsi="仿宋_GB2312" w:cs="仿宋_GB2312" w:eastAsia="仿宋_GB2312"/>
                      <w:sz w:val="18"/>
                    </w:rPr>
                    <w:t>计算资源运维服务</w:t>
                  </w:r>
                </w:p>
                <w:p>
                  <w:pPr>
                    <w:pStyle w:val="null3"/>
                  </w:pPr>
                  <w:r>
                    <w:rPr>
                      <w:rFonts w:ascii="仿宋_GB2312" w:hAnsi="仿宋_GB2312" w:cs="仿宋_GB2312" w:eastAsia="仿宋_GB2312"/>
                      <w:sz w:val="18"/>
                    </w:rPr>
                    <w:t>计算资源运维服务</w:t>
                  </w:r>
                </w:p>
                <w:p>
                  <w:pPr>
                    <w:pStyle w:val="null3"/>
                  </w:pPr>
                  <w:r>
                    <w:rPr>
                      <w:rFonts w:ascii="仿宋_GB2312" w:hAnsi="仿宋_GB2312" w:cs="仿宋_GB2312" w:eastAsia="仿宋_GB2312"/>
                      <w:sz w:val="18"/>
                    </w:rPr>
                    <w:t>计算资源运维服务</w:t>
                  </w:r>
                </w:p>
                <w:p>
                  <w:pPr>
                    <w:pStyle w:val="null3"/>
                    <w:ind w:left="420"/>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主机设备硬件巡检</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1）应通过现场巡查的方式对机房主机硬件设备的物理运行状态进行巡检、记录。</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2）如发生异常情况，应第一时间报告省中心协助省中心协调相关厂商进行故障排查和维修。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1）巡检：4次/天</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2）发生异常时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主机资源运行监控</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物理主机、虚拟主机运行状态检查、监控及预警</w:t>
                  </w:r>
                </w:p>
                <w:p>
                  <w:pPr>
                    <w:pStyle w:val="null3"/>
                  </w:pPr>
                  <w:r>
                    <w:rPr>
                      <w:rFonts w:ascii="仿宋_GB2312" w:hAnsi="仿宋_GB2312" w:cs="仿宋_GB2312" w:eastAsia="仿宋_GB2312"/>
                      <w:sz w:val="18"/>
                    </w:rPr>
                    <w:t>（</w:t>
                  </w:r>
                  <w:r>
                    <w:rPr>
                      <w:rFonts w:ascii="仿宋_GB2312" w:hAnsi="仿宋_GB2312" w:cs="仿宋_GB2312" w:eastAsia="仿宋_GB2312"/>
                      <w:sz w:val="18"/>
                    </w:rPr>
                    <w:t>1）物理主机CPU、内存、磁盘、网络的实时监控；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2）虚拟机CPU、内存、磁盘IO、网络IO的实时监控；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3）虚拟化管理机CPU、内存、磁盘IO负荷、网络IO负荷、网络链路状态的实时监控；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4）计算资源池资源分配及使用情况实时监控；</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4次/天</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《巡检报告》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虚机日常管理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1）虚拟机申请：根据申请的要求的规格以及相关安全制度和要求，制作并开通符合申请需要的虚拟机。</w:t>
                  </w:r>
                </w:p>
                <w:p>
                  <w:pPr>
                    <w:pStyle w:val="null3"/>
                  </w:pPr>
                  <w:r>
                    <w:rPr>
                      <w:rFonts w:ascii="仿宋_GB2312" w:hAnsi="仿宋_GB2312" w:cs="仿宋_GB2312" w:eastAsia="仿宋_GB2312"/>
                      <w:sz w:val="18"/>
                    </w:rPr>
                    <w:t>（</w:t>
                  </w:r>
                  <w:r>
                    <w:rPr>
                      <w:rFonts w:ascii="仿宋_GB2312" w:hAnsi="仿宋_GB2312" w:cs="仿宋_GB2312" w:eastAsia="仿宋_GB2312"/>
                      <w:sz w:val="18"/>
                    </w:rPr>
                    <w:t>2）虚拟机变更：包括虚拟机的迁移、虚拟机规格升高/降低。</w:t>
                  </w:r>
                </w:p>
                <w:p>
                  <w:pPr>
                    <w:pStyle w:val="null3"/>
                  </w:pPr>
                  <w:r>
                    <w:rPr>
                      <w:rFonts w:ascii="仿宋_GB2312" w:hAnsi="仿宋_GB2312" w:cs="仿宋_GB2312" w:eastAsia="仿宋_GB2312"/>
                      <w:sz w:val="18"/>
                    </w:rPr>
                    <w:t>（</w:t>
                  </w:r>
                  <w:r>
                    <w:rPr>
                      <w:rFonts w:ascii="仿宋_GB2312" w:hAnsi="仿宋_GB2312" w:cs="仿宋_GB2312" w:eastAsia="仿宋_GB2312"/>
                      <w:sz w:val="18"/>
                    </w:rPr>
                    <w:t>3）虚拟机销毁/回收：对虚拟机进行回收，将到期或用户确认不再使用的虚拟机进行销毁，并将相关资源回收到资源池中。</w:t>
                  </w:r>
                </w:p>
                <w:p>
                  <w:pPr>
                    <w:pStyle w:val="null3"/>
                  </w:pPr>
                  <w:r>
                    <w:rPr>
                      <w:rFonts w:ascii="仿宋_GB2312" w:hAnsi="仿宋_GB2312" w:cs="仿宋_GB2312" w:eastAsia="仿宋_GB2312"/>
                      <w:sz w:val="18"/>
                    </w:rPr>
                    <w:t>（</w:t>
                  </w:r>
                  <w:r>
                    <w:rPr>
                      <w:rFonts w:ascii="仿宋_GB2312" w:hAnsi="仿宋_GB2312" w:cs="仿宋_GB2312" w:eastAsia="仿宋_GB2312"/>
                      <w:sz w:val="18"/>
                    </w:rPr>
                    <w:t>4）虚拟机维护：对用户正在使用的虚拟机的运行过程进行维护，包括故障恢复、性能调优等。</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按需</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《计算资源操作记录》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主机故障响应</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主机故障响应、排查、诊断和处理。</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/远程</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虚机镜像管理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根据需求制作虚机镜像模板及对镜像的维护管理，包括镜像升级、补丁修复、配置更改等。</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按需</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《计算资源操作记录》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虚拟网络配置管理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根据业务需求对虚拟网络资源的网络配置信息进行变更、维护管理。</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按需</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《计算资源操作记录》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虚机快照</w:t>
                  </w:r>
                  <w:r>
                    <w:rPr>
                      <w:rFonts w:ascii="仿宋_GB2312" w:hAnsi="仿宋_GB2312" w:cs="仿宋_GB2312" w:eastAsia="仿宋_GB2312"/>
                      <w:sz w:val="18"/>
                    </w:rPr>
                    <w:t>/备份管理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1）快照管理：根据业务要求对指定虚拟机进行快照操作；</w:t>
                  </w:r>
                </w:p>
                <w:p>
                  <w:pPr>
                    <w:pStyle w:val="null3"/>
                  </w:pPr>
                  <w:r>
                    <w:rPr>
                      <w:rFonts w:ascii="仿宋_GB2312" w:hAnsi="仿宋_GB2312" w:cs="仿宋_GB2312" w:eastAsia="仿宋_GB2312"/>
                      <w:sz w:val="18"/>
                    </w:rPr>
                    <w:t>（</w:t>
                  </w:r>
                  <w:r>
                    <w:rPr>
                      <w:rFonts w:ascii="仿宋_GB2312" w:hAnsi="仿宋_GB2312" w:cs="仿宋_GB2312" w:eastAsia="仿宋_GB2312"/>
                      <w:sz w:val="18"/>
                    </w:rPr>
                    <w:t>2）备份管理：对重要业务虚拟机进行定期备份，备份方式为全量+增量，每月一次全量，每天一次增量，每季度一次恢复验证测试。</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1）按需</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2）每天/月/季度</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《计算资源操作记录》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主机设备维修管理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对发生故障的硬件设备协助中心协调相关厂商进行维修或更换。</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《故障报告》《设备维修更换记录》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主机设备资产管理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主机设备资产清点、标识，建立并维护资产清单。</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《资产清单》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计算资源使用管理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计算资源硬件配置和虚拟配置资源使用情况的管理。</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1次/月</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《计算资源使用记录》</w:t>
                  </w:r>
                </w:p>
              </w:tc>
            </w:tr>
            <w:tr>
              <w:tc>
                <w:tcPr>
                  <w:tcW w:type="dxa" w:w="2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存储运维服务</w:t>
                  </w:r>
                </w:p>
                <w:p>
                  <w:pPr>
                    <w:pStyle w:val="null3"/>
                    <w:ind w:left="420"/>
                  </w:pPr>
                  <w:r>
                    <w:rPr>
                      <w:rFonts w:ascii="仿宋_GB2312" w:hAnsi="仿宋_GB2312" w:cs="仿宋_GB2312" w:eastAsia="仿宋_GB2312"/>
                      <w:sz w:val="18"/>
                    </w:rPr>
                    <w:t>存储运维服务</w:t>
                  </w:r>
                </w:p>
                <w:p>
                  <w:pPr>
                    <w:pStyle w:val="null3"/>
                  </w:pPr>
                  <w:r>
                    <w:rPr>
                      <w:rFonts w:ascii="仿宋_GB2312" w:hAnsi="仿宋_GB2312" w:cs="仿宋_GB2312" w:eastAsia="仿宋_GB2312"/>
                      <w:sz w:val="18"/>
                    </w:rPr>
                    <w:t>存储运维服务</w:t>
                  </w:r>
                </w:p>
                <w:p>
                  <w:pPr>
                    <w:pStyle w:val="null3"/>
                  </w:pPr>
                  <w:r>
                    <w:rPr>
                      <w:rFonts w:ascii="仿宋_GB2312" w:hAnsi="仿宋_GB2312" w:cs="仿宋_GB2312" w:eastAsia="仿宋_GB2312"/>
                      <w:sz w:val="18"/>
                    </w:rPr>
                    <w:t>存储运维服务</w:t>
                  </w:r>
                </w:p>
                <w:p>
                  <w:pPr>
                    <w:pStyle w:val="null3"/>
                    <w:ind w:left="420"/>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存储设备硬件巡检</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1）应通过现场巡查的方式对机房存储硬件设备的物理运行状态进行巡检、记录。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2）如发生异常情况，应第一时间报告省中心协助省中心协调相关厂商进行故障排查和维修。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1）巡检：4次/天</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2）发生异常时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存储运行监控</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对存储资源池运行状态进行检查、监控，对异常情况能及时发现并告警。</w:t>
                  </w:r>
                </w:p>
                <w:p>
                  <w:pPr>
                    <w:pStyle w:val="null3"/>
                  </w:pPr>
                  <w:r>
                    <w:rPr>
                      <w:rFonts w:ascii="仿宋_GB2312" w:hAnsi="仿宋_GB2312" w:cs="仿宋_GB2312" w:eastAsia="仿宋_GB2312"/>
                      <w:sz w:val="18"/>
                    </w:rPr>
                    <w:t>（</w:t>
                  </w:r>
                  <w:r>
                    <w:rPr>
                      <w:rFonts w:ascii="仿宋_GB2312" w:hAnsi="仿宋_GB2312" w:cs="仿宋_GB2312" w:eastAsia="仿宋_GB2312"/>
                      <w:sz w:val="18"/>
                    </w:rPr>
                    <w:t>1）存储资源物理设备CPU、内存、磁盘等实时监控；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2）虚拟存储资源池IOPS性能、带宽、延迟、数据状态、健康状态、告警等实时监控；</w:t>
                  </w:r>
                </w:p>
                <w:p>
                  <w:pPr>
                    <w:pStyle w:val="null3"/>
                  </w:pPr>
                  <w:r>
                    <w:rPr>
                      <w:rFonts w:ascii="仿宋_GB2312" w:hAnsi="仿宋_GB2312" w:cs="仿宋_GB2312" w:eastAsia="仿宋_GB2312"/>
                      <w:sz w:val="18"/>
                    </w:rPr>
                    <w:t>（</w:t>
                  </w:r>
                  <w:r>
                    <w:rPr>
                      <w:rFonts w:ascii="仿宋_GB2312" w:hAnsi="仿宋_GB2312" w:cs="仿宋_GB2312" w:eastAsia="仿宋_GB2312"/>
                      <w:sz w:val="18"/>
                    </w:rPr>
                    <w:t>3）存储资源池容量分配与空间使用情况的实时监控；</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2次/天</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《巡检报告》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存储资源管理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1）根据业务要求对存储资源按需进行分配；</w:t>
                  </w:r>
                </w:p>
                <w:p>
                  <w:pPr>
                    <w:pStyle w:val="null3"/>
                  </w:pPr>
                  <w:r>
                    <w:rPr>
                      <w:rFonts w:ascii="仿宋_GB2312" w:hAnsi="仿宋_GB2312" w:cs="仿宋_GB2312" w:eastAsia="仿宋_GB2312"/>
                      <w:sz w:val="18"/>
                    </w:rPr>
                    <w:t>（</w:t>
                  </w:r>
                  <w:r>
                    <w:rPr>
                      <w:rFonts w:ascii="仿宋_GB2312" w:hAnsi="仿宋_GB2312" w:cs="仿宋_GB2312" w:eastAsia="仿宋_GB2312"/>
                      <w:sz w:val="18"/>
                    </w:rPr>
                    <w:t>2）每天统计全闪存储、混合存储、非结构化存储、备份存储等资源池空间使用情况；</w:t>
                  </w:r>
                </w:p>
                <w:p>
                  <w:pPr>
                    <w:pStyle w:val="null3"/>
                  </w:pPr>
                  <w:r>
                    <w:rPr>
                      <w:rFonts w:ascii="仿宋_GB2312" w:hAnsi="仿宋_GB2312" w:cs="仿宋_GB2312" w:eastAsia="仿宋_GB2312"/>
                      <w:sz w:val="18"/>
                    </w:rPr>
                    <w:t>（</w:t>
                  </w:r>
                  <w:r>
                    <w:rPr>
                      <w:rFonts w:ascii="仿宋_GB2312" w:hAnsi="仿宋_GB2312" w:cs="仿宋_GB2312" w:eastAsia="仿宋_GB2312"/>
                      <w:sz w:val="18"/>
                    </w:rPr>
                    <w:t>3）非结构化数据资源池定期删除历史数据，释放存储空间。</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1）按需</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2）1次/天</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3）1次/周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《存储资源使用、操作记录》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存储故障响应</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存储故障响应、排查、诊断和处理。</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7天*24小时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/远程</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《服务事件记录》《故障报告》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存储设备维修管理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对发生故障的硬件设备协助省中心协调相关厂商进行维修或更换。</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发生故障时</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《故障报告》《设备维修更换记录》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存储设备资产管理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存储设备资产清点、标识，建立并维护资产清单。</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《资产清单》</w:t>
                  </w:r>
                </w:p>
              </w:tc>
            </w:tr>
            <w:tr>
              <w:tc>
                <w:tcPr>
                  <w:tcW w:type="dxa" w:w="20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基础软件运维服务</w:t>
                  </w:r>
                </w:p>
                <w:p>
                  <w:pPr>
                    <w:pStyle w:val="null3"/>
                    <w:jc w:val="center"/>
                  </w:pPr>
                  <w:r>
                    <w:rPr>
                      <w:rFonts w:ascii="仿宋_GB2312" w:hAnsi="仿宋_GB2312" w:cs="仿宋_GB2312" w:eastAsia="仿宋_GB2312"/>
                      <w:sz w:val="18"/>
                    </w:rPr>
                    <w:t>基础软件运维服务</w:t>
                  </w:r>
                </w:p>
                <w:p>
                  <w:pPr>
                    <w:pStyle w:val="null3"/>
                    <w:ind w:left="420"/>
                  </w:p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软件资产管理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基础软件资产清点、标识，建立并维护资产清单。</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2次/年</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《资产清单》</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数据备份管理</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1）制定和改进本地数据备份策略和方案；</w:t>
                  </w:r>
                </w:p>
                <w:p>
                  <w:pPr>
                    <w:pStyle w:val="null3"/>
                  </w:pPr>
                  <w:r>
                    <w:rPr>
                      <w:rFonts w:ascii="仿宋_GB2312" w:hAnsi="仿宋_GB2312" w:cs="仿宋_GB2312" w:eastAsia="仿宋_GB2312"/>
                      <w:sz w:val="18"/>
                    </w:rPr>
                    <w:t>（</w:t>
                  </w:r>
                  <w:r>
                    <w:rPr>
                      <w:rFonts w:ascii="仿宋_GB2312" w:hAnsi="仿宋_GB2312" w:cs="仿宋_GB2312" w:eastAsia="仿宋_GB2312"/>
                      <w:sz w:val="18"/>
                    </w:rPr>
                    <w:t>2）监控检查本地数据备份的执行情况。</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1）按需</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2）1次/天</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/远程</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1）《数据备份计划》</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2）《巡检报告》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预防性维护服务</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提供虚拟化系统、分布式存储系统、备份系统与预防性维护定期巡检服务。巡检周期每季度一次，内容主要包括软件状态检查、系统日志分析、系统诊断、系统运行情况、性能分析等，梳理运行隐患，提供巡检报告。</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1次/季度</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《定期巡检报告》</w:t>
                  </w:r>
                </w:p>
              </w:tc>
            </w:tr>
            <w:tr>
              <w:tc>
                <w:tcPr>
                  <w:tcW w:type="dxa" w:w="207"/>
                  <w:vMerge/>
                  <w:tcBorders>
                    <w:top w:val="none" w:color="000000" w:sz="4"/>
                    <w:left w:val="single" w:color="000000" w:sz="4"/>
                    <w:bottom w:val="single" w:color="000000" w:sz="4"/>
                    <w:right w:val="single" w:color="000000" w:sz="4"/>
                  </w:tcBorders>
                </w:tcP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技术支持服务</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rPr>
                    <w:t>提供虚拟化系统、分布式存储系统、备份系统的二线技术支持响应服务，包括系统错误信息分析及故障诊断以及必要的现场技术支持服务。</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w:t>
                  </w:r>
                </w:p>
              </w:tc>
              <w:tc>
                <w:tcPr>
                  <w:tcW w:type="dxa" w:w="2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按需</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/远程</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《服务事件记录》《故障报告》</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2025年6月17日至2026年6月30日，服务期内7*24小时服务。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合同签订生效并进入服务期（供应商须提供同等金额的银行保函）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磋商报价符合唯一性要求；磋商报价未超出采购预算或采购最高限价；</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磋商内容未出现漏项；数量与要求相符；</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响应服务的技术指标无重大偏离，未造成服务档次降低或严重影响服务质量；</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a.内容完整、分析合理、应对措施科学合理，合理化建议针对性强计10分； b.内容较完整、分析较全面、应对措施基本合理、合理化建议针对性一般计7分； c.内容不够完整、分析不够全面、应对措施不够科学合理、合理化建议针对性不强计3分； d.内容简单有缺项，应对措施不合理，可操作性一般、无针对性计1分； e.无此项方案的计0分。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磋商响应方案-项目重点难点分析、应对措施及相关的合理化建议.docx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a.服务方案全面、内容细致，需求理解透彻，运维流程合理，贴合本项目实际需求的计10分； b.服务方案较全面、内容较细致，运维流程较合理，较贴合本项目实际需求的计7分； c.服务方案基本全面、内容基本细致，或运维流程基本合理，基本贴合本项目实际需求的计3分； d.服务方案欠全面、内容欠细致，或运维流程欠合理，贴合本项目实际需求不好的计1分。 e.无服务方案的计0分。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a.项目质量管理制度详细，项目资料、保证服务人员的稳定、保证服务的质量、成果安全性保障措施可行性高的计10分； b.项目质量管理制度较详细，项目资料、保证服务人员的稳定、保证服务的质量、成果安全性保障措施可行性较高的计7分； c.项目质量管理制度不够详细，项目资料、保证服务人员的稳定、保证服务的质量、成果安全性保障措施可行性一般的计3分； d.项目质量管理制度简略，项目资料、保证服务人员的稳定、保证服务的质量、成果安全性保障措施可行性差的计1分。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a.措施全面合理，内容详细，措施完善，完全满足或优于采购要求，得10分； b.措施基本完整，针对性不够强，基本满足项目要求得7分； c.措施不够完整，针对性一般，很难满足项目要求得3分。 d.措施简单笼统，针对性不强，不能满足项目要求得1分。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供应商针对本项目提供拟派项目负责人及项目组成人员，须提供人员清单、职责分工、相关证件、项目负责人简历、经验等）： a.人员配备合理、分工明确、专业技术实力强、项目经理经验丰富，人员证明材料充分完整得10分； b.人员配置较合理、分工较明确、实力较强，项目经理经验丰富，人员证明材料较充分得7分； c.人员配置一般合理、分工一般明确、实力一般，项目经理经验不够丰富，人员证明材料较少得3分； d.人员配置不合理、分工不明确，项目经理经验不足，人员证明材料不足得1分； e.无人员配置，无搭配，只有概述，缺少具体人员信息及证明材料得0分。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项目经理：项目经理具备系统集成项目管理工程师、信息系统项目管理师认证，得2分。 现场主管具备ITSS服务经理认证以及云计算高级认证。得3分。 技术岗人员具有云计算专业方向中级及以上认证。得1分。 操作岗人员具备网络工程师或云计算或安全方向中级认证，得1分。 以上人员证书需提供证书复印件加盖公章。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磋商响应方案-人员资质.docx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a.方案完善、合理、科学有效，能保证项目顺利实施计5分； b.方案不够完善，合理性一般，很难保证项目顺利实施计3分。 c.方案简单笼统，无合理性，无针对性，不能保证项目顺利实施计1分； d.无保密方案的计0分。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a.服务承诺完整、合理，切实针对本项目实际情况计5分； b.服务承诺不够详细、合理，可行但并不具备借鉴意义计3分。 c.服务承诺简单笼统、有明显漏洞计1分； d.无服务承诺的计0分。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a.服务方案详细完整，针对性强，应急保障措施科学合理，能满足项目实施要求计5分； b.服务方案不够完整，针对性不够强，应急保障措施不够科学合理，基本满足项目实施要求计3分。 c.服务方案不完整，针对性不强，应急保障措施简单笼统，不能满足项目实施要求计1分。 d.无售后服务的计0分。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1.具备《ISO20000信息技术服务管理体系证书》，得1分； 2.具备《ISO27001信息安全管理体系证书》，得2分 ； 3.具备ITSS信息技术服务运行维护标准符合性证书，得2分；以上提供证书复印件，并加盖公章。否则不计分。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磋商响应方案-企业资质.docx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不满足得0分，满足得3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详见附件：磋商响应方案-企业资质.docx</w:t>
      </w:r>
    </w:p>
    <w:p>
      <w:pPr>
        <w:pStyle w:val="null3"/>
        <w:ind w:firstLine="960"/>
      </w:pPr>
      <w:r>
        <w:rPr>
          <w:rFonts w:ascii="仿宋_GB2312" w:hAnsi="仿宋_GB2312" w:cs="仿宋_GB2312" w:eastAsia="仿宋_GB2312"/>
        </w:rPr>
        <w:t>详见附件：磋商响应方案-人员资质.docx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详见附件：磋商响应方案-项目重点难点分析、应对措施及相关的合理化建议.docx</w:t>
      </w:r>
    </w:p>
    <w:p>
      <w:pPr>
        <w:pStyle w:val="null3"/>
        <w:ind w:firstLine="960"/>
      </w:pPr>
      <w:r>
        <w:rPr>
          <w:rFonts w:ascii="仿宋_GB2312" w:hAnsi="仿宋_GB2312" w:cs="仿宋_GB2312" w:eastAsia="仿宋_GB2312"/>
        </w:rPr>
        <w:t>详见附件：磋商响应方案-应急措施.docx</w:t>
      </w:r>
    </w:p>
    <w:p>
      <w:pPr>
        <w:pStyle w:val="null3"/>
        <w:ind w:firstLine="960"/>
      </w:pPr>
      <w:r>
        <w:rPr>
          <w:rFonts w:ascii="仿宋_GB2312" w:hAnsi="仿宋_GB2312" w:cs="仿宋_GB2312" w:eastAsia="仿宋_GB2312"/>
        </w:rPr>
        <w:t>详见附件：磋商响应方案-运维服务方案.docx</w:t>
      </w:r>
    </w:p>
    <w:p>
      <w:pPr>
        <w:pStyle w:val="null3"/>
        <w:ind w:firstLine="960"/>
      </w:pPr>
      <w:r>
        <w:rPr>
          <w:rFonts w:ascii="仿宋_GB2312" w:hAnsi="仿宋_GB2312" w:cs="仿宋_GB2312" w:eastAsia="仿宋_GB2312"/>
        </w:rPr>
        <w:t>详见附件：磋商响应方案-质量保障措施及方案.docx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详见附件：供应商需要加以说明的其他内容.docx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详见附件：高速公路联网收费系统业务支撑平台运维合同模板.docx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