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版本号：THXZB2025-101320250409002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高速公路联网收费系统应用软件运维</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THXZB2025-1013</w:t>
      </w:r>
      <w:r>
        <w:br/>
      </w:r>
      <w:r>
        <w:br/>
      </w:r>
      <w:r>
        <w:br/>
      </w:r>
    </w:p>
    <w:p>
      <w:pPr>
        <w:pStyle w:val="null3"/>
        <w:jc w:val="center"/>
        <w:outlineLvl w:val="2"/>
      </w:pPr>
      <w:r>
        <w:rPr>
          <w:rFonts w:ascii="仿宋_GB2312" w:hAnsi="仿宋_GB2312" w:cs="仿宋_GB2312" w:eastAsia="仿宋_GB2312"/>
          <w:sz w:val="28"/>
          <w:b/>
        </w:rPr>
        <w:t>陕西省高速公路收费中心</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陕西省高速公路收费中心</w:t>
      </w:r>
      <w:r>
        <w:rPr>
          <w:rFonts w:ascii="仿宋_GB2312" w:hAnsi="仿宋_GB2312" w:cs="仿宋_GB2312" w:eastAsia="仿宋_GB2312"/>
        </w:rPr>
        <w:t>委托，拟对</w:t>
      </w:r>
      <w:r>
        <w:rPr>
          <w:rFonts w:ascii="仿宋_GB2312" w:hAnsi="仿宋_GB2312" w:cs="仿宋_GB2312" w:eastAsia="仿宋_GB2312"/>
        </w:rPr>
        <w:t>高速公路联网收费系统应用软件运维</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THXZB2025-1013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高速公路联网收费系统应用软件运维</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高速公路联网收费系统应用软件运维服务项目预算为162万元，由联网收费系统应用软件维护（预算：110万元）、费率库升级服务（预算46.00万元）、国密省收费中心系统及CPC卡发行系统软件维护（预算：6万元）三部分内容组成。 联网收费系统应用软件系统，承担了我省高速公路通行费的数据接收，记账数据处理，清分数据处理，对账数据处理、结算数据处理、退费数据处理、补缴数据处理，拆分数据处理、数据统计分析、车道软件升级（包括新路段开通、节假日免费、已有功能的完善）等多种业务，是高速公路收费管理的重要支撑系统。为了保障系统的正常运行，持续发挥重要作用，软件应用系统需进行日常维护，以减少产生争议交易等问题，提高系统运行效率和系统可靠运行。 费率库编制服务是为进一步提升路网费率制定及下发水平，保障全省联网费率制定下发工作的规范稳定运行，按照《收费公路联网收费费率发布周期优化方案》，结合全省路网新通车路段、差异化收费政策及其他费率变化等情况，不定期进行费率制定及下发的工作，保障了全省收费门架、收费车道计费精准。 国密省收费中心系统及CPC卡发行系统，承担了为全省门架、车道授权、签到及通行介质的初始化发行等重要工作任务，确保联网收费正常运转。</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pPr>
        <w:pStyle w:val="null3"/>
      </w:pPr>
      <w:r>
        <w:rPr>
          <w:rFonts w:ascii="仿宋_GB2312" w:hAnsi="仿宋_GB2312" w:cs="仿宋_GB2312" w:eastAsia="仿宋_GB2312"/>
        </w:rPr>
        <w:t>3、审计报告：供应商须提供2023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税收缴纳证明：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障资金缴纳证明：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陕西省高速公路收费中心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陕西省未央区凤城十一路东段陕西省高速公路收费中心208号。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029-86531251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陕西省西安市雁塔区雁南二路西京公司西京科创园三号楼25楼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王天鹏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采购包1保证金金额：32,400.00元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开户名称：陕西天鸿信项目管理有限公司</w:t>
            </w:r>
          </w:p>
          <w:p>
            <w:pPr>
              <w:pStyle w:val="null3"/>
            </w:pPr>
            <w:r>
              <w:rPr>
                <w:rFonts w:ascii="仿宋_GB2312" w:hAnsi="仿宋_GB2312" w:cs="仿宋_GB2312" w:eastAsia="仿宋_GB2312"/>
              </w:rPr>
              <w:t>开户银行：招商银行股份有限公司西安城南支行</w:t>
            </w:r>
          </w:p>
          <w:p>
            <w:pPr>
              <w:pStyle w:val="null3"/>
            </w:pPr>
            <w:r>
              <w:rPr>
                <w:rFonts w:ascii="仿宋_GB2312" w:hAnsi="仿宋_GB2312" w:cs="仿宋_GB2312" w:eastAsia="仿宋_GB2312"/>
              </w:rPr>
              <w:t>银行账号：129908028610202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按照国家计委关于印发《招标代理服务收费管理暂行办法》的通知（计价格〔2002〕1980号）、《国家发展和改革委员会办公厅关于招标代理服务收费有关问题的通知》（发改办价格〔2003〕857号）文件取费标准优惠12%向招标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陕西省高速公路收费中心</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陕西省高速公路收费中心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陕西省高速公路收费中心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联系人：王天鹏</w:t>
      </w:r>
    </w:p>
    <w:p>
      <w:pPr>
        <w:pStyle w:val="null3"/>
      </w:pPr>
      <w:r>
        <w:rPr>
          <w:rFonts w:ascii="仿宋_GB2312" w:hAnsi="仿宋_GB2312" w:cs="仿宋_GB2312" w:eastAsia="仿宋_GB2312"/>
        </w:rPr>
        <w:t>联系电话：029-88210791</w:t>
      </w:r>
    </w:p>
    <w:p>
      <w:pPr>
        <w:pStyle w:val="null3"/>
      </w:pPr>
      <w:r>
        <w:rPr>
          <w:rFonts w:ascii="仿宋_GB2312" w:hAnsi="仿宋_GB2312" w:cs="仿宋_GB2312" w:eastAsia="仿宋_GB2312"/>
        </w:rPr>
        <w:t>地址：陕西省西安市雁塔区雁南二路西京公司西京科创园三号楼25楼</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高速公路联网收费系统应用软件运维服务项目预算为162万元，由联网收费系统应用软件维护（预算：110万元）、费率库升级服务（预算46.00万元）、国密省收费中心系统及CPC卡发行系统软件维护（预算：6万元）三部分内容组成。 联网收费系统应用软件系统，承担了我省高速公路通行费的数据接收，记账数据处理，清分数据处理，对账数据处理、结算数据处理、退费数据处理、补缴数据处理，拆分数据处理、数据统计分析、车道软件升级（包括新路段开通、节假日免费、已有功能的完善）等多种业务，是高速公路收费管理的重要支撑系统。为了保障系统的正常运行，持续发挥重要作用，软件应用系统需进行日常维护，以减少产生争议交易等问题，提高系统运行效率和系统可靠运行。 费率库编制服务是为进一步提升路网费率制定及下发水平，保障全省联网费率制定下发工作的规范稳定运行，按照《收费公路联网收费费率发布周期优化方案》，结合全省路网新通车路段、差异化收费政策及其他费率变化等情况，不定期进行费率制定及下发的工作，保障了全省收费门架、收费车道计费精准。 国密省收费中心系统及CPC卡发行系统，承担了为全省门架、车道授权、签到及通行介质的初始化发行等重要工作任务，确保联网收费正常运转。</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1,620,000.00</w:t>
      </w:r>
    </w:p>
    <w:p>
      <w:pPr>
        <w:pStyle w:val="null3"/>
      </w:pPr>
      <w:r>
        <w:rPr>
          <w:rFonts w:ascii="仿宋_GB2312" w:hAnsi="仿宋_GB2312" w:cs="仿宋_GB2312" w:eastAsia="仿宋_GB2312"/>
        </w:rPr>
        <w:t>采购包最高限价（元）: 1,620,000.00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高速公路联网收费系统应用软件运维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标的名称：高速公路联网收费系统应用软件运维</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服务范围</w:t>
            </w:r>
          </w:p>
        </w:tc>
        <w:tc>
          <w:tcPr>
            <w:tcW w:type="dxa" w:w="2076"/>
          </w:tcPr>
          <w:p>
            <w:pPr>
              <w:pStyle w:val="null3"/>
              <w:ind w:firstLine="400"/>
              <w:jc w:val="both"/>
            </w:pPr>
            <w:r>
              <w:rPr>
                <w:rFonts w:ascii="仿宋_GB2312" w:hAnsi="仿宋_GB2312" w:cs="仿宋_GB2312" w:eastAsia="仿宋_GB2312"/>
                <w:sz w:val="18"/>
              </w:rPr>
              <w:t>1.陕西省</w:t>
            </w:r>
            <w:r>
              <w:rPr>
                <w:rFonts w:ascii="仿宋_GB2312" w:hAnsi="仿宋_GB2312" w:cs="仿宋_GB2312" w:eastAsia="仿宋_GB2312"/>
                <w:sz w:val="18"/>
              </w:rPr>
              <w:t>高速公路联网收费系统应用软件运维</w:t>
            </w:r>
            <w:r>
              <w:rPr>
                <w:rFonts w:ascii="仿宋_GB2312" w:hAnsi="仿宋_GB2312" w:cs="仿宋_GB2312" w:eastAsia="仿宋_GB2312"/>
                <w:sz w:val="18"/>
              </w:rPr>
              <w:t>：陕西省高速公路联网收费系统应用软件</w:t>
            </w:r>
            <w:r>
              <w:rPr>
                <w:rFonts w:ascii="仿宋_GB2312" w:hAnsi="仿宋_GB2312" w:cs="仿宋_GB2312" w:eastAsia="仿宋_GB2312"/>
                <w:sz w:val="18"/>
              </w:rPr>
              <w:t>系统</w:t>
            </w:r>
            <w:r>
              <w:rPr>
                <w:rFonts w:ascii="仿宋_GB2312" w:hAnsi="仿宋_GB2312" w:cs="仿宋_GB2312" w:eastAsia="仿宋_GB2312"/>
                <w:sz w:val="18"/>
              </w:rPr>
              <w:t>。</w:t>
            </w:r>
          </w:p>
          <w:p>
            <w:pPr>
              <w:pStyle w:val="null3"/>
              <w:ind w:firstLine="400"/>
              <w:jc w:val="both"/>
            </w:pPr>
            <w:r>
              <w:rPr>
                <w:rFonts w:ascii="仿宋_GB2312" w:hAnsi="仿宋_GB2312" w:cs="仿宋_GB2312" w:eastAsia="仿宋_GB2312"/>
                <w:sz w:val="18"/>
              </w:rPr>
              <w:t>2.费率库编制服务：陕西省高速公路联网收费系统费率库。</w:t>
            </w:r>
          </w:p>
          <w:p>
            <w:pPr>
              <w:pStyle w:val="null3"/>
              <w:ind w:firstLine="400"/>
              <w:jc w:val="both"/>
            </w:pPr>
            <w:r>
              <w:rPr>
                <w:rFonts w:ascii="仿宋_GB2312" w:hAnsi="仿宋_GB2312" w:cs="仿宋_GB2312" w:eastAsia="仿宋_GB2312"/>
                <w:sz w:val="18"/>
              </w:rPr>
              <w:t>3</w:t>
            </w:r>
            <w:r>
              <w:rPr>
                <w:rFonts w:ascii="仿宋_GB2312" w:hAnsi="仿宋_GB2312" w:cs="仿宋_GB2312" w:eastAsia="仿宋_GB2312"/>
                <w:sz w:val="18"/>
              </w:rPr>
              <w:t>.国密省收费中心系统及CPC卡发行系统软件维护：国密省收费中心系统及CPC卡发行系统。</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服务内容</w:t>
            </w:r>
          </w:p>
        </w:tc>
        <w:tc>
          <w:tcPr>
            <w:tcW w:type="dxa" w:w="2076"/>
          </w:tcPr>
          <w:p>
            <w:pPr>
              <w:pStyle w:val="null3"/>
              <w:ind w:firstLine="400"/>
              <w:jc w:val="both"/>
            </w:pPr>
            <w:r>
              <w:rPr>
                <w:rFonts w:ascii="仿宋_GB2312" w:hAnsi="仿宋_GB2312" w:cs="仿宋_GB2312" w:eastAsia="仿宋_GB2312"/>
                <w:sz w:val="18"/>
              </w:rPr>
              <w:t>（一）联网收费系统应用软件维护</w:t>
            </w:r>
          </w:p>
          <w:p>
            <w:pPr>
              <w:pStyle w:val="null3"/>
              <w:ind w:firstLine="400"/>
              <w:jc w:val="both"/>
            </w:pPr>
            <w:r>
              <w:rPr>
                <w:rFonts w:ascii="仿宋_GB2312" w:hAnsi="仿宋_GB2312" w:cs="仿宋_GB2312" w:eastAsia="仿宋_GB2312"/>
                <w:sz w:val="18"/>
              </w:rPr>
              <w:t>1.</w:t>
            </w:r>
            <w:r>
              <w:rPr>
                <w:rFonts w:ascii="仿宋_GB2312" w:hAnsi="仿宋_GB2312" w:cs="仿宋_GB2312" w:eastAsia="仿宋_GB2312"/>
                <w:sz w:val="18"/>
              </w:rPr>
              <w:t>基础信息管理系统：</w:t>
            </w:r>
            <w:r>
              <w:rPr>
                <w:rFonts w:ascii="仿宋_GB2312" w:hAnsi="仿宋_GB2312" w:cs="仿宋_GB2312" w:eastAsia="仿宋_GB2312"/>
                <w:sz w:val="18"/>
              </w:rPr>
              <w:t>根据路段机构信息变动，及时调整及更新路网基础信息，支撑</w:t>
            </w:r>
            <w:r>
              <w:rPr>
                <w:rFonts w:ascii="仿宋_GB2312" w:hAnsi="仿宋_GB2312" w:cs="仿宋_GB2312" w:eastAsia="仿宋_GB2312"/>
                <w:sz w:val="18"/>
              </w:rPr>
              <w:t>收费系统正常运</w:t>
            </w:r>
            <w:r>
              <w:rPr>
                <w:rFonts w:ascii="仿宋_GB2312" w:hAnsi="仿宋_GB2312" w:cs="仿宋_GB2312" w:eastAsia="仿宋_GB2312"/>
                <w:sz w:val="18"/>
              </w:rPr>
              <w:t>行</w:t>
            </w:r>
            <w:r>
              <w:rPr>
                <w:rFonts w:ascii="仿宋_GB2312" w:hAnsi="仿宋_GB2312" w:cs="仿宋_GB2312" w:eastAsia="仿宋_GB2312"/>
                <w:sz w:val="18"/>
              </w:rPr>
              <w:t>。</w:t>
            </w:r>
          </w:p>
          <w:p>
            <w:pPr>
              <w:pStyle w:val="null3"/>
              <w:ind w:firstLine="400"/>
              <w:jc w:val="both"/>
            </w:pPr>
            <w:r>
              <w:rPr>
                <w:rFonts w:ascii="仿宋_GB2312" w:hAnsi="仿宋_GB2312" w:cs="仿宋_GB2312" w:eastAsia="仿宋_GB2312"/>
                <w:sz w:val="18"/>
              </w:rPr>
              <w:t>2.</w:t>
            </w:r>
            <w:r>
              <w:rPr>
                <w:rFonts w:ascii="仿宋_GB2312" w:hAnsi="仿宋_GB2312" w:cs="仿宋_GB2312" w:eastAsia="仿宋_GB2312"/>
                <w:sz w:val="18"/>
              </w:rPr>
              <w:t>用户状态名单管理系统：</w:t>
            </w:r>
            <w:r>
              <w:rPr>
                <w:rFonts w:ascii="仿宋_GB2312" w:hAnsi="仿宋_GB2312" w:cs="仿宋_GB2312" w:eastAsia="仿宋_GB2312"/>
                <w:sz w:val="18"/>
              </w:rPr>
              <w:t>管理维护</w:t>
            </w:r>
            <w:r>
              <w:rPr>
                <w:rFonts w:ascii="仿宋_GB2312" w:hAnsi="仿宋_GB2312" w:cs="仿宋_GB2312" w:eastAsia="仿宋_GB2312"/>
                <w:sz w:val="18"/>
              </w:rPr>
              <w:t>用户状态名单</w:t>
            </w:r>
            <w:r>
              <w:rPr>
                <w:rFonts w:ascii="仿宋_GB2312" w:hAnsi="仿宋_GB2312" w:cs="仿宋_GB2312" w:eastAsia="仿宋_GB2312"/>
                <w:sz w:val="18"/>
              </w:rPr>
              <w:t>、</w:t>
            </w:r>
            <w:r>
              <w:rPr>
                <w:rFonts w:ascii="仿宋_GB2312" w:hAnsi="仿宋_GB2312" w:cs="仿宋_GB2312" w:eastAsia="仿宋_GB2312"/>
                <w:sz w:val="18"/>
              </w:rPr>
              <w:t>绿通名单、应急名单</w:t>
            </w:r>
            <w:r>
              <w:rPr>
                <w:rFonts w:ascii="仿宋_GB2312" w:hAnsi="仿宋_GB2312" w:cs="仿宋_GB2312" w:eastAsia="仿宋_GB2312"/>
                <w:sz w:val="18"/>
              </w:rPr>
              <w:t>、差异化优惠名单等多个名单，及时发现并处理</w:t>
            </w:r>
            <w:r>
              <w:rPr>
                <w:rFonts w:ascii="仿宋_GB2312" w:hAnsi="仿宋_GB2312" w:cs="仿宋_GB2312" w:eastAsia="仿宋_GB2312"/>
                <w:sz w:val="18"/>
              </w:rPr>
              <w:t>部中心下载、名单整理、名单校验、名单</w:t>
            </w:r>
            <w:r>
              <w:rPr>
                <w:rFonts w:ascii="仿宋_GB2312" w:hAnsi="仿宋_GB2312" w:cs="仿宋_GB2312" w:eastAsia="仿宋_GB2312"/>
                <w:sz w:val="18"/>
              </w:rPr>
              <w:t>下发、名单传输过程中出现的问题，减少由于名单下发不及时导致的争议交易</w:t>
            </w:r>
            <w:r>
              <w:rPr>
                <w:rFonts w:ascii="仿宋_GB2312" w:hAnsi="仿宋_GB2312" w:cs="仿宋_GB2312" w:eastAsia="仿宋_GB2312"/>
                <w:sz w:val="18"/>
              </w:rPr>
              <w:t>。</w:t>
            </w:r>
          </w:p>
          <w:p>
            <w:pPr>
              <w:pStyle w:val="null3"/>
              <w:ind w:firstLine="400"/>
              <w:jc w:val="both"/>
            </w:pPr>
            <w:r>
              <w:rPr>
                <w:rFonts w:ascii="仿宋_GB2312" w:hAnsi="仿宋_GB2312" w:cs="仿宋_GB2312" w:eastAsia="仿宋_GB2312"/>
                <w:sz w:val="18"/>
              </w:rPr>
              <w:t>3.清分系统：</w:t>
            </w:r>
            <w:r>
              <w:rPr>
                <w:rFonts w:ascii="仿宋_GB2312" w:hAnsi="仿宋_GB2312" w:cs="仿宋_GB2312" w:eastAsia="仿宋_GB2312"/>
                <w:sz w:val="18"/>
              </w:rPr>
              <w:t>及时处理清分过程中存在的问题，根据业务需求变化调整优化清分系统功能，以保障通行费分配的正常开展。</w:t>
            </w:r>
          </w:p>
          <w:p>
            <w:pPr>
              <w:pStyle w:val="null3"/>
              <w:ind w:firstLine="400"/>
              <w:jc w:val="both"/>
            </w:pPr>
            <w:r>
              <w:rPr>
                <w:rFonts w:ascii="仿宋_GB2312" w:hAnsi="仿宋_GB2312" w:cs="仿宋_GB2312" w:eastAsia="仿宋_GB2312"/>
                <w:sz w:val="18"/>
              </w:rPr>
              <w:t>4.对账及结算系统：</w:t>
            </w:r>
            <w:r>
              <w:rPr>
                <w:rFonts w:ascii="仿宋_GB2312" w:hAnsi="仿宋_GB2312" w:cs="仿宋_GB2312" w:eastAsia="仿宋_GB2312"/>
                <w:sz w:val="18"/>
              </w:rPr>
              <w:t>分类判定</w:t>
            </w:r>
            <w:r>
              <w:rPr>
                <w:rFonts w:ascii="仿宋_GB2312" w:hAnsi="仿宋_GB2312" w:cs="仿宋_GB2312" w:eastAsia="仿宋_GB2312"/>
                <w:sz w:val="18"/>
              </w:rPr>
              <w:t>门架收费数据、实体收费站交易对账与结算</w:t>
            </w:r>
            <w:r>
              <w:rPr>
                <w:rFonts w:ascii="仿宋_GB2312" w:hAnsi="仿宋_GB2312" w:cs="仿宋_GB2312" w:eastAsia="仿宋_GB2312"/>
                <w:sz w:val="18"/>
              </w:rPr>
              <w:t>过程中的问题并及时处理，保障</w:t>
            </w:r>
            <w:r>
              <w:rPr>
                <w:rFonts w:ascii="仿宋_GB2312" w:hAnsi="仿宋_GB2312" w:cs="仿宋_GB2312" w:eastAsia="仿宋_GB2312"/>
                <w:sz w:val="18"/>
              </w:rPr>
              <w:t>我省发出的追偿数据和外省转来的追偿数据正常流转；对结算时出现的账务不一致、不能正常结算、无法按时结算、系统异常等问题进行针对性分析处理，保证结算业务每日正常完成。</w:t>
            </w:r>
          </w:p>
          <w:p>
            <w:pPr>
              <w:pStyle w:val="null3"/>
              <w:ind w:firstLine="400"/>
              <w:jc w:val="both"/>
            </w:pPr>
            <w:r>
              <w:rPr>
                <w:rFonts w:ascii="仿宋_GB2312" w:hAnsi="仿宋_GB2312" w:cs="仿宋_GB2312" w:eastAsia="仿宋_GB2312"/>
                <w:sz w:val="18"/>
              </w:rPr>
              <w:t>5.</w:t>
            </w:r>
            <w:r>
              <w:rPr>
                <w:rFonts w:ascii="仿宋_GB2312" w:hAnsi="仿宋_GB2312" w:cs="仿宋_GB2312" w:eastAsia="仿宋_GB2312"/>
                <w:sz w:val="18"/>
              </w:rPr>
              <w:t>记账与争议处理系统：</w:t>
            </w:r>
            <w:r>
              <w:rPr>
                <w:rFonts w:ascii="仿宋_GB2312" w:hAnsi="仿宋_GB2312" w:cs="仿宋_GB2312" w:eastAsia="仿宋_GB2312"/>
                <w:sz w:val="18"/>
              </w:rPr>
              <w:t>针对记账功能异常进行分析处理，针对争议数据处理功能出现异常进行维护处理；协助分析争议数据如</w:t>
            </w:r>
            <w:r>
              <w:rPr>
                <w:rFonts w:ascii="仿宋_GB2312" w:hAnsi="仿宋_GB2312" w:cs="仿宋_GB2312" w:eastAsia="仿宋_GB2312"/>
                <w:sz w:val="18"/>
              </w:rPr>
              <w:t>TAC校验不通过，用户状态名单，卡不在有效期内，卡片不存在等争议数据异常增加时，分析存在的原因及解决思路。</w:t>
            </w:r>
          </w:p>
          <w:p>
            <w:pPr>
              <w:pStyle w:val="null3"/>
              <w:ind w:firstLine="400"/>
              <w:jc w:val="both"/>
            </w:pPr>
            <w:r>
              <w:rPr>
                <w:rFonts w:ascii="仿宋_GB2312" w:hAnsi="仿宋_GB2312" w:cs="仿宋_GB2312" w:eastAsia="仿宋_GB2312"/>
                <w:sz w:val="18"/>
              </w:rPr>
              <w:t>6.</w:t>
            </w:r>
            <w:r>
              <w:rPr>
                <w:rFonts w:ascii="仿宋_GB2312" w:hAnsi="仿宋_GB2312" w:cs="仿宋_GB2312" w:eastAsia="仿宋_GB2312"/>
                <w:sz w:val="18"/>
              </w:rPr>
              <w:t>省级收费公路营改增发票业务系统：</w:t>
            </w:r>
            <w:r>
              <w:rPr>
                <w:rFonts w:ascii="仿宋_GB2312" w:hAnsi="仿宋_GB2312" w:cs="仿宋_GB2312" w:eastAsia="仿宋_GB2312"/>
                <w:sz w:val="18"/>
              </w:rPr>
              <w:t>维护</w:t>
            </w:r>
            <w:r>
              <w:rPr>
                <w:rFonts w:ascii="仿宋_GB2312" w:hAnsi="仿宋_GB2312" w:cs="仿宋_GB2312" w:eastAsia="仿宋_GB2312"/>
                <w:sz w:val="18"/>
              </w:rPr>
              <w:t>发票数据整理、审核、打包、</w:t>
            </w:r>
            <w:r>
              <w:rPr>
                <w:rFonts w:ascii="仿宋_GB2312" w:hAnsi="仿宋_GB2312" w:cs="仿宋_GB2312" w:eastAsia="仿宋_GB2312"/>
                <w:sz w:val="18"/>
              </w:rPr>
              <w:t>传输、</w:t>
            </w:r>
            <w:r>
              <w:rPr>
                <w:rFonts w:ascii="仿宋_GB2312" w:hAnsi="仿宋_GB2312" w:cs="仿宋_GB2312" w:eastAsia="仿宋_GB2312"/>
                <w:sz w:val="18"/>
              </w:rPr>
              <w:t>省部对接</w:t>
            </w:r>
            <w:r>
              <w:rPr>
                <w:rFonts w:ascii="仿宋_GB2312" w:hAnsi="仿宋_GB2312" w:cs="仿宋_GB2312" w:eastAsia="仿宋_GB2312"/>
                <w:sz w:val="18"/>
              </w:rPr>
              <w:t>等系统功能，保障</w:t>
            </w:r>
            <w:r>
              <w:rPr>
                <w:rFonts w:ascii="仿宋_GB2312" w:hAnsi="仿宋_GB2312" w:cs="仿宋_GB2312" w:eastAsia="仿宋_GB2312"/>
                <w:sz w:val="18"/>
              </w:rPr>
              <w:t>用户</w:t>
            </w:r>
            <w:r>
              <w:rPr>
                <w:rFonts w:ascii="仿宋_GB2312" w:hAnsi="仿宋_GB2312" w:cs="仿宋_GB2312" w:eastAsia="仿宋_GB2312"/>
                <w:sz w:val="18"/>
              </w:rPr>
              <w:t>可正常打印</w:t>
            </w:r>
            <w:r>
              <w:rPr>
                <w:rFonts w:ascii="仿宋_GB2312" w:hAnsi="仿宋_GB2312" w:cs="仿宋_GB2312" w:eastAsia="仿宋_GB2312"/>
                <w:sz w:val="18"/>
              </w:rPr>
              <w:t>发票。</w:t>
            </w:r>
            <w:r>
              <w:rPr>
                <w:rFonts w:ascii="仿宋_GB2312" w:hAnsi="仿宋_GB2312" w:cs="仿宋_GB2312" w:eastAsia="仿宋_GB2312"/>
                <w:sz w:val="18"/>
              </w:rPr>
              <w:t>对</w:t>
            </w:r>
            <w:r>
              <w:rPr>
                <w:rFonts w:ascii="仿宋_GB2312" w:hAnsi="仿宋_GB2312" w:cs="仿宋_GB2312" w:eastAsia="仿宋_GB2312"/>
                <w:sz w:val="18"/>
              </w:rPr>
              <w:t>用户不能正常打印发票等问题，从数据传输是否正常，车牌是否正确等方面进行分析，对于</w:t>
            </w:r>
            <w:r>
              <w:rPr>
                <w:rFonts w:ascii="仿宋_GB2312" w:hAnsi="仿宋_GB2312" w:cs="仿宋_GB2312" w:eastAsia="仿宋_GB2312"/>
                <w:sz w:val="18"/>
              </w:rPr>
              <w:t>2019年无法正常打印的发票进行手动处理，确保每一笔消费均可正常打印发票。</w:t>
            </w:r>
          </w:p>
          <w:p>
            <w:pPr>
              <w:pStyle w:val="null3"/>
              <w:ind w:firstLine="400"/>
              <w:jc w:val="both"/>
            </w:pPr>
            <w:r>
              <w:rPr>
                <w:rFonts w:ascii="仿宋_GB2312" w:hAnsi="仿宋_GB2312" w:cs="仿宋_GB2312" w:eastAsia="仿宋_GB2312"/>
                <w:sz w:val="18"/>
              </w:rPr>
              <w:t>7.</w:t>
            </w:r>
            <w:r>
              <w:rPr>
                <w:rFonts w:ascii="仿宋_GB2312" w:hAnsi="仿宋_GB2312" w:cs="仿宋_GB2312" w:eastAsia="仿宋_GB2312"/>
                <w:sz w:val="18"/>
              </w:rPr>
              <w:t>退费补交系统：</w:t>
            </w:r>
            <w:r>
              <w:rPr>
                <w:rFonts w:ascii="仿宋_GB2312" w:hAnsi="仿宋_GB2312" w:cs="仿宋_GB2312" w:eastAsia="仿宋_GB2312"/>
                <w:sz w:val="18"/>
              </w:rPr>
              <w:t>及时核查并处理退费或者补交业务存在的异常，通过查询</w:t>
            </w:r>
            <w:r>
              <w:rPr>
                <w:rFonts w:ascii="仿宋_GB2312" w:hAnsi="仿宋_GB2312" w:cs="仿宋_GB2312" w:eastAsia="仿宋_GB2312"/>
                <w:sz w:val="18"/>
              </w:rPr>
              <w:t>passid、车牌等信息是否正确以便关联到正常的拆分数据进行相应处理，确保</w:t>
            </w:r>
            <w:r>
              <w:rPr>
                <w:rFonts w:ascii="仿宋_GB2312" w:hAnsi="仿宋_GB2312" w:cs="仿宋_GB2312" w:eastAsia="仿宋_GB2312"/>
                <w:sz w:val="18"/>
              </w:rPr>
              <w:t>部省间退费数据、补交、结算数据交换及相关业务流</w:t>
            </w:r>
            <w:r>
              <w:rPr>
                <w:rFonts w:ascii="仿宋_GB2312" w:hAnsi="仿宋_GB2312" w:cs="仿宋_GB2312" w:eastAsia="仿宋_GB2312"/>
                <w:sz w:val="18"/>
              </w:rPr>
              <w:t>程正常运行。</w:t>
            </w:r>
          </w:p>
          <w:p>
            <w:pPr>
              <w:pStyle w:val="null3"/>
              <w:ind w:firstLine="400"/>
              <w:jc w:val="both"/>
            </w:pPr>
            <w:r>
              <w:rPr>
                <w:rFonts w:ascii="仿宋_GB2312" w:hAnsi="仿宋_GB2312" w:cs="仿宋_GB2312" w:eastAsia="仿宋_GB2312"/>
                <w:sz w:val="18"/>
              </w:rPr>
              <w:t>8.数据汇聚系统</w:t>
            </w:r>
            <w:r>
              <w:rPr>
                <w:rFonts w:ascii="仿宋_GB2312" w:hAnsi="仿宋_GB2312" w:cs="仿宋_GB2312" w:eastAsia="仿宋_GB2312"/>
                <w:sz w:val="18"/>
              </w:rPr>
              <w:t>：</w:t>
            </w:r>
            <w:r>
              <w:rPr>
                <w:rFonts w:ascii="仿宋_GB2312" w:hAnsi="仿宋_GB2312" w:cs="仿宋_GB2312" w:eastAsia="仿宋_GB2312"/>
                <w:sz w:val="18"/>
              </w:rPr>
              <w:t>及时</w:t>
            </w:r>
            <w:r>
              <w:rPr>
                <w:rFonts w:ascii="仿宋_GB2312" w:hAnsi="仿宋_GB2312" w:cs="仿宋_GB2312" w:eastAsia="仿宋_GB2312"/>
                <w:sz w:val="18"/>
              </w:rPr>
              <w:t>核查</w:t>
            </w:r>
            <w:r>
              <w:rPr>
                <w:rFonts w:ascii="仿宋_GB2312" w:hAnsi="仿宋_GB2312" w:cs="仿宋_GB2312" w:eastAsia="仿宋_GB2312"/>
                <w:sz w:val="18"/>
              </w:rPr>
              <w:t>并处理</w:t>
            </w:r>
            <w:r>
              <w:rPr>
                <w:rFonts w:ascii="仿宋_GB2312" w:hAnsi="仿宋_GB2312" w:cs="仿宋_GB2312" w:eastAsia="仿宋_GB2312"/>
                <w:sz w:val="18"/>
              </w:rPr>
              <w:t>数据传输不完整、数据格式异常等常见问题，</w:t>
            </w:r>
            <w:r>
              <w:rPr>
                <w:rFonts w:ascii="仿宋_GB2312" w:hAnsi="仿宋_GB2312" w:cs="仿宋_GB2312" w:eastAsia="仿宋_GB2312"/>
                <w:sz w:val="18"/>
              </w:rPr>
              <w:t>保障</w:t>
            </w:r>
            <w:r>
              <w:rPr>
                <w:rFonts w:ascii="仿宋_GB2312" w:hAnsi="仿宋_GB2312" w:cs="仿宋_GB2312" w:eastAsia="仿宋_GB2312"/>
                <w:sz w:val="18"/>
              </w:rPr>
              <w:t>省内高速公路网内车辆的通行数据和交易数据的</w:t>
            </w:r>
            <w:r>
              <w:rPr>
                <w:rFonts w:ascii="仿宋_GB2312" w:hAnsi="仿宋_GB2312" w:cs="仿宋_GB2312" w:eastAsia="仿宋_GB2312"/>
                <w:sz w:val="18"/>
              </w:rPr>
              <w:t>正常</w:t>
            </w:r>
            <w:r>
              <w:rPr>
                <w:rFonts w:ascii="仿宋_GB2312" w:hAnsi="仿宋_GB2312" w:cs="仿宋_GB2312" w:eastAsia="仿宋_GB2312"/>
                <w:sz w:val="18"/>
              </w:rPr>
              <w:t>汇聚</w:t>
            </w:r>
            <w:r>
              <w:rPr>
                <w:rFonts w:ascii="仿宋_GB2312" w:hAnsi="仿宋_GB2312" w:cs="仿宋_GB2312" w:eastAsia="仿宋_GB2312"/>
                <w:sz w:val="18"/>
              </w:rPr>
              <w:t>，</w:t>
            </w:r>
            <w:r>
              <w:rPr>
                <w:rFonts w:ascii="仿宋_GB2312" w:hAnsi="仿宋_GB2312" w:cs="仿宋_GB2312" w:eastAsia="仿宋_GB2312"/>
                <w:sz w:val="18"/>
              </w:rPr>
              <w:t>支撑其他业务正常进行</w:t>
            </w:r>
            <w:r>
              <w:rPr>
                <w:rFonts w:ascii="仿宋_GB2312" w:hAnsi="仿宋_GB2312" w:cs="仿宋_GB2312" w:eastAsia="仿宋_GB2312"/>
                <w:sz w:val="18"/>
              </w:rPr>
              <w:t>。</w:t>
            </w:r>
          </w:p>
          <w:p>
            <w:pPr>
              <w:pStyle w:val="null3"/>
              <w:ind w:firstLine="400"/>
              <w:jc w:val="both"/>
            </w:pPr>
            <w:r>
              <w:rPr>
                <w:rFonts w:ascii="仿宋_GB2312" w:hAnsi="仿宋_GB2312" w:cs="仿宋_GB2312" w:eastAsia="仿宋_GB2312"/>
                <w:sz w:val="18"/>
              </w:rPr>
              <w:t>9.省级计费服务系统</w:t>
            </w:r>
            <w:r>
              <w:rPr>
                <w:rFonts w:ascii="仿宋_GB2312" w:hAnsi="仿宋_GB2312" w:cs="仿宋_GB2312" w:eastAsia="仿宋_GB2312"/>
                <w:sz w:val="18"/>
              </w:rPr>
              <w:t>：</w:t>
            </w:r>
            <w:r>
              <w:rPr>
                <w:rFonts w:ascii="仿宋_GB2312" w:hAnsi="仿宋_GB2312" w:cs="仿宋_GB2312" w:eastAsia="仿宋_GB2312"/>
                <w:sz w:val="18"/>
              </w:rPr>
              <w:t>根据实际工作需求及部中心每周计费信息的调整情况，</w:t>
            </w:r>
            <w:r>
              <w:rPr>
                <w:rFonts w:ascii="仿宋_GB2312" w:hAnsi="仿宋_GB2312" w:cs="仿宋_GB2312" w:eastAsia="仿宋_GB2312"/>
                <w:sz w:val="18"/>
              </w:rPr>
              <w:t>开发本省费率模块，向部联网中心平台上传省级计费参数、省级路径参数、计费路径及通行费数据，实现从部联网中心平台下载全网收费站间可达最短路径参数和其他省（市）省级计费参数；同时根据新业务的需求，为通行费费率计算、通行费征收、收费稽查及特情车辆处理等业务提供数据基础</w:t>
            </w:r>
            <w:r>
              <w:rPr>
                <w:rFonts w:ascii="仿宋_GB2312" w:hAnsi="仿宋_GB2312" w:cs="仿宋_GB2312" w:eastAsia="仿宋_GB2312"/>
                <w:sz w:val="18"/>
              </w:rPr>
              <w:t>，</w:t>
            </w:r>
            <w:r>
              <w:rPr>
                <w:rFonts w:ascii="仿宋_GB2312" w:hAnsi="仿宋_GB2312" w:cs="仿宋_GB2312" w:eastAsia="仿宋_GB2312"/>
                <w:sz w:val="18"/>
              </w:rPr>
              <w:t>包括计费服务、路径拟合、路径查询、特情业务辅助等四大类内容。</w:t>
            </w:r>
          </w:p>
          <w:p>
            <w:pPr>
              <w:pStyle w:val="null3"/>
              <w:ind w:firstLine="400"/>
              <w:jc w:val="both"/>
            </w:pPr>
            <w:r>
              <w:rPr>
                <w:rFonts w:ascii="仿宋_GB2312" w:hAnsi="仿宋_GB2312" w:cs="仿宋_GB2312" w:eastAsia="仿宋_GB2312"/>
                <w:sz w:val="18"/>
              </w:rPr>
              <w:t>10.统计报表系统</w:t>
            </w:r>
            <w:r>
              <w:rPr>
                <w:rFonts w:ascii="仿宋_GB2312" w:hAnsi="仿宋_GB2312" w:cs="仿宋_GB2312" w:eastAsia="仿宋_GB2312"/>
                <w:sz w:val="18"/>
              </w:rPr>
              <w:t>：</w:t>
            </w:r>
            <w:r>
              <w:rPr>
                <w:rFonts w:ascii="仿宋_GB2312" w:hAnsi="仿宋_GB2312" w:cs="仿宋_GB2312" w:eastAsia="仿宋_GB2312"/>
                <w:sz w:val="18"/>
              </w:rPr>
              <w:t>及时核查并处理</w:t>
            </w:r>
            <w:r>
              <w:rPr>
                <w:rFonts w:ascii="仿宋_GB2312" w:hAnsi="仿宋_GB2312" w:cs="仿宋_GB2312" w:eastAsia="仿宋_GB2312"/>
                <w:sz w:val="18"/>
              </w:rPr>
              <w:t>报表无法统计，数据不完整等问题，保障</w:t>
            </w:r>
            <w:r>
              <w:rPr>
                <w:rFonts w:ascii="仿宋_GB2312" w:hAnsi="仿宋_GB2312" w:cs="仿宋_GB2312" w:eastAsia="仿宋_GB2312"/>
                <w:sz w:val="18"/>
              </w:rPr>
              <w:t>中心</w:t>
            </w:r>
            <w:r>
              <w:rPr>
                <w:rFonts w:ascii="仿宋_GB2312" w:hAnsi="仿宋_GB2312" w:cs="仿宋_GB2312" w:eastAsia="仿宋_GB2312"/>
                <w:sz w:val="18"/>
              </w:rPr>
              <w:t>及</w:t>
            </w:r>
            <w:r>
              <w:rPr>
                <w:rFonts w:ascii="仿宋_GB2312" w:hAnsi="仿宋_GB2312" w:cs="仿宋_GB2312" w:eastAsia="仿宋_GB2312"/>
                <w:sz w:val="18"/>
              </w:rPr>
              <w:t>站级</w:t>
            </w:r>
            <w:r>
              <w:rPr>
                <w:rFonts w:ascii="仿宋_GB2312" w:hAnsi="仿宋_GB2312" w:cs="仿宋_GB2312" w:eastAsia="仿宋_GB2312"/>
                <w:sz w:val="18"/>
              </w:rPr>
              <w:t>的</w:t>
            </w:r>
            <w:r>
              <w:rPr>
                <w:rFonts w:ascii="仿宋_GB2312" w:hAnsi="仿宋_GB2312" w:cs="仿宋_GB2312" w:eastAsia="仿宋_GB2312"/>
                <w:sz w:val="18"/>
              </w:rPr>
              <w:t>流量类、金额类、现金及非现金交易类等</w:t>
            </w:r>
            <w:r>
              <w:rPr>
                <w:rFonts w:ascii="仿宋_GB2312" w:hAnsi="仿宋_GB2312" w:cs="仿宋_GB2312" w:eastAsia="仿宋_GB2312"/>
                <w:sz w:val="18"/>
              </w:rPr>
              <w:t>报表正常运行</w:t>
            </w:r>
            <w:r>
              <w:rPr>
                <w:rFonts w:ascii="仿宋_GB2312" w:hAnsi="仿宋_GB2312" w:cs="仿宋_GB2312" w:eastAsia="仿宋_GB2312"/>
                <w:sz w:val="18"/>
              </w:rPr>
              <w:t>。</w:t>
            </w:r>
            <w:r>
              <w:rPr>
                <w:rFonts w:ascii="仿宋_GB2312" w:hAnsi="仿宋_GB2312" w:cs="仿宋_GB2312" w:eastAsia="仿宋_GB2312"/>
                <w:sz w:val="18"/>
              </w:rPr>
              <w:t>完成中心临时数据统计工作。</w:t>
            </w:r>
          </w:p>
          <w:p>
            <w:pPr>
              <w:pStyle w:val="null3"/>
              <w:ind w:firstLine="400"/>
              <w:jc w:val="both"/>
            </w:pPr>
            <w:r>
              <w:rPr>
                <w:rFonts w:ascii="仿宋_GB2312" w:hAnsi="仿宋_GB2312" w:cs="仿宋_GB2312" w:eastAsia="仿宋_GB2312"/>
                <w:sz w:val="18"/>
              </w:rPr>
              <w:t>11.发行系统数据交互系统</w:t>
            </w:r>
            <w:r>
              <w:rPr>
                <w:rFonts w:ascii="仿宋_GB2312" w:hAnsi="仿宋_GB2312" w:cs="仿宋_GB2312" w:eastAsia="仿宋_GB2312"/>
                <w:sz w:val="18"/>
              </w:rPr>
              <w:t>：</w:t>
            </w:r>
            <w:r>
              <w:rPr>
                <w:rFonts w:ascii="仿宋_GB2312" w:hAnsi="仿宋_GB2312" w:cs="仿宋_GB2312" w:eastAsia="仿宋_GB2312"/>
                <w:sz w:val="18"/>
              </w:rPr>
              <w:t>对交易数据的整理、打包</w:t>
            </w:r>
            <w:r>
              <w:rPr>
                <w:rFonts w:ascii="仿宋_GB2312" w:hAnsi="仿宋_GB2312" w:cs="仿宋_GB2312" w:eastAsia="仿宋_GB2312"/>
                <w:sz w:val="18"/>
              </w:rPr>
              <w:t>功能</w:t>
            </w:r>
            <w:r>
              <w:rPr>
                <w:rFonts w:ascii="仿宋_GB2312" w:hAnsi="仿宋_GB2312" w:cs="仿宋_GB2312" w:eastAsia="仿宋_GB2312"/>
                <w:sz w:val="18"/>
              </w:rPr>
              <w:t>，发行方与清分方之间的数据交互</w:t>
            </w:r>
            <w:r>
              <w:rPr>
                <w:rFonts w:ascii="仿宋_GB2312" w:hAnsi="仿宋_GB2312" w:cs="仿宋_GB2312" w:eastAsia="仿宋_GB2312"/>
                <w:sz w:val="18"/>
              </w:rPr>
              <w:t>进行日常巡检</w:t>
            </w:r>
            <w:r>
              <w:rPr>
                <w:rFonts w:ascii="仿宋_GB2312" w:hAnsi="仿宋_GB2312" w:cs="仿宋_GB2312" w:eastAsia="仿宋_GB2312"/>
                <w:sz w:val="18"/>
              </w:rPr>
              <w:t>，</w:t>
            </w:r>
            <w:r>
              <w:rPr>
                <w:rFonts w:ascii="仿宋_GB2312" w:hAnsi="仿宋_GB2312" w:cs="仿宋_GB2312" w:eastAsia="仿宋_GB2312"/>
                <w:sz w:val="18"/>
              </w:rPr>
              <w:t>分析处理各类异常导致的数据积压问题，确保数据交互业务正常工作</w:t>
            </w:r>
            <w:r>
              <w:rPr>
                <w:rFonts w:ascii="仿宋_GB2312" w:hAnsi="仿宋_GB2312" w:cs="仿宋_GB2312" w:eastAsia="仿宋_GB2312"/>
                <w:sz w:val="18"/>
              </w:rPr>
              <w:t>。</w:t>
            </w:r>
            <w:r>
              <w:rPr>
                <w:rFonts w:ascii="仿宋_GB2312" w:hAnsi="仿宋_GB2312" w:cs="仿宋_GB2312" w:eastAsia="仿宋_GB2312"/>
                <w:sz w:val="18"/>
              </w:rPr>
              <w:t>具体</w:t>
            </w:r>
            <w:r>
              <w:rPr>
                <w:rFonts w:ascii="仿宋_GB2312" w:hAnsi="仿宋_GB2312" w:cs="仿宋_GB2312" w:eastAsia="仿宋_GB2312"/>
                <w:sz w:val="18"/>
              </w:rPr>
              <w:t>包括</w:t>
            </w:r>
            <w:r>
              <w:rPr>
                <w:rFonts w:ascii="仿宋_GB2312" w:hAnsi="仿宋_GB2312" w:cs="仿宋_GB2312" w:eastAsia="仿宋_GB2312"/>
                <w:sz w:val="18"/>
              </w:rPr>
              <w:t>省内交易数据交互接口、省内记账数据交互接口、省内清分数据交互接口、省内争议数据交互接口、省内一二级路交易数据交互接口、省内一二级路非现金确认数据交互接口、省内一二级路日清分数据交互接口</w:t>
            </w:r>
            <w:r>
              <w:rPr>
                <w:rFonts w:ascii="仿宋_GB2312" w:hAnsi="仿宋_GB2312" w:cs="仿宋_GB2312" w:eastAsia="仿宋_GB2312"/>
                <w:sz w:val="18"/>
              </w:rPr>
              <w:t>等</w:t>
            </w:r>
            <w:r>
              <w:rPr>
                <w:rFonts w:ascii="仿宋_GB2312" w:hAnsi="仿宋_GB2312" w:cs="仿宋_GB2312" w:eastAsia="仿宋_GB2312"/>
                <w:sz w:val="18"/>
              </w:rPr>
              <w:t>。</w:t>
            </w:r>
          </w:p>
          <w:p>
            <w:pPr>
              <w:pStyle w:val="null3"/>
              <w:ind w:firstLine="400"/>
              <w:jc w:val="both"/>
            </w:pPr>
            <w:r>
              <w:rPr>
                <w:rFonts w:ascii="仿宋_GB2312" w:hAnsi="仿宋_GB2312" w:cs="仿宋_GB2312" w:eastAsia="仿宋_GB2312"/>
                <w:sz w:val="18"/>
              </w:rPr>
              <w:t>12.部省数据交互系统</w:t>
            </w:r>
            <w:r>
              <w:rPr>
                <w:rFonts w:ascii="仿宋_GB2312" w:hAnsi="仿宋_GB2312" w:cs="仿宋_GB2312" w:eastAsia="仿宋_GB2312"/>
                <w:sz w:val="18"/>
              </w:rPr>
              <w:t>：</w:t>
            </w:r>
            <w:r>
              <w:rPr>
                <w:rFonts w:ascii="仿宋_GB2312" w:hAnsi="仿宋_GB2312" w:cs="仿宋_GB2312" w:eastAsia="仿宋_GB2312"/>
                <w:sz w:val="18"/>
              </w:rPr>
              <w:t>日常巡检</w:t>
            </w:r>
            <w:r>
              <w:rPr>
                <w:rFonts w:ascii="仿宋_GB2312" w:hAnsi="仿宋_GB2312" w:cs="仿宋_GB2312" w:eastAsia="仿宋_GB2312"/>
                <w:sz w:val="18"/>
              </w:rPr>
              <w:t>对</w:t>
            </w:r>
            <w:r>
              <w:rPr>
                <w:rFonts w:ascii="仿宋_GB2312" w:hAnsi="仿宋_GB2312" w:cs="仿宋_GB2312" w:eastAsia="仿宋_GB2312"/>
                <w:sz w:val="18"/>
              </w:rPr>
              <w:t>省联网中心业务数据向部级系统的数据传输、从部级系统下载省联网中心业务数据</w:t>
            </w:r>
            <w:r>
              <w:rPr>
                <w:rFonts w:ascii="仿宋_GB2312" w:hAnsi="仿宋_GB2312" w:cs="仿宋_GB2312" w:eastAsia="仿宋_GB2312"/>
                <w:sz w:val="18"/>
              </w:rPr>
              <w:t>等</w:t>
            </w:r>
            <w:r>
              <w:rPr>
                <w:rFonts w:ascii="仿宋_GB2312" w:hAnsi="仿宋_GB2312" w:cs="仿宋_GB2312" w:eastAsia="仿宋_GB2312"/>
                <w:sz w:val="18"/>
              </w:rPr>
              <w:t>15类接口功能，发现问题及时分析处理，减少由于接口异常导致无法正常传输数据，影响其他业务的正常运行。导致接口异常的问题主要包括部中心接收异常、网络异常、数据库异常等导致的接口交互异常。分析处理各类异常导致的数据积压问题，确保数据交互业务正常工作</w:t>
            </w:r>
            <w:r>
              <w:rPr>
                <w:rFonts w:ascii="仿宋_GB2312" w:hAnsi="仿宋_GB2312" w:cs="仿宋_GB2312" w:eastAsia="仿宋_GB2312"/>
                <w:sz w:val="18"/>
              </w:rPr>
              <w:t>。</w:t>
            </w:r>
          </w:p>
          <w:p>
            <w:pPr>
              <w:pStyle w:val="null3"/>
              <w:ind w:firstLine="400"/>
              <w:jc w:val="both"/>
            </w:pPr>
            <w:r>
              <w:rPr>
                <w:rFonts w:ascii="仿宋_GB2312" w:hAnsi="仿宋_GB2312" w:cs="仿宋_GB2312" w:eastAsia="仿宋_GB2312"/>
                <w:sz w:val="18"/>
              </w:rPr>
              <w:t>13.数据传输系统：</w:t>
            </w:r>
            <w:r>
              <w:rPr>
                <w:rFonts w:ascii="仿宋_GB2312" w:hAnsi="仿宋_GB2312" w:cs="仿宋_GB2312" w:eastAsia="仿宋_GB2312"/>
                <w:sz w:val="18"/>
              </w:rPr>
              <w:t>日常巡检</w:t>
            </w:r>
            <w:r>
              <w:rPr>
                <w:rFonts w:ascii="仿宋_GB2312" w:hAnsi="仿宋_GB2312" w:cs="仿宋_GB2312" w:eastAsia="仿宋_GB2312"/>
                <w:sz w:val="18"/>
              </w:rPr>
              <w:t>ETC交易流水（或通行凭证）、所有车辆图像流水记录、车牌等信息的</w:t>
            </w:r>
            <w:r>
              <w:rPr>
                <w:rFonts w:ascii="仿宋_GB2312" w:hAnsi="仿宋_GB2312" w:cs="仿宋_GB2312" w:eastAsia="仿宋_GB2312"/>
                <w:sz w:val="18"/>
              </w:rPr>
              <w:t>采集和下发过程，发现问题及时分析处理，保障数据完整、稳定、正常传输，减少争议数据产生</w:t>
            </w:r>
            <w:r>
              <w:rPr>
                <w:rFonts w:ascii="仿宋_GB2312" w:hAnsi="仿宋_GB2312" w:cs="仿宋_GB2312" w:eastAsia="仿宋_GB2312"/>
                <w:sz w:val="18"/>
              </w:rPr>
              <w:t>。</w:t>
            </w:r>
            <w:r>
              <w:rPr>
                <w:rFonts w:ascii="仿宋_GB2312" w:hAnsi="仿宋_GB2312" w:cs="仿宋_GB2312" w:eastAsia="仿宋_GB2312"/>
                <w:sz w:val="18"/>
              </w:rPr>
              <w:t>必要时人工手动实现数据提取和下发。</w:t>
            </w:r>
          </w:p>
          <w:p>
            <w:pPr>
              <w:pStyle w:val="null3"/>
              <w:ind w:firstLine="400"/>
              <w:jc w:val="both"/>
            </w:pPr>
            <w:r>
              <w:rPr>
                <w:rFonts w:ascii="仿宋_GB2312" w:hAnsi="仿宋_GB2312" w:cs="仿宋_GB2312" w:eastAsia="仿宋_GB2312"/>
                <w:sz w:val="18"/>
              </w:rPr>
              <w:t>14.综合信</w:t>
            </w:r>
            <w:r>
              <w:rPr>
                <w:rFonts w:ascii="仿宋_GB2312" w:hAnsi="仿宋_GB2312" w:cs="仿宋_GB2312" w:eastAsia="仿宋_GB2312"/>
                <w:sz w:val="18"/>
              </w:rPr>
              <w:t>息平台：日常巡检综合业务处理平台，发现问题及时分析处理，保障省收费中心级、分中心级、收费站级用户可正常使用收费数据确认、退费管理、交易管理、争议处理、清分管理和记账管理等综合信息管理服务。对平台存在的网络安全问题进行升级维护。</w:t>
            </w:r>
          </w:p>
          <w:p>
            <w:pPr>
              <w:pStyle w:val="null3"/>
              <w:ind w:firstLine="400"/>
              <w:jc w:val="both"/>
            </w:pPr>
            <w:r>
              <w:rPr>
                <w:rFonts w:ascii="仿宋_GB2312" w:hAnsi="仿宋_GB2312" w:cs="仿宋_GB2312" w:eastAsia="仿宋_GB2312"/>
                <w:sz w:val="18"/>
              </w:rPr>
              <w:t>15.省内及省际对账交易系统：通过日常巡检，保障我省出口车辆的“ETC通行出口交易逾期上传”“ETC通行争议交易不记账”两大类追偿数据正常生成，一是确保省际交易对账与部级对账系统实时数据传输，实现由于外省的原因导致我省通行费漏收的追偿；二是确保省内交易对账实现追偿数据的责任路段分配、处理、异常情况分析处理；对发起出口交易记录未上传追偿数据上传，发起对未收到拆分结果追偿数据上传过程中出现的异常进行分析处理；对下载追偿业务的拆分文件、核对应收应付明细、确认跨省对账通知书、将跨省对账清分通知书、拆分结果等过程中出现的异常进行分析处理。</w:t>
            </w:r>
          </w:p>
          <w:p>
            <w:pPr>
              <w:pStyle w:val="null3"/>
              <w:ind w:firstLine="400"/>
              <w:jc w:val="both"/>
            </w:pPr>
            <w:r>
              <w:rPr>
                <w:rFonts w:ascii="仿宋_GB2312" w:hAnsi="仿宋_GB2312" w:cs="仿宋_GB2312" w:eastAsia="仿宋_GB2312"/>
                <w:sz w:val="18"/>
              </w:rPr>
              <w:t>16.省级门架应用加速节点系统：</w:t>
            </w:r>
            <w:r>
              <w:rPr>
                <w:rFonts w:ascii="仿宋_GB2312" w:hAnsi="仿宋_GB2312" w:cs="仿宋_GB2312" w:eastAsia="仿宋_GB2312"/>
                <w:sz w:val="18"/>
              </w:rPr>
              <w:t>定期巡检</w:t>
            </w:r>
            <w:r>
              <w:rPr>
                <w:rFonts w:ascii="仿宋_GB2312" w:hAnsi="仿宋_GB2312" w:cs="仿宋_GB2312" w:eastAsia="仿宋_GB2312"/>
                <w:sz w:val="18"/>
              </w:rPr>
              <w:t>加速节点系统</w:t>
            </w:r>
            <w:r>
              <w:rPr>
                <w:rFonts w:ascii="仿宋_GB2312" w:hAnsi="仿宋_GB2312" w:cs="仿宋_GB2312" w:eastAsia="仿宋_GB2312"/>
                <w:sz w:val="18"/>
              </w:rPr>
              <w:t>，</w:t>
            </w:r>
            <w:r>
              <w:rPr>
                <w:rFonts w:ascii="仿宋_GB2312" w:hAnsi="仿宋_GB2312" w:cs="仿宋_GB2312" w:eastAsia="仿宋_GB2312"/>
                <w:sz w:val="18"/>
              </w:rPr>
              <w:t>清理和优化存储空间，</w:t>
            </w:r>
            <w:r>
              <w:rPr>
                <w:rFonts w:ascii="仿宋_GB2312" w:hAnsi="仿宋_GB2312" w:cs="仿宋_GB2312" w:eastAsia="仿宋_GB2312"/>
                <w:sz w:val="18"/>
              </w:rPr>
              <w:t>出现问题及时核查处理，保障</w:t>
            </w:r>
            <w:r>
              <w:rPr>
                <w:rFonts w:ascii="仿宋_GB2312" w:hAnsi="仿宋_GB2312" w:cs="仿宋_GB2312" w:eastAsia="仿宋_GB2312"/>
                <w:sz w:val="18"/>
              </w:rPr>
              <w:t>全省门架系统应用升级和部署加速业务</w:t>
            </w:r>
            <w:r>
              <w:rPr>
                <w:rFonts w:ascii="仿宋_GB2312" w:hAnsi="仿宋_GB2312" w:cs="仿宋_GB2312" w:eastAsia="仿宋_GB2312"/>
                <w:sz w:val="18"/>
              </w:rPr>
              <w:t>正常运行，支撑</w:t>
            </w:r>
            <w:r>
              <w:rPr>
                <w:rFonts w:ascii="仿宋_GB2312" w:hAnsi="仿宋_GB2312" w:cs="仿宋_GB2312" w:eastAsia="仿宋_GB2312"/>
                <w:sz w:val="18"/>
              </w:rPr>
              <w:t>全省</w:t>
            </w:r>
            <w:r>
              <w:rPr>
                <w:rFonts w:ascii="仿宋_GB2312" w:hAnsi="仿宋_GB2312" w:cs="仿宋_GB2312" w:eastAsia="仿宋_GB2312"/>
                <w:sz w:val="18"/>
              </w:rPr>
              <w:t>ETC门架系统的正常使用。</w:t>
            </w:r>
          </w:p>
          <w:p>
            <w:pPr>
              <w:pStyle w:val="null3"/>
              <w:ind w:firstLine="400"/>
              <w:jc w:val="both"/>
            </w:pPr>
            <w:r>
              <w:rPr>
                <w:rFonts w:ascii="仿宋_GB2312" w:hAnsi="仿宋_GB2312" w:cs="仿宋_GB2312" w:eastAsia="仿宋_GB2312"/>
                <w:sz w:val="18"/>
              </w:rPr>
              <w:t>17.车道软件升级</w:t>
            </w:r>
            <w:r>
              <w:rPr>
                <w:rFonts w:ascii="仿宋_GB2312" w:hAnsi="仿宋_GB2312" w:cs="仿宋_GB2312" w:eastAsia="仿宋_GB2312"/>
                <w:sz w:val="18"/>
              </w:rPr>
              <w:t>：</w:t>
            </w:r>
            <w:r>
              <w:rPr>
                <w:rFonts w:ascii="仿宋_GB2312" w:hAnsi="仿宋_GB2312" w:cs="仿宋_GB2312" w:eastAsia="仿宋_GB2312"/>
                <w:sz w:val="18"/>
              </w:rPr>
              <w:t>根据部省相关政策要求，结合收费公路运营实际及存在问题，按需开展车道软件功能完善及升级。</w:t>
            </w:r>
            <w:r>
              <w:rPr>
                <w:rFonts w:ascii="仿宋_GB2312" w:hAnsi="仿宋_GB2312" w:cs="仿宋_GB2312" w:eastAsia="仿宋_GB2312"/>
                <w:sz w:val="18"/>
              </w:rPr>
              <w:t>对软件进行根本性修改或所提出需求超出原功能设计较大范围时，另行</w:t>
            </w:r>
            <w:r>
              <w:rPr>
                <w:rFonts w:ascii="仿宋_GB2312" w:hAnsi="仿宋_GB2312" w:cs="仿宋_GB2312" w:eastAsia="仿宋_GB2312"/>
                <w:sz w:val="18"/>
              </w:rPr>
              <w:t>签订</w:t>
            </w:r>
            <w:r>
              <w:rPr>
                <w:rFonts w:ascii="仿宋_GB2312" w:hAnsi="仿宋_GB2312" w:cs="仿宋_GB2312" w:eastAsia="仿宋_GB2312"/>
                <w:sz w:val="18"/>
              </w:rPr>
              <w:t>开发合同。</w:t>
            </w:r>
          </w:p>
          <w:p>
            <w:pPr>
              <w:pStyle w:val="null3"/>
              <w:ind w:firstLine="400"/>
              <w:jc w:val="both"/>
            </w:pPr>
            <w:r>
              <w:rPr>
                <w:rFonts w:ascii="仿宋_GB2312" w:hAnsi="仿宋_GB2312" w:cs="仿宋_GB2312" w:eastAsia="仿宋_GB2312"/>
                <w:sz w:val="18"/>
              </w:rPr>
              <w:t>18.容器管理平台维护</w:t>
            </w:r>
            <w:r>
              <w:rPr>
                <w:rFonts w:ascii="仿宋_GB2312" w:hAnsi="仿宋_GB2312" w:cs="仿宋_GB2312" w:eastAsia="仿宋_GB2312"/>
                <w:sz w:val="18"/>
              </w:rPr>
              <w:t>：</w:t>
            </w:r>
            <w:r>
              <w:rPr>
                <w:rFonts w:ascii="仿宋_GB2312" w:hAnsi="仿宋_GB2312" w:cs="仿宋_GB2312" w:eastAsia="仿宋_GB2312"/>
                <w:sz w:val="18"/>
              </w:rPr>
              <w:t>完成对新入网的车道设备进行适配并录入信息，对新入网的车道工控机进行系统镜像适配，对新入网的车道智能设备（</w:t>
            </w:r>
            <w:r>
              <w:rPr>
                <w:rFonts w:ascii="仿宋_GB2312" w:hAnsi="仿宋_GB2312" w:cs="仿宋_GB2312" w:eastAsia="仿宋_GB2312"/>
                <w:sz w:val="18"/>
              </w:rPr>
              <w:t>ETC天线、读卡器、移动支付设备等）进行软件对接及接口调试，对新增的智慧化设备（自动发卡机、自动缴费机）进行扩充、适配及信息录入。完成已经入网的设备基本信息进行更新和维护，包括对新增收费车道信息进行录入、对车道类型变更情况进行维护。对新增路段、新增收费站基本信息进行录入、对路段信息变化进行平台更新。</w:t>
            </w:r>
          </w:p>
          <w:p>
            <w:pPr>
              <w:pStyle w:val="null3"/>
              <w:ind w:firstLine="400"/>
              <w:jc w:val="both"/>
            </w:pPr>
            <w:r>
              <w:rPr>
                <w:rFonts w:ascii="仿宋_GB2312" w:hAnsi="仿宋_GB2312" w:cs="仿宋_GB2312" w:eastAsia="仿宋_GB2312"/>
                <w:sz w:val="18"/>
              </w:rPr>
              <w:t>19.应急抢险救灾车辆通行应用系统：日常巡检跨省及省内抢险车辆名单下载和更新、抢险车辆交易流水上传和下载功能，确保抢险车辆信息30分钟以内下载，跨省及省内抢险车辆名单两小时内正常下发到站级，保障车道系统抢险车辆数据的正常流转至清分和结算。</w:t>
            </w:r>
          </w:p>
          <w:p>
            <w:pPr>
              <w:pStyle w:val="null3"/>
              <w:ind w:firstLine="400"/>
              <w:jc w:val="both"/>
            </w:pPr>
            <w:r>
              <w:rPr>
                <w:rFonts w:ascii="仿宋_GB2312" w:hAnsi="仿宋_GB2312" w:cs="仿宋_GB2312" w:eastAsia="仿宋_GB2312"/>
                <w:sz w:val="18"/>
              </w:rPr>
              <w:t>20.高速公路收费运营管理信息化系统（一期）：对于使用手机、电脑等多类终端登录系统过程中，不同权限账号查看相关展现的内容出现的问题进行维护和处理。对无法正常显示收费站名单版本，提示未及时更新名单的收费站，车道发生时间异常的警示消息进行问题分析处理。</w:t>
            </w:r>
          </w:p>
          <w:p>
            <w:pPr>
              <w:pStyle w:val="null3"/>
              <w:ind w:firstLine="400"/>
              <w:jc w:val="both"/>
            </w:pPr>
            <w:r>
              <w:rPr>
                <w:rFonts w:ascii="仿宋_GB2312" w:hAnsi="仿宋_GB2312" w:cs="仿宋_GB2312" w:eastAsia="仿宋_GB2312"/>
                <w:sz w:val="18"/>
              </w:rPr>
              <w:t>21、应用系统安全相关维护：包括对应用业务系统存在的安全漏洞，使用的中间件如tomcat，Nginx，nacos，redis，zookeeper等产品的漏洞升级。</w:t>
            </w:r>
          </w:p>
          <w:p>
            <w:pPr>
              <w:pStyle w:val="null3"/>
              <w:ind w:firstLine="400"/>
              <w:jc w:val="both"/>
            </w:pPr>
            <w:r>
              <w:rPr>
                <w:rFonts w:ascii="仿宋_GB2312" w:hAnsi="仿宋_GB2312" w:cs="仿宋_GB2312" w:eastAsia="仿宋_GB2312"/>
                <w:sz w:val="18"/>
              </w:rPr>
              <w:t>（二）费率编制服务</w:t>
            </w:r>
          </w:p>
          <w:p>
            <w:pPr>
              <w:pStyle w:val="null3"/>
              <w:ind w:firstLine="400"/>
              <w:jc w:val="both"/>
            </w:pPr>
            <w:r>
              <w:rPr>
                <w:rFonts w:ascii="仿宋_GB2312" w:hAnsi="仿宋_GB2312" w:cs="仿宋_GB2312" w:eastAsia="仿宋_GB2312"/>
                <w:sz w:val="18"/>
              </w:rPr>
              <w:t>1.费率库升级</w:t>
            </w:r>
          </w:p>
          <w:p>
            <w:pPr>
              <w:pStyle w:val="null3"/>
              <w:ind w:firstLine="400"/>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生成计费参数</w:t>
            </w:r>
          </w:p>
          <w:p>
            <w:pPr>
              <w:pStyle w:val="null3"/>
              <w:ind w:firstLine="400"/>
              <w:jc w:val="both"/>
            </w:pPr>
            <w:r>
              <w:rPr>
                <w:rFonts w:ascii="仿宋_GB2312" w:hAnsi="仿宋_GB2312" w:cs="仿宋_GB2312" w:eastAsia="仿宋_GB2312"/>
                <w:sz w:val="18"/>
              </w:rPr>
              <w:t>根据省中心提供的路径参数数据，对不同的收费车型、单元里程、路段基价、桥隧加收以及特情条件，计算生成全省所有的计费参数。</w:t>
            </w:r>
          </w:p>
          <w:p>
            <w:pPr>
              <w:pStyle w:val="null3"/>
              <w:ind w:firstLine="400"/>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生成计费模块</w:t>
            </w:r>
          </w:p>
          <w:p>
            <w:pPr>
              <w:pStyle w:val="null3"/>
              <w:ind w:firstLine="400"/>
              <w:jc w:val="both"/>
            </w:pPr>
            <w:r>
              <w:rPr>
                <w:rFonts w:ascii="仿宋_GB2312" w:hAnsi="仿宋_GB2312" w:cs="仿宋_GB2312" w:eastAsia="仿宋_GB2312"/>
                <w:sz w:val="18"/>
              </w:rPr>
              <w:t>按照新的路径参数和计费参数，遵照和兼容部级和省级相关计费原则，生成本省计费模块。计费模块能满足部级平台的性能和规格要求，同时满足本省对路径拟合、特情处理、优惠政策、包缴业务等收费业务需求。</w:t>
            </w:r>
          </w:p>
          <w:p>
            <w:pPr>
              <w:pStyle w:val="null3"/>
              <w:ind w:firstLine="400"/>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上传费率数据到部级费率平台并完成验证</w:t>
            </w:r>
          </w:p>
          <w:p>
            <w:pPr>
              <w:pStyle w:val="null3"/>
              <w:ind w:firstLine="400"/>
              <w:jc w:val="both"/>
            </w:pPr>
            <w:r>
              <w:rPr>
                <w:rFonts w:ascii="仿宋_GB2312" w:hAnsi="仿宋_GB2312" w:cs="仿宋_GB2312" w:eastAsia="仿宋_GB2312"/>
                <w:sz w:val="18"/>
              </w:rPr>
              <w:t>在部级费率系统要求的时间期限内，对计费参数和计费模块进行审核测试后，上传到部级费率平台，通过部级平台的业务审核验证。</w:t>
            </w:r>
          </w:p>
          <w:p>
            <w:pPr>
              <w:pStyle w:val="null3"/>
              <w:ind w:firstLine="400"/>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下载启用全网入出口可达路径最小费额库</w:t>
            </w:r>
          </w:p>
          <w:p>
            <w:pPr>
              <w:pStyle w:val="null3"/>
              <w:ind w:firstLine="400"/>
              <w:jc w:val="both"/>
            </w:pPr>
            <w:r>
              <w:rPr>
                <w:rFonts w:ascii="仿宋_GB2312" w:hAnsi="仿宋_GB2312" w:cs="仿宋_GB2312" w:eastAsia="仿宋_GB2312"/>
                <w:sz w:val="18"/>
              </w:rPr>
              <w:t>部级费率系统生成新的全网入出口可达路径最小费额库后，及时下载相关数据文件，并对该数据合并整理成本省收费规格，及时下发到所有收费车道，并在规定时间内完成启用。整理导入省中心数据库，支撑省级清分系统的应用需求。</w:t>
            </w:r>
          </w:p>
          <w:p>
            <w:pPr>
              <w:pStyle w:val="null3"/>
              <w:ind w:firstLine="400"/>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单独全网最小费率升级服务</w:t>
            </w:r>
          </w:p>
          <w:p>
            <w:pPr>
              <w:pStyle w:val="null3"/>
              <w:ind w:firstLine="400"/>
              <w:jc w:val="both"/>
            </w:pPr>
            <w:r>
              <w:rPr>
                <w:rFonts w:ascii="仿宋_GB2312" w:hAnsi="仿宋_GB2312" w:cs="仿宋_GB2312" w:eastAsia="仿宋_GB2312"/>
                <w:sz w:val="18"/>
              </w:rPr>
              <w:t>单独的全网最小费率升级服务，一般仅包括全网入出口可达路径最小费额库的下载分发工作，工作内容同上。</w:t>
            </w:r>
          </w:p>
          <w:p>
            <w:pPr>
              <w:pStyle w:val="null3"/>
              <w:ind w:firstLine="400"/>
              <w:jc w:val="both"/>
            </w:pPr>
            <w:r>
              <w:rPr>
                <w:rFonts w:ascii="仿宋_GB2312" w:hAnsi="仿宋_GB2312" w:cs="仿宋_GB2312" w:eastAsia="仿宋_GB2312"/>
                <w:sz w:val="18"/>
              </w:rPr>
              <w:t>2.省内最小费额阈值优化调整</w:t>
            </w:r>
          </w:p>
          <w:p>
            <w:pPr>
              <w:pStyle w:val="null3"/>
              <w:ind w:firstLine="400"/>
              <w:jc w:val="both"/>
            </w:pPr>
            <w:r>
              <w:rPr>
                <w:rFonts w:ascii="仿宋_GB2312" w:hAnsi="仿宋_GB2312" w:cs="仿宋_GB2312" w:eastAsia="仿宋_GB2312"/>
                <w:sz w:val="18"/>
              </w:rPr>
              <w:t>满足计费合理化需求，对省内最小费额设置的阈值进行调查、分析、论证，进而优化调整。</w:t>
            </w:r>
          </w:p>
          <w:p>
            <w:pPr>
              <w:pStyle w:val="null3"/>
              <w:ind w:firstLine="400"/>
              <w:jc w:val="both"/>
            </w:pPr>
            <w:r>
              <w:rPr>
                <w:rFonts w:ascii="仿宋_GB2312" w:hAnsi="仿宋_GB2312" w:cs="仿宋_GB2312" w:eastAsia="仿宋_GB2312"/>
                <w:sz w:val="18"/>
              </w:rPr>
              <w:t>（</w:t>
            </w:r>
            <w:r>
              <w:rPr>
                <w:rFonts w:ascii="仿宋_GB2312" w:hAnsi="仿宋_GB2312" w:cs="仿宋_GB2312" w:eastAsia="仿宋_GB2312"/>
                <w:sz w:val="18"/>
              </w:rPr>
              <w:t>三</w:t>
            </w:r>
            <w:r>
              <w:rPr>
                <w:rFonts w:ascii="仿宋_GB2312" w:hAnsi="仿宋_GB2312" w:cs="仿宋_GB2312" w:eastAsia="仿宋_GB2312"/>
                <w:sz w:val="18"/>
              </w:rPr>
              <w:t>）国密省收费中心系统及</w:t>
            </w:r>
            <w:r>
              <w:rPr>
                <w:rFonts w:ascii="仿宋_GB2312" w:hAnsi="仿宋_GB2312" w:cs="仿宋_GB2312" w:eastAsia="仿宋_GB2312"/>
                <w:sz w:val="18"/>
              </w:rPr>
              <w:t>CPC卡发行系统软件维护</w:t>
            </w:r>
          </w:p>
          <w:p>
            <w:pPr>
              <w:pStyle w:val="null3"/>
              <w:ind w:firstLine="400"/>
              <w:jc w:val="both"/>
            </w:pPr>
            <w:r>
              <w:rPr>
                <w:rFonts w:ascii="仿宋_GB2312" w:hAnsi="仿宋_GB2312" w:cs="仿宋_GB2312" w:eastAsia="仿宋_GB2312"/>
                <w:sz w:val="18"/>
              </w:rPr>
              <w:t>为保障国密省收费中心系统（承担着为全省门架、车道授权、签到等重要工作任务）及</w:t>
            </w:r>
            <w:r>
              <w:rPr>
                <w:rFonts w:ascii="仿宋_GB2312" w:hAnsi="仿宋_GB2312" w:cs="仿宋_GB2312" w:eastAsia="仿宋_GB2312"/>
                <w:sz w:val="18"/>
              </w:rPr>
              <w:t>CPC卡发行系统（CPC卡是通行高速公路的主要通行介质，因此CPC卡的初始化发行是CPC卡可在高速公路使用的第一个步骤。作为收费公路联网收费车辆通行凭证，以保障联网收费工作正常运行）稳定、安全、不间断运行</w:t>
            </w:r>
            <w:r>
              <w:rPr>
                <w:rFonts w:ascii="仿宋_GB2312" w:hAnsi="仿宋_GB2312" w:cs="仿宋_GB2312" w:eastAsia="仿宋_GB2312"/>
                <w:sz w:val="18"/>
              </w:rPr>
              <w:t>，</w:t>
            </w:r>
            <w:r>
              <w:rPr>
                <w:rFonts w:ascii="仿宋_GB2312" w:hAnsi="仿宋_GB2312" w:cs="仿宋_GB2312" w:eastAsia="仿宋_GB2312"/>
                <w:sz w:val="18"/>
              </w:rPr>
              <w:t>确保软件系统在突发问题时可及时得到维修和技术支持，并快速解决故障。</w:t>
            </w:r>
          </w:p>
          <w:p>
            <w:pPr>
              <w:pStyle w:val="null3"/>
              <w:ind w:firstLine="400"/>
              <w:jc w:val="both"/>
            </w:pPr>
            <w:r>
              <w:rPr>
                <w:rFonts w:ascii="仿宋_GB2312" w:hAnsi="仿宋_GB2312" w:cs="仿宋_GB2312" w:eastAsia="仿宋_GB2312"/>
                <w:sz w:val="18"/>
              </w:rPr>
              <w:t>（四）</w:t>
            </w:r>
            <w:r>
              <w:rPr>
                <w:rFonts w:ascii="仿宋_GB2312" w:hAnsi="仿宋_GB2312" w:cs="仿宋_GB2312" w:eastAsia="仿宋_GB2312"/>
                <w:sz w:val="18"/>
              </w:rPr>
              <w:t>技术支持服务</w:t>
            </w:r>
          </w:p>
          <w:p>
            <w:pPr>
              <w:pStyle w:val="null3"/>
              <w:ind w:firstLine="400"/>
              <w:jc w:val="both"/>
            </w:pPr>
            <w:r>
              <w:rPr>
                <w:rFonts w:ascii="仿宋_GB2312" w:hAnsi="仿宋_GB2312" w:cs="仿宋_GB2312" w:eastAsia="仿宋_GB2312"/>
                <w:sz w:val="18"/>
              </w:rPr>
              <w:t>（</w:t>
            </w:r>
            <w:r>
              <w:rPr>
                <w:rFonts w:ascii="仿宋_GB2312" w:hAnsi="仿宋_GB2312" w:cs="仿宋_GB2312" w:eastAsia="仿宋_GB2312"/>
                <w:sz w:val="18"/>
              </w:rPr>
              <w:t>1）合同期内对维护范围内的业务系统进行日常巡查或通过远程进行维护。</w:t>
            </w:r>
            <w:r>
              <w:rPr>
                <w:rFonts w:ascii="仿宋_GB2312" w:hAnsi="仿宋_GB2312" w:cs="仿宋_GB2312" w:eastAsia="仿宋_GB2312"/>
                <w:sz w:val="18"/>
              </w:rPr>
              <w:t>按照部路网中心关于已有业务系统的技术调整，及时完成相应系统调整。</w:t>
            </w:r>
          </w:p>
          <w:p>
            <w:pPr>
              <w:pStyle w:val="null3"/>
              <w:ind w:firstLine="400"/>
              <w:jc w:val="both"/>
            </w:pPr>
            <w:r>
              <w:rPr>
                <w:rFonts w:ascii="仿宋_GB2312" w:hAnsi="仿宋_GB2312" w:cs="仿宋_GB2312" w:eastAsia="仿宋_GB2312"/>
                <w:sz w:val="18"/>
              </w:rPr>
              <w:t>（</w:t>
            </w:r>
            <w:r>
              <w:rPr>
                <w:rFonts w:ascii="仿宋_GB2312" w:hAnsi="仿宋_GB2312" w:cs="仿宋_GB2312" w:eastAsia="仿宋_GB2312"/>
                <w:sz w:val="18"/>
              </w:rPr>
              <w:t>2）合同期内配合省收费中心完善新通车路段入并网相关系统调试工作，承担陕西省高速公路新通车路段接入省收费中心的技术支持、调试、系统调整等工作。</w:t>
            </w:r>
          </w:p>
          <w:p>
            <w:pPr>
              <w:pStyle w:val="null3"/>
              <w:ind w:firstLine="400"/>
              <w:jc w:val="both"/>
            </w:pPr>
            <w:r>
              <w:rPr>
                <w:rFonts w:ascii="仿宋_GB2312" w:hAnsi="仿宋_GB2312" w:cs="仿宋_GB2312" w:eastAsia="仿宋_GB2312"/>
                <w:sz w:val="18"/>
              </w:rPr>
              <w:t>（</w:t>
            </w:r>
            <w:r>
              <w:rPr>
                <w:rFonts w:ascii="仿宋_GB2312" w:hAnsi="仿宋_GB2312" w:cs="仿宋_GB2312" w:eastAsia="仿宋_GB2312"/>
                <w:sz w:val="18"/>
              </w:rPr>
              <w:t>3）收到新收费标准及对应的路径参数信息后5个工作日内生成全省计费参数和计费模块，及时上传部费率平台并完成费率核验。部费率平台生成全国最小费额表后，按照费率调整工作要求及费率发布周期要求更新至全省的收费车道、省中心费率库，保障新的收费标准费率调整按期实施。若政策和路径参数等信息发生改变，工作周期按上述流程重新计算。</w:t>
            </w:r>
          </w:p>
          <w:p>
            <w:pPr>
              <w:pStyle w:val="null3"/>
              <w:ind w:firstLine="400"/>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做好重要节假日（春节、清明节、劳动节、国庆节）应用系统切换及维护工作；配合省收费中心做好操作</w:t>
            </w:r>
            <w:r>
              <w:rPr>
                <w:rFonts w:ascii="仿宋_GB2312" w:hAnsi="仿宋_GB2312" w:cs="仿宋_GB2312" w:eastAsia="仿宋_GB2312"/>
                <w:sz w:val="18"/>
              </w:rPr>
              <w:t>系</w:t>
            </w:r>
            <w:r>
              <w:rPr>
                <w:rFonts w:ascii="仿宋_GB2312" w:hAnsi="仿宋_GB2312" w:cs="仿宋_GB2312" w:eastAsia="仿宋_GB2312"/>
                <w:sz w:val="18"/>
              </w:rPr>
              <w:t>统漏洞升级工作</w:t>
            </w:r>
            <w:r>
              <w:rPr>
                <w:rFonts w:ascii="仿宋_GB2312" w:hAnsi="仿宋_GB2312" w:cs="仿宋_GB2312" w:eastAsia="仿宋_GB2312"/>
                <w:sz w:val="18"/>
              </w:rPr>
              <w:t>；提前告知省收费中心并经省收费中心书面确认后，方可开展车道软件各类调整。</w:t>
            </w:r>
          </w:p>
          <w:p>
            <w:pPr>
              <w:pStyle w:val="null3"/>
              <w:ind w:firstLine="400"/>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合同期内对业务系统出现的异常问题（如争议数据协查，发票未正常上传、退费补缴异常）进行解决和处理，处理情况及时向省收费中心进行汇报。</w:t>
            </w:r>
          </w:p>
          <w:p>
            <w:pPr>
              <w:pStyle w:val="null3"/>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）针对维护范围内的业务系统出现的各类故障及问题，应及时应答和解决，确保收费系统日常关键性工作顺利完成。硬件设备运行正常的情况下，软件业务系统恢复正常响应详见下列表：</w:t>
            </w:r>
          </w:p>
          <w:tbl>
            <w:tblPr>
              <w:tblInd w:type="dxa" w:w="135"/>
              <w:tblBorders>
                <w:top w:val="none" w:color="000000" w:sz="4"/>
                <w:left w:val="none" w:color="000000" w:sz="4"/>
                <w:bottom w:val="none" w:color="000000" w:sz="4"/>
                <w:right w:val="none" w:color="000000" w:sz="4"/>
                <w:insideH w:val="none"/>
                <w:insideV w:val="none"/>
              </w:tblBorders>
            </w:tblPr>
            <w:tblGrid>
              <w:gridCol w:w="911"/>
              <w:gridCol w:w="329"/>
              <w:gridCol w:w="620"/>
            </w:tblGrid>
            <w:tr>
              <w:tc>
                <w:tcPr>
                  <w:tcW w:type="dxa" w:w="9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系统类型</w:t>
                  </w:r>
                </w:p>
              </w:tc>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18"/>
                    </w:rPr>
                    <w:t>响应时间</w:t>
                  </w:r>
                </w:p>
              </w:tc>
              <w:tc>
                <w:tcPr>
                  <w:tcW w:type="dxa" w:w="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18"/>
                    </w:rPr>
                    <w:t>故障处理完成时间</w:t>
                  </w:r>
                </w:p>
              </w:tc>
            </w:tr>
            <w:tr>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18"/>
                    </w:rPr>
                    <w:t>用户状态名单管理系统</w:t>
                  </w:r>
                </w:p>
                <w:p>
                  <w:pPr>
                    <w:pStyle w:val="null3"/>
                    <w:ind w:firstLine="400"/>
                    <w:jc w:val="both"/>
                  </w:pPr>
                  <w:r>
                    <w:rPr>
                      <w:rFonts w:ascii="仿宋_GB2312" w:hAnsi="仿宋_GB2312" w:cs="仿宋_GB2312" w:eastAsia="仿宋_GB2312"/>
                      <w:sz w:val="18"/>
                    </w:rPr>
                    <w:t>数据传输系统</w:t>
                  </w:r>
                </w:p>
                <w:p>
                  <w:pPr>
                    <w:pStyle w:val="null3"/>
                    <w:ind w:firstLine="400"/>
                    <w:jc w:val="both"/>
                  </w:pPr>
                  <w:r>
                    <w:rPr>
                      <w:rFonts w:ascii="仿宋_GB2312" w:hAnsi="仿宋_GB2312" w:cs="仿宋_GB2312" w:eastAsia="仿宋_GB2312"/>
                      <w:sz w:val="18"/>
                    </w:rPr>
                    <w:t>发行系统数据交互系统</w:t>
                  </w:r>
                </w:p>
                <w:p>
                  <w:pPr>
                    <w:pStyle w:val="null3"/>
                    <w:ind w:firstLine="400"/>
                    <w:jc w:val="both"/>
                  </w:pPr>
                  <w:r>
                    <w:rPr>
                      <w:rFonts w:ascii="仿宋_GB2312" w:hAnsi="仿宋_GB2312" w:cs="仿宋_GB2312" w:eastAsia="仿宋_GB2312"/>
                      <w:sz w:val="18"/>
                    </w:rPr>
                    <w:t>数据汇聚系统</w:t>
                  </w:r>
                </w:p>
                <w:p>
                  <w:pPr>
                    <w:pStyle w:val="null3"/>
                    <w:ind w:firstLine="400"/>
                    <w:jc w:val="both"/>
                  </w:pPr>
                  <w:r>
                    <w:rPr>
                      <w:rFonts w:ascii="仿宋_GB2312" w:hAnsi="仿宋_GB2312" w:cs="仿宋_GB2312" w:eastAsia="仿宋_GB2312"/>
                      <w:sz w:val="18"/>
                    </w:rPr>
                    <w:t>清分系统数据汇聚系统</w:t>
                  </w:r>
                </w:p>
                <w:p>
                  <w:pPr>
                    <w:pStyle w:val="null3"/>
                    <w:ind w:firstLine="400"/>
                    <w:jc w:val="both"/>
                  </w:pPr>
                  <w:r>
                    <w:rPr>
                      <w:rFonts w:ascii="仿宋_GB2312" w:hAnsi="仿宋_GB2312" w:cs="仿宋_GB2312" w:eastAsia="仿宋_GB2312"/>
                      <w:sz w:val="18"/>
                    </w:rPr>
                    <w:t>部省数据交互系统</w:t>
                  </w:r>
                </w:p>
                <w:p>
                  <w:pPr>
                    <w:pStyle w:val="null3"/>
                    <w:ind w:firstLine="400"/>
                    <w:jc w:val="both"/>
                  </w:pPr>
                  <w:r>
                    <w:rPr>
                      <w:rFonts w:ascii="仿宋_GB2312" w:hAnsi="仿宋_GB2312" w:cs="仿宋_GB2312" w:eastAsia="仿宋_GB2312"/>
                      <w:sz w:val="18"/>
                    </w:rPr>
                    <w:t>容器管理平台系统</w:t>
                  </w:r>
                </w:p>
                <w:p>
                  <w:pPr>
                    <w:pStyle w:val="null3"/>
                    <w:ind w:firstLine="400"/>
                    <w:jc w:val="both"/>
                  </w:pPr>
                  <w:r>
                    <w:rPr>
                      <w:rFonts w:ascii="仿宋_GB2312" w:hAnsi="仿宋_GB2312" w:cs="仿宋_GB2312" w:eastAsia="仿宋_GB2312"/>
                      <w:sz w:val="18"/>
                    </w:rPr>
                    <w:t>高速公路收费运营管理信息化系统</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18"/>
                    </w:rPr>
                    <w:t>15分钟</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18"/>
                    </w:rPr>
                    <w:t>2小时内解决</w:t>
                  </w:r>
                </w:p>
              </w:tc>
            </w:tr>
            <w:tr>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18"/>
                    </w:rPr>
                    <w:t>基础信息管理系统</w:t>
                  </w:r>
                </w:p>
                <w:p>
                  <w:pPr>
                    <w:pStyle w:val="null3"/>
                    <w:ind w:firstLine="400"/>
                    <w:jc w:val="both"/>
                  </w:pPr>
                  <w:r>
                    <w:rPr>
                      <w:rFonts w:ascii="仿宋_GB2312" w:hAnsi="仿宋_GB2312" w:cs="仿宋_GB2312" w:eastAsia="仿宋_GB2312"/>
                      <w:sz w:val="18"/>
                    </w:rPr>
                    <w:t>对账及结算系统</w:t>
                  </w:r>
                </w:p>
                <w:p>
                  <w:pPr>
                    <w:pStyle w:val="null3"/>
                    <w:ind w:firstLine="400"/>
                    <w:jc w:val="both"/>
                  </w:pPr>
                  <w:r>
                    <w:rPr>
                      <w:rFonts w:ascii="仿宋_GB2312" w:hAnsi="仿宋_GB2312" w:cs="仿宋_GB2312" w:eastAsia="仿宋_GB2312"/>
                      <w:sz w:val="18"/>
                    </w:rPr>
                    <w:t>记账与争议处理系统</w:t>
                  </w:r>
                </w:p>
                <w:p>
                  <w:pPr>
                    <w:pStyle w:val="null3"/>
                    <w:ind w:firstLine="400"/>
                    <w:jc w:val="both"/>
                  </w:pPr>
                  <w:r>
                    <w:rPr>
                      <w:rFonts w:ascii="仿宋_GB2312" w:hAnsi="仿宋_GB2312" w:cs="仿宋_GB2312" w:eastAsia="仿宋_GB2312"/>
                      <w:sz w:val="18"/>
                    </w:rPr>
                    <w:t>省级计费服务系统</w:t>
                  </w:r>
                </w:p>
                <w:p>
                  <w:pPr>
                    <w:pStyle w:val="null3"/>
                    <w:ind w:firstLine="400"/>
                    <w:jc w:val="both"/>
                  </w:pPr>
                  <w:r>
                    <w:rPr>
                      <w:rFonts w:ascii="仿宋_GB2312" w:hAnsi="仿宋_GB2312" w:cs="仿宋_GB2312" w:eastAsia="仿宋_GB2312"/>
                      <w:sz w:val="18"/>
                    </w:rPr>
                    <w:t>交易对账系统（省内及省际）</w:t>
                  </w:r>
                </w:p>
                <w:p>
                  <w:pPr>
                    <w:pStyle w:val="null3"/>
                    <w:ind w:firstLine="400"/>
                    <w:jc w:val="both"/>
                  </w:pPr>
                  <w:r>
                    <w:rPr>
                      <w:rFonts w:ascii="仿宋_GB2312" w:hAnsi="仿宋_GB2312" w:cs="仿宋_GB2312" w:eastAsia="仿宋_GB2312"/>
                      <w:sz w:val="18"/>
                    </w:rPr>
                    <w:t>应急抢险救灾车辆通行应用系统</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18"/>
                    </w:rPr>
                    <w:t>15分钟</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18"/>
                    </w:rPr>
                    <w:t>3小时内解决</w:t>
                  </w:r>
                </w:p>
              </w:tc>
            </w:tr>
            <w:tr>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18"/>
                    </w:rPr>
                    <w:t>省级收费公路营改增发票业务系统</w:t>
                  </w:r>
                </w:p>
                <w:p>
                  <w:pPr>
                    <w:pStyle w:val="null3"/>
                    <w:ind w:firstLine="400"/>
                    <w:jc w:val="both"/>
                  </w:pPr>
                  <w:r>
                    <w:rPr>
                      <w:rFonts w:ascii="仿宋_GB2312" w:hAnsi="仿宋_GB2312" w:cs="仿宋_GB2312" w:eastAsia="仿宋_GB2312"/>
                      <w:sz w:val="18"/>
                    </w:rPr>
                    <w:t>省级对账交易系统</w:t>
                  </w:r>
                </w:p>
                <w:p>
                  <w:pPr>
                    <w:pStyle w:val="null3"/>
                    <w:ind w:firstLine="400"/>
                    <w:jc w:val="both"/>
                  </w:pPr>
                  <w:r>
                    <w:rPr>
                      <w:rFonts w:ascii="仿宋_GB2312" w:hAnsi="仿宋_GB2312" w:cs="仿宋_GB2312" w:eastAsia="仿宋_GB2312"/>
                      <w:sz w:val="18"/>
                    </w:rPr>
                    <w:t>退费补交系统</w:t>
                  </w:r>
                </w:p>
                <w:p>
                  <w:pPr>
                    <w:pStyle w:val="null3"/>
                    <w:ind w:firstLine="400"/>
                    <w:jc w:val="both"/>
                  </w:pPr>
                  <w:r>
                    <w:rPr>
                      <w:rFonts w:ascii="仿宋_GB2312" w:hAnsi="仿宋_GB2312" w:cs="仿宋_GB2312" w:eastAsia="仿宋_GB2312"/>
                      <w:sz w:val="18"/>
                    </w:rPr>
                    <w:t>统计报表系统</w:t>
                  </w:r>
                </w:p>
                <w:p>
                  <w:pPr>
                    <w:pStyle w:val="null3"/>
                    <w:ind w:firstLine="400"/>
                    <w:jc w:val="both"/>
                  </w:pPr>
                  <w:r>
                    <w:rPr>
                      <w:rFonts w:ascii="仿宋_GB2312" w:hAnsi="仿宋_GB2312" w:cs="仿宋_GB2312" w:eastAsia="仿宋_GB2312"/>
                      <w:sz w:val="18"/>
                    </w:rPr>
                    <w:t>综合信息平台</w:t>
                  </w:r>
                </w:p>
                <w:p>
                  <w:pPr>
                    <w:pStyle w:val="null3"/>
                    <w:ind w:firstLine="400"/>
                    <w:jc w:val="both"/>
                  </w:pPr>
                  <w:r>
                    <w:rPr>
                      <w:rFonts w:ascii="仿宋_GB2312" w:hAnsi="仿宋_GB2312" w:cs="仿宋_GB2312" w:eastAsia="仿宋_GB2312"/>
                      <w:sz w:val="18"/>
                    </w:rPr>
                    <w:t>省级门架应用加速节点系统</w:t>
                  </w:r>
                </w:p>
                <w:p>
                  <w:pPr>
                    <w:pStyle w:val="null3"/>
                    <w:ind w:firstLine="400"/>
                    <w:jc w:val="both"/>
                  </w:pPr>
                  <w:r>
                    <w:rPr>
                      <w:rFonts w:ascii="仿宋_GB2312" w:hAnsi="仿宋_GB2312" w:cs="仿宋_GB2312" w:eastAsia="仿宋_GB2312"/>
                      <w:sz w:val="18"/>
                    </w:rPr>
                    <w:t>国密省收费中心系统及</w:t>
                  </w:r>
                  <w:r>
                    <w:rPr>
                      <w:rFonts w:ascii="仿宋_GB2312" w:hAnsi="仿宋_GB2312" w:cs="仿宋_GB2312" w:eastAsia="仿宋_GB2312"/>
                      <w:sz w:val="18"/>
                    </w:rPr>
                    <w:t>CPC卡发行系统</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18"/>
                    </w:rPr>
                    <w:t>15分钟</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18"/>
                    </w:rPr>
                    <w:t>4小时内解决</w:t>
                  </w:r>
                </w:p>
                <w:p>
                  <w:pPr>
                    <w:pStyle w:val="null3"/>
                    <w:ind w:firstLine="400"/>
                    <w:jc w:val="both"/>
                  </w:pPr>
                  <w:r>
                    <w:rPr>
                      <w:rFonts w:ascii="仿宋_GB2312" w:hAnsi="仿宋_GB2312" w:cs="仿宋_GB2312" w:eastAsia="仿宋_GB2312"/>
                      <w:sz w:val="18"/>
                    </w:rPr>
                    <w:t>（综合信息平台的部分业务需要路段人员向中心相关人员提供情况说明，待中心确认后才能处理，解决时间需要视具体情况而定。）</w:t>
                  </w:r>
                </w:p>
              </w:tc>
            </w:tr>
            <w:tr>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18"/>
                    </w:rPr>
                    <w:t>应用系统安全漏洞处理</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15分钟</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解决时间需要视具体情况</w:t>
                  </w:r>
                  <w:r>
                    <w:rPr>
                      <w:rFonts w:ascii="仿宋_GB2312" w:hAnsi="仿宋_GB2312" w:cs="仿宋_GB2312" w:eastAsia="仿宋_GB2312"/>
                      <w:sz w:val="18"/>
                    </w:rPr>
                    <w:t>确</w:t>
                  </w:r>
                  <w:r>
                    <w:rPr>
                      <w:rFonts w:ascii="仿宋_GB2312" w:hAnsi="仿宋_GB2312" w:cs="仿宋_GB2312" w:eastAsia="仿宋_GB2312"/>
                      <w:sz w:val="18"/>
                    </w:rPr>
                    <w:t>定</w:t>
                  </w:r>
                </w:p>
              </w:tc>
            </w:tr>
          </w:tbl>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ind w:firstLine="400"/>
              <w:jc w:val="both"/>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）根据部中心相关运营规则要求，部中心状态名单对接系统正常的情况下，确保省收费中心</w:t>
            </w:r>
            <w:r>
              <w:rPr>
                <w:rFonts w:ascii="仿宋_GB2312" w:hAnsi="仿宋_GB2312" w:cs="仿宋_GB2312" w:eastAsia="仿宋_GB2312"/>
                <w:sz w:val="18"/>
              </w:rPr>
              <w:t>30分钟内（省收费中心请求，部中心能提供数据时刻开始计时</w:t>
            </w:r>
            <w:r>
              <w:rPr>
                <w:rFonts w:ascii="仿宋_GB2312" w:hAnsi="仿宋_GB2312" w:cs="仿宋_GB2312" w:eastAsia="仿宋_GB2312"/>
                <w:sz w:val="18"/>
              </w:rPr>
              <w:t>，</w:t>
            </w:r>
            <w:r>
              <w:rPr>
                <w:rFonts w:ascii="仿宋_GB2312" w:hAnsi="仿宋_GB2312" w:cs="仿宋_GB2312" w:eastAsia="仿宋_GB2312"/>
                <w:sz w:val="18"/>
              </w:rPr>
              <w:t>该时间包括从部系统下载用户状态文件到省收费中心服务器以及省收费中心整理名单时间）从部级中心下载状态名单。省收费中心系统应保证</w:t>
            </w:r>
            <w:r>
              <w:rPr>
                <w:rFonts w:ascii="仿宋_GB2312" w:hAnsi="仿宋_GB2312" w:cs="仿宋_GB2312" w:eastAsia="仿宋_GB2312"/>
                <w:sz w:val="18"/>
              </w:rPr>
              <w:t>ETC交易记录1天以内上传至部中心或发行方。根据部中心运营规则调整，按照新规则时限要求执行。</w:t>
            </w:r>
          </w:p>
          <w:p>
            <w:pPr>
              <w:pStyle w:val="null3"/>
            </w:pPr>
            <w:r>
              <w:rPr>
                <w:rFonts w:ascii="仿宋_GB2312" w:hAnsi="仿宋_GB2312" w:cs="仿宋_GB2312" w:eastAsia="仿宋_GB2312"/>
                <w:sz w:val="18"/>
              </w:rPr>
              <w:t>（</w:t>
            </w:r>
            <w:r>
              <w:rPr>
                <w:rFonts w:ascii="仿宋_GB2312" w:hAnsi="仿宋_GB2312" w:cs="仿宋_GB2312" w:eastAsia="仿宋_GB2312"/>
                <w:sz w:val="18"/>
              </w:rPr>
              <w:t>8</w:t>
            </w:r>
            <w:r>
              <w:rPr>
                <w:rFonts w:ascii="仿宋_GB2312" w:hAnsi="仿宋_GB2312" w:cs="仿宋_GB2312" w:eastAsia="仿宋_GB2312"/>
                <w:sz w:val="18"/>
              </w:rPr>
              <w:t>）加速节点系统，每月中旬检查一次系统状态。进行系统检测，清理和优化存储空间等工作。</w:t>
            </w:r>
          </w:p>
          <w:p>
            <w:pPr>
              <w:pStyle w:val="null3"/>
            </w:pPr>
            <w:r>
              <w:rPr>
                <w:rFonts w:ascii="仿宋_GB2312" w:hAnsi="仿宋_GB2312" w:cs="仿宋_GB2312" w:eastAsia="仿宋_GB2312"/>
                <w:sz w:val="18"/>
              </w:rPr>
              <w:t>（五）其他要求</w:t>
            </w:r>
          </w:p>
          <w:p>
            <w:pPr>
              <w:pStyle w:val="null3"/>
            </w:pPr>
            <w:r>
              <w:rPr>
                <w:rFonts w:ascii="仿宋_GB2312" w:hAnsi="仿宋_GB2312" w:cs="仿宋_GB2312" w:eastAsia="仿宋_GB2312"/>
                <w:sz w:val="18"/>
              </w:rPr>
              <w:t>1.人员要求：</w:t>
            </w:r>
          </w:p>
          <w:p>
            <w:pPr>
              <w:pStyle w:val="null3"/>
            </w:pPr>
            <w:r>
              <w:rPr>
                <w:rFonts w:ascii="仿宋_GB2312" w:hAnsi="仿宋_GB2312" w:cs="仿宋_GB2312" w:eastAsia="仿宋_GB2312"/>
                <w:sz w:val="18"/>
              </w:rPr>
              <w:t>（1）维护服务商需提供参与本项目的项目组人员详细名单及项目组织结构，并附人员简历和学历证明。</w:t>
            </w:r>
            <w:r>
              <w:br/>
            </w:r>
            <w:r>
              <w:rPr>
                <w:rFonts w:ascii="仿宋_GB2312" w:hAnsi="仿宋_GB2312" w:cs="仿宋_GB2312" w:eastAsia="仿宋_GB2312"/>
                <w:sz w:val="18"/>
              </w:rPr>
              <w:t xml:space="preserve"> （2）本项目相关技术人员需熟悉高速公路联网收费系统的体系构成、业务现状，具备较为丰富的系统运维经验，能够及时解答使用过程中的技术咨询，实现系统性能及各类应用系统的安装部署、应用软件升级、应用软件分析和软件需求收集。</w:t>
            </w:r>
            <w:r>
              <w:br/>
            </w:r>
            <w:r>
              <w:rPr>
                <w:rFonts w:ascii="仿宋_GB2312" w:hAnsi="仿宋_GB2312" w:cs="仿宋_GB2312" w:eastAsia="仿宋_GB2312"/>
                <w:sz w:val="18"/>
              </w:rPr>
              <w:t xml:space="preserve"> （3）为保证维护质量及问题及时响应，系统维护服务单位需安排不少于5名工程师作为本项目的专项运维人员，24小时远程维护；专项工程师需具备系统运维保障能力（至少两年以上系统维护保障项目实施经验）。</w:t>
            </w:r>
            <w:r>
              <w:br/>
            </w:r>
            <w:r>
              <w:rPr>
                <w:rFonts w:ascii="仿宋_GB2312" w:hAnsi="仿宋_GB2312" w:cs="仿宋_GB2312" w:eastAsia="仿宋_GB2312"/>
                <w:sz w:val="18"/>
              </w:rPr>
              <w:t xml:space="preserve"> （4）所报项目组人员一旦确定，不能擅自更改。提供人员社保证明材料复印件或劳动合同。社保证明材料有效期为近6个月内任意1个月，需加盖供应商公章。</w:t>
            </w:r>
          </w:p>
          <w:p>
            <w:pPr>
              <w:pStyle w:val="null3"/>
            </w:pPr>
            <w:r>
              <w:rPr>
                <w:rFonts w:ascii="仿宋_GB2312" w:hAnsi="仿宋_GB2312" w:cs="仿宋_GB2312" w:eastAsia="仿宋_GB2312"/>
                <w:sz w:val="18"/>
              </w:rPr>
              <w:t>2.分项价格要求：该项目预算为162.00万元，由联网收费系统应用软件维护（预算：110万元）、费率库升级服务（预算：46.00万元）、国密省收费中心系统及CPC卡发行系统软件维护（预算：6.00万元）三部分内容组成。供应商磋商总报价不得超过磋商总预算，单项报价不得超过单项预算，凡报价超过预算的将按未响应采购文件实质性要求处理。</w:t>
            </w:r>
            <w:r>
              <w:br/>
            </w:r>
            <w:r>
              <w:rPr>
                <w:rFonts w:ascii="仿宋_GB2312" w:hAnsi="仿宋_GB2312" w:cs="仿宋_GB2312" w:eastAsia="仿宋_GB2312"/>
                <w:sz w:val="18"/>
              </w:rPr>
              <w:t xml:space="preserve"> 3.网络安全要求：供应商具备健全的网络安全服务体系，具有网络安全隐患排查、完善加固、预警监测、应对攻击等服务能力，配备具有相关技术能力的网络安全专项人员，为本项目提供漏洞检测、策略配置、加固整改、安全监测、应急处置等保障措施，确保系统安全稳定运行。供应商未发生过重大网络安全事件，按照要求签署网络安全责任协议。</w:t>
            </w:r>
            <w:r>
              <w:br/>
            </w:r>
            <w:r>
              <w:rPr>
                <w:rFonts w:ascii="仿宋_GB2312" w:hAnsi="仿宋_GB2312" w:cs="仿宋_GB2312" w:eastAsia="仿宋_GB2312"/>
                <w:sz w:val="18"/>
              </w:rPr>
              <w:t xml:space="preserve"> 4.保密要求：项目实施过程中所收集、产生的所有与本项目相关的文档、资料，包括文字、图片、表格、数字、数据等各种形式所属权均归属省收费中心，服务商必须对获悉的保密信息负有完全和严格的保密义务，服务商及服务人员应按照要求签署保密协议。未经省收费中心事先书面同意，服务商不得传输、复制、转让、泄露信息至非交易所属单位。</w:t>
            </w:r>
          </w:p>
          <w:p>
            <w:pPr>
              <w:pStyle w:val="null3"/>
            </w:pPr>
            <w:r>
              <w:rPr>
                <w:rFonts w:ascii="仿宋_GB2312" w:hAnsi="仿宋_GB2312" w:cs="仿宋_GB2312" w:eastAsia="仿宋_GB2312"/>
                <w:sz w:val="18"/>
              </w:rPr>
              <w:t>5.违约责任</w:t>
            </w:r>
          </w:p>
          <w:p>
            <w:pPr>
              <w:pStyle w:val="null3"/>
            </w:pPr>
            <w:r>
              <w:rPr>
                <w:rFonts w:ascii="仿宋_GB2312" w:hAnsi="仿宋_GB2312" w:cs="仿宋_GB2312" w:eastAsia="仿宋_GB2312"/>
                <w:sz w:val="18"/>
              </w:rPr>
              <w:t>5.1全量用户状态名单下发不及时（硬件设备性能或网络传输性能造成的不及时投标人不承担相应责任，如切换备用链路，设备老旧等），造成运营单位实际产生损失的，每发生一次延时下发，从当期维护服务费中扣除500元。</w:t>
            </w:r>
            <w:r>
              <w:br/>
            </w:r>
            <w:r>
              <w:rPr>
                <w:rFonts w:ascii="仿宋_GB2312" w:hAnsi="仿宋_GB2312" w:cs="仿宋_GB2312" w:eastAsia="仿宋_GB2312"/>
                <w:sz w:val="18"/>
              </w:rPr>
              <w:t xml:space="preserve"> 5.2影响清分结算业务，每延误一天，从当期维护服务费中扣除1000元。</w:t>
            </w:r>
            <w:r>
              <w:br/>
            </w:r>
            <w:r>
              <w:rPr>
                <w:rFonts w:ascii="仿宋_GB2312" w:hAnsi="仿宋_GB2312" w:cs="仿宋_GB2312" w:eastAsia="仿宋_GB2312"/>
                <w:sz w:val="18"/>
              </w:rPr>
              <w:t xml:space="preserve"> 5.3处理系统故障超时的，每次计2000元，从当期维护服务费中扣除。</w:t>
            </w:r>
            <w:r>
              <w:br/>
            </w:r>
            <w:r>
              <w:rPr>
                <w:rFonts w:ascii="仿宋_GB2312" w:hAnsi="仿宋_GB2312" w:cs="仿宋_GB2312" w:eastAsia="仿宋_GB2312"/>
                <w:sz w:val="18"/>
              </w:rPr>
              <w:t xml:space="preserve"> 5.4出现下列情况，每次扣除维护服务费5000元，从当期维护服务费中扣除。</w:t>
            </w:r>
            <w:r>
              <w:br/>
            </w:r>
            <w:r>
              <w:rPr>
                <w:rFonts w:ascii="仿宋_GB2312" w:hAnsi="仿宋_GB2312" w:cs="仿宋_GB2312" w:eastAsia="仿宋_GB2312"/>
                <w:sz w:val="18"/>
              </w:rPr>
              <w:t xml:space="preserve"> （1）数据丢失，由于其他原因（数据库异常，网络异常，硬件设备异常，收费车道产生了不满足给部中心传输要求的数据、收费站交易数据上传延迟等）造成的数据丢失除外；</w:t>
            </w:r>
            <w:r>
              <w:br/>
            </w:r>
            <w:r>
              <w:rPr>
                <w:rFonts w:ascii="仿宋_GB2312" w:hAnsi="仿宋_GB2312" w:cs="仿宋_GB2312" w:eastAsia="仿宋_GB2312"/>
                <w:sz w:val="18"/>
              </w:rPr>
              <w:t xml:space="preserve"> （2）数据逾期，由于其他原因（数据库异常，网络异常，硬件设备异常，收费车道数据质量不合格达不到部中心传输要求、收费站交易数据上传延迟等）造成的数据逾期除外；</w:t>
            </w:r>
            <w:r>
              <w:br/>
            </w:r>
            <w:r>
              <w:rPr>
                <w:rFonts w:ascii="仿宋_GB2312" w:hAnsi="仿宋_GB2312" w:cs="仿宋_GB2312" w:eastAsia="仿宋_GB2312"/>
                <w:sz w:val="18"/>
              </w:rPr>
              <w:t xml:space="preserve"> （3）应用系统出现弱口令，发现1个弱口令；</w:t>
            </w:r>
            <w:r>
              <w:br/>
            </w:r>
            <w:r>
              <w:rPr>
                <w:rFonts w:ascii="仿宋_GB2312" w:hAnsi="仿宋_GB2312" w:cs="仿宋_GB2312" w:eastAsia="仿宋_GB2312"/>
                <w:sz w:val="18"/>
              </w:rPr>
              <w:t xml:space="preserve"> （4）费率编制错误。</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（1）省收费中心联网收费系统应用软件维护、国密省收费中心系统及CPC卡发行系统软件维护：2025年6月17日至2026年6月30日。 （2）费率库升级服务时间：2025年10月1日至2026年9月30日。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陕西省高速公路收费中心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所提供服务应遵循中华人民共和国及地方的有关法律规范，达到采购人使用要求，由采购人组织验收。验收依据：（1）竞争性磋商文件；（2）磋商响应文件；（3）合同文本；（4）国家有关的验收标准及规范。（5）按日维护，并做好维护记录。每月提交应用软件日常巡检记录及维护确认单。（6）季度结束时维护单位应提供本季度日常巡检记录、维护确认单及季度维护报告。（7）最后一个月结束后5个工作日，由维护单位整理合同期内的维护材料后提交申请验收，省收费中心成立验收小组对年度维护情况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合同签订生效并进入服务期，（供应商须提供同等金额的银行保函）</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服务期第二个月，在提交相应维护报告后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服务期第三个月，在提交相应维护报告后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服务期第四个月，在提交相应维护报告后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服务期第五个月，在提交相应维护报告后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服务期第六个月，在提交相应维护报告后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服务期第七个月，在提交相应维护报告后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服务期第八个月，在提交相应维护报告后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服务期第九个月，在提交相应维护报告后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服务期第十个月，在提交相应维护报告后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服务期第十一个月，在提交相应维护报告后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服务期第十二个月，服务期满并验收合格后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w:t>
            </w:r>
          </w:p>
        </w:tc>
        <w:tc>
          <w:tcPr>
            <w:tcW w:type="dxa" w:w="1661"/>
          </w:tcPr>
          <w:p>
            <w:pPr>
              <w:pStyle w:val="null3"/>
            </w:pPr>
            <w:r>
              <w:rPr>
                <w:rFonts w:ascii="仿宋_GB2312" w:hAnsi="仿宋_GB2312" w:cs="仿宋_GB2312" w:eastAsia="仿宋_GB2312"/>
              </w:rPr>
              <w:t>中小企业声明函 残疾人福利性单位声明函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法定代表人证明及授权书</w:t>
            </w:r>
          </w:p>
        </w:tc>
        <w:tc>
          <w:tcPr>
            <w:tcW w:type="dxa" w:w="3322"/>
          </w:tcPr>
          <w:p>
            <w:pPr>
              <w:pStyle w:val="null3"/>
            </w:pPr>
            <w:r>
              <w:rPr>
                <w:rFonts w:ascii="仿宋_GB2312" w:hAnsi="仿宋_GB2312" w:cs="仿宋_GB2312" w:eastAsia="仿宋_GB2312"/>
              </w:rPr>
              <w:t>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2023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tc>
        <w:tc>
          <w:tcPr>
            <w:tcW w:type="dxa" w:w="1661"/>
          </w:tcPr>
          <w:p>
            <w:pPr>
              <w:pStyle w:val="null3"/>
            </w:pPr>
            <w:r>
              <w:rPr>
                <w:rFonts w:ascii="仿宋_GB2312" w:hAnsi="仿宋_GB2312" w:cs="仿宋_GB2312" w:eastAsia="仿宋_GB2312"/>
              </w:rPr>
              <w:t>供应商特定资格证明文件.docx 供应商需要加以说明的其他内容.docx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响应文件封面 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响应文件封面 分项报价表.docx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 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项目重点难点分析、应对措施及相关的合理化建议</w:t>
            </w:r>
          </w:p>
        </w:tc>
        <w:tc>
          <w:tcPr>
            <w:tcW w:type="dxa" w:w="2492"/>
          </w:tcPr>
          <w:p>
            <w:pPr>
              <w:pStyle w:val="null3"/>
            </w:pPr>
            <w:r>
              <w:rPr>
                <w:rFonts w:ascii="仿宋_GB2312" w:hAnsi="仿宋_GB2312" w:cs="仿宋_GB2312" w:eastAsia="仿宋_GB2312"/>
              </w:rPr>
              <w:t>供应商针对本项目重点难点分析、应对措施及相关的合理化建议，给出具体思路和方案： a.内容完整、分析合理、应对措施科学合理，合理化建议针对性强计10分； b.内容较完整、分析较全面、应对措施基本合理、合理化建议针对性一般计7分； c.内容不够完整、分析不够全面、应对措施不够科学合理、合理化建议针对性不强计3分； d.内容简单有缺项，应对措施不合理，可操作性一般、无针对性计1分； e.无此项方案的计0分。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磋商响应方案-项目重点难点分析、应对措施及相关的合理化建议.docx</w:t>
            </w:r>
          </w:p>
          <w:p>
            <w:pPr>
              <w:pStyle w:val="null3"/>
            </w:pPr>
            <w:r>
              <w:rPr>
                <w:rFonts w:ascii="仿宋_GB2312" w:hAnsi="仿宋_GB2312" w:cs="仿宋_GB2312" w:eastAsia="仿宋_GB2312"/>
              </w:rPr>
              <w:t>供应商承诺书.docx</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供应商针对本项目提供运维服务方案，包含但不限于：1.对项目服务需求、背景的理解； 2.识别项目服务内容，针对本项目服务要求提供实施计划； 3.明确管理架构及分工服务体系等： a.服务方案全面、内容细致，需求理解透彻，运维流程合理，贴合本项目实际需求的计15分； b.服务方案较全面、内容较细致，运维流程较合理，较贴合本项目实际需求的计11分； c.服务方案基本全面、内容基本细致，或运维流程基本合理，基本贴合本项目实际需求的计7分； d.服务方案欠全面、内容欠细致，或运维流程欠合理，贴合本项目实际需求不好的计3分。 e.无服务方案的计0分。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磋商响应方案-运维服务方案.docx</w:t>
            </w:r>
          </w:p>
        </w:tc>
      </w:tr>
      <w:tr>
        <w:tc>
          <w:tcPr>
            <w:tcW w:type="dxa" w:w="831"/>
            <w:vMerge/>
          </w:tcPr>
          <w:p/>
        </w:tc>
        <w:tc>
          <w:tcPr>
            <w:tcW w:type="dxa" w:w="1661"/>
          </w:tcPr>
          <w:p>
            <w:pPr>
              <w:pStyle w:val="null3"/>
            </w:pPr>
            <w:r>
              <w:rPr>
                <w:rFonts w:ascii="仿宋_GB2312" w:hAnsi="仿宋_GB2312" w:cs="仿宋_GB2312" w:eastAsia="仿宋_GB2312"/>
              </w:rPr>
              <w:t>质量保障措施及方案</w:t>
            </w:r>
          </w:p>
        </w:tc>
        <w:tc>
          <w:tcPr>
            <w:tcW w:type="dxa" w:w="2492"/>
          </w:tcPr>
          <w:p>
            <w:pPr>
              <w:pStyle w:val="null3"/>
            </w:pPr>
            <w:r>
              <w:rPr>
                <w:rFonts w:ascii="仿宋_GB2312" w:hAnsi="仿宋_GB2312" w:cs="仿宋_GB2312" w:eastAsia="仿宋_GB2312"/>
              </w:rPr>
              <w:t>供应商针对本项目提供质量保障措施及方案：包含但不限于1.项目质量管理制度；2.项目资料、保证服务人员的稳定、保证服务的质量、成果安全性保障措施等。 a.项目质量管理制度详细，项目资料、保证服务人员的稳定、保证服务的质量、成果安全性保障措施可行性高的计10分； b.项目质量管理制度较详细，项目资料、保证服务人员的稳定、保证服务的质量、成果安全性保障措施可行性较高的计7分； c.项目质量管理制度不够详细，项目资料、保证服务人员的稳定、保证服务的质量、成果安全性保障措施可行性一般的计3分； d.项目质量管理制度简略，项目资料、保证服务人员的稳定、保证服务的质量、成果安全性保障措施可行性差的计1分。 e.无措施及方案的计0分。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磋商响应方案-质量保障措施及方案.docx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供应商针对本项目提供应急措施，包含但不限于响应时间、故障处理、电话支持、远程服务、现场服务、应急处置流程、应急解决方案等。 a.措施全面合理，内容详细，措施完善，完全满足或优于采购要求，得10分； b.措施基本完整，针对性不够强，基本满足项目要求得7分； c.措施不够完整，针对性一般，很难满足项目要求得3分。 d.措施简单笼统，针对性不强，不能满足项目要求得1分。 e.无措施及方案的计0分。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磋商响应方案-应急措施.docx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供应商针对本项目提供拟派项目负责人及项目组成人员，须提供人员清单、职责分工、相关证件、社保或劳动合同、项目负责人简历、经验等）： a.人员配备合理、分工明确、专业技术实力强、项目经理经验丰富，人员证明材料充分完整得10分； b.人员配置较合理、分工较明确、实力较强，项目经理经验丰富，人员证明材料较充分得7分； c.人员配置一般合理、分工一般明确、实力一般，项目经理经验不够丰富，人员证明材料较少得7分； d.人员配置不合理、分工不明确，项目经理经验不足，人员证明材料不足得3分； e.无人员配置，无搭配，只有概述，缺少具体人员信息及证明材料得1分。 注：须提供证书复印件加盖公章及证书人员所在供应商单位缴纳的社保证明或劳动合同。否则不计分。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磋商响应方案-项目团队.docx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供应商提供针对本项目采购内容及要求提供具体的保密方案，包括但不限于保密管理制度、对数据和信息安全保密等。 a.方案完善、合理、科学有效，能保证项目顺利实施计5分； b.方案不够完善，合理性一般，很难保证项目顺利实施计3分。 c.方案简单笼统，无合理性，无针对性，不能保证项目顺利实施计1分； d.无保密方案的计0分。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磋商响应方案-保密方案.docx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供应商提供针对本项目提供具体的服务承诺，包括但不限于服务质量承诺、保密承诺、应急响应承诺、服务时间、人员配备情况、网络安全、数据安全保障等。 a.服务承诺完整、合理，切实针对本项目实际情况计5分； b.服务承诺不够详细、合理，可行但并不具备借鉴意义计3分。 c.服务承诺简单笼统、有明显漏洞计1分； d.无服务承诺的计0分。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磋商响应方案-服务承诺.docx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供应商针对本项目提供售后服务方案，包括但不限于服务团队、响应时间、响应程度、解决问题能力、紧急故障处理预案及措施等。 a.服务方案详细完整，针对性强，应急保障措施科学合理，能满足项目实施要求计5分； b.服务方案不够完整，针对性不够强，应急保障措施不够科学合理，基本满足项目实施要求计3分。 c.服务方案不完整，针对性不强，应急保障措施简单笼统，不能满足项目实施要求计1分。 d.无售后服务的计0分。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磋商响应方案-售后服务.docx</w:t>
            </w:r>
          </w:p>
        </w:tc>
      </w:tr>
      <w:tr>
        <w:tc>
          <w:tcPr>
            <w:tcW w:type="dxa" w:w="831"/>
            <w:vMerge/>
          </w:tcPr>
          <w:p/>
        </w:tc>
        <w:tc>
          <w:tcPr>
            <w:tcW w:type="dxa" w:w="1661"/>
          </w:tcPr>
          <w:p>
            <w:pPr>
              <w:pStyle w:val="null3"/>
            </w:pPr>
            <w:r>
              <w:rPr>
                <w:rFonts w:ascii="仿宋_GB2312" w:hAnsi="仿宋_GB2312" w:cs="仿宋_GB2312" w:eastAsia="仿宋_GB2312"/>
              </w:rPr>
              <w:t>企业资质</w:t>
            </w:r>
          </w:p>
        </w:tc>
        <w:tc>
          <w:tcPr>
            <w:tcW w:type="dxa" w:w="2492"/>
          </w:tcPr>
          <w:p>
            <w:pPr>
              <w:pStyle w:val="null3"/>
            </w:pPr>
            <w:r>
              <w:rPr>
                <w:rFonts w:ascii="仿宋_GB2312" w:hAnsi="仿宋_GB2312" w:cs="仿宋_GB2312" w:eastAsia="仿宋_GB2312"/>
              </w:rPr>
              <w:t>供应商须具有以下资质： 1.具备《ISO20000信息技术服务管理体系证书》，得1分； 2.具备《ISO27001信息安全管理体系证书》，得2分 ； 3.具备ITSS信息技术服务运行维护标准符合性证书，得2分；以上提供证书复印件，并加盖公章。否则不计分。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磋商响应方案-企业资质.docx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2月1日至今不少于三个类似项目业绩证明，（不满足得0分，满足得2分）此外每增加1个有效业绩证明得1分，满分5分，不提供不得分。（业绩时间以合同签订时间为准，并提供合同扫描件。提供加盖公章的合同复印件。复印件能清晰的表明合同双方名称、项目内容和签署日期。）</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采用低价优先法计算，即满足磋商文件要求且最终磋商价格最低的磋商报价为评标基准价，其价格分为满分。 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详见附件：供应商身份证明.docx</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详见附件：磋商响应方案-项目重点难点分析、应对措施及相关的合理化建议.docx</w:t>
      </w:r>
    </w:p>
    <w:p>
      <w:pPr>
        <w:pStyle w:val="null3"/>
        <w:ind w:firstLine="960"/>
      </w:pPr>
      <w:r>
        <w:rPr>
          <w:rFonts w:ascii="仿宋_GB2312" w:hAnsi="仿宋_GB2312" w:cs="仿宋_GB2312" w:eastAsia="仿宋_GB2312"/>
        </w:rPr>
        <w:t>详见附件：磋商响应方案-运维服务方案.docx</w:t>
      </w:r>
    </w:p>
    <w:p>
      <w:pPr>
        <w:pStyle w:val="null3"/>
        <w:ind w:firstLine="960"/>
      </w:pPr>
      <w:r>
        <w:rPr>
          <w:rFonts w:ascii="仿宋_GB2312" w:hAnsi="仿宋_GB2312" w:cs="仿宋_GB2312" w:eastAsia="仿宋_GB2312"/>
        </w:rPr>
        <w:t>详见附件：磋商响应方案-质量保障措施及方案.docx</w:t>
      </w:r>
    </w:p>
    <w:p>
      <w:pPr>
        <w:pStyle w:val="null3"/>
        <w:ind w:firstLine="960"/>
      </w:pPr>
      <w:r>
        <w:rPr>
          <w:rFonts w:ascii="仿宋_GB2312" w:hAnsi="仿宋_GB2312" w:cs="仿宋_GB2312" w:eastAsia="仿宋_GB2312"/>
        </w:rPr>
        <w:t>详见附件：磋商响应方案-应急措施.docx</w:t>
      </w:r>
    </w:p>
    <w:p>
      <w:pPr>
        <w:pStyle w:val="null3"/>
        <w:ind w:firstLine="960"/>
      </w:pPr>
      <w:r>
        <w:rPr>
          <w:rFonts w:ascii="仿宋_GB2312" w:hAnsi="仿宋_GB2312" w:cs="仿宋_GB2312" w:eastAsia="仿宋_GB2312"/>
        </w:rPr>
        <w:t>详见附件：磋商响应方案-项目团队.docx</w:t>
      </w:r>
    </w:p>
    <w:p>
      <w:pPr>
        <w:pStyle w:val="null3"/>
        <w:ind w:firstLine="960"/>
      </w:pPr>
      <w:r>
        <w:rPr>
          <w:rFonts w:ascii="仿宋_GB2312" w:hAnsi="仿宋_GB2312" w:cs="仿宋_GB2312" w:eastAsia="仿宋_GB2312"/>
        </w:rPr>
        <w:t>详见附件：磋商响应方案-保密方案.docx</w:t>
      </w:r>
    </w:p>
    <w:p>
      <w:pPr>
        <w:pStyle w:val="null3"/>
        <w:ind w:firstLine="960"/>
      </w:pPr>
      <w:r>
        <w:rPr>
          <w:rFonts w:ascii="仿宋_GB2312" w:hAnsi="仿宋_GB2312" w:cs="仿宋_GB2312" w:eastAsia="仿宋_GB2312"/>
        </w:rPr>
        <w:t>详见附件：磋商响应方案-服务承诺.docx</w:t>
      </w:r>
    </w:p>
    <w:p>
      <w:pPr>
        <w:pStyle w:val="null3"/>
        <w:ind w:firstLine="960"/>
      </w:pPr>
      <w:r>
        <w:rPr>
          <w:rFonts w:ascii="仿宋_GB2312" w:hAnsi="仿宋_GB2312" w:cs="仿宋_GB2312" w:eastAsia="仿宋_GB2312"/>
        </w:rPr>
        <w:t>详见附件：磋商响应方案-售后服务.docx</w:t>
      </w:r>
    </w:p>
    <w:p>
      <w:pPr>
        <w:pStyle w:val="null3"/>
        <w:ind w:firstLine="960"/>
      </w:pPr>
      <w:r>
        <w:rPr>
          <w:rFonts w:ascii="仿宋_GB2312" w:hAnsi="仿宋_GB2312" w:cs="仿宋_GB2312" w:eastAsia="仿宋_GB2312"/>
        </w:rPr>
        <w:t>详见附件：磋商响应方案-企业资质.docx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详见附件：供应商需要加以说明的其他内容.docx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