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0EC47">
      <w:pPr>
        <w:pStyle w:val="5"/>
        <w:jc w:val="center"/>
        <w:outlineLvl w:val="1"/>
      </w:pPr>
      <w:bookmarkStart w:id="0" w:name="_GoBack"/>
      <w:bookmarkEnd w:id="0"/>
      <w:r>
        <w:rPr>
          <w:rFonts w:ascii="仿宋_GB2312" w:hAnsi="仿宋_GB2312" w:eastAsia="仿宋_GB2312" w:cs="仿宋_GB2312"/>
          <w:b/>
          <w:sz w:val="36"/>
        </w:rPr>
        <w:t xml:space="preserve"> 拟签订采购合同文本</w:t>
      </w:r>
    </w:p>
    <w:p w14:paraId="54308EDA">
      <w:pPr>
        <w:spacing w:line="520" w:lineRule="exact"/>
        <w:ind w:firstLine="420" w:firstLineChars="200"/>
        <w:rPr>
          <w:rFonts w:hint="eastAsia" w:ascii="宋体" w:hAnsi="宋体"/>
          <w:sz w:val="28"/>
          <w:szCs w:val="28"/>
        </w:rPr>
      </w:pPr>
      <w:r>
        <w:rPr>
          <w:rFonts w:ascii="仿宋_GB2312" w:hAnsi="仿宋_GB2312" w:eastAsia="仿宋_GB2312" w:cs="仿宋_GB2312"/>
        </w:rPr>
        <w:t xml:space="preserve"> </w:t>
      </w:r>
      <w:r>
        <w:rPr>
          <w:rFonts w:ascii="仿宋_GB2312" w:hAnsi="仿宋_GB2312" w:eastAsia="仿宋_GB2312" w:cs="仿宋_GB2312"/>
        </w:rPr>
        <w:br w:type="textWrapping"/>
      </w:r>
      <w:r>
        <w:rPr>
          <w:rFonts w:hint="eastAsia" w:ascii="宋体" w:hAnsi="宋体"/>
          <w:b/>
          <w:sz w:val="24"/>
          <w:szCs w:val="24"/>
          <w:lang w:val="zh-CN"/>
        </w:rPr>
        <w:t>（此合同主要条款，除商务条款外，其余部分只作为参考，最终合同</w:t>
      </w:r>
      <w:r>
        <w:rPr>
          <w:rFonts w:hint="eastAsia" w:ascii="宋体" w:hAnsi="宋体"/>
          <w:b/>
          <w:sz w:val="24"/>
          <w:szCs w:val="24"/>
        </w:rPr>
        <w:t>以</w:t>
      </w:r>
      <w:r>
        <w:rPr>
          <w:rFonts w:hint="eastAsia" w:ascii="宋体" w:hAnsi="宋体"/>
          <w:b/>
          <w:sz w:val="24"/>
          <w:szCs w:val="24"/>
          <w:lang w:val="zh-CN"/>
        </w:rPr>
        <w:t>采购人给出的合同定稿为准。）</w:t>
      </w:r>
    </w:p>
    <w:p w14:paraId="4A6FA1E1">
      <w:pPr>
        <w:rPr>
          <w:rFonts w:hint="eastAsia" w:ascii="宋体" w:hAnsi="宋体" w:cs="宋体"/>
          <w:sz w:val="28"/>
          <w:szCs w:val="28"/>
        </w:rPr>
      </w:pPr>
    </w:p>
    <w:p w14:paraId="2DF754F8">
      <w:pPr>
        <w:jc w:val="center"/>
        <w:rPr>
          <w:rFonts w:hint="eastAsia" w:ascii="宋体" w:hAnsi="宋体" w:cs="宋体"/>
          <w:sz w:val="28"/>
          <w:szCs w:val="28"/>
        </w:rPr>
      </w:pPr>
    </w:p>
    <w:p w14:paraId="03CCF2EB">
      <w:pPr>
        <w:jc w:val="center"/>
        <w:rPr>
          <w:rFonts w:hint="eastAsia" w:ascii="宋体" w:hAnsi="宋体" w:cs="宋体"/>
          <w:b/>
          <w:sz w:val="36"/>
          <w:szCs w:val="36"/>
        </w:rPr>
      </w:pPr>
    </w:p>
    <w:p w14:paraId="4CBB019C">
      <w:pPr>
        <w:jc w:val="center"/>
        <w:rPr>
          <w:rFonts w:hint="eastAsia" w:ascii="宋体" w:hAnsi="宋体" w:cs="宋体"/>
          <w:b/>
          <w:sz w:val="48"/>
          <w:szCs w:val="48"/>
          <w:u w:val="single"/>
        </w:rPr>
      </w:pPr>
      <w:r>
        <w:rPr>
          <w:rFonts w:hint="eastAsia" w:ascii="宋体" w:hAnsi="宋体" w:cs="宋体"/>
          <w:b/>
          <w:sz w:val="48"/>
          <w:szCs w:val="48"/>
          <w:u w:val="single"/>
          <w:lang w:val="en-US" w:eastAsia="zh-CN"/>
        </w:rPr>
        <w:t>陕西省中医</w:t>
      </w:r>
      <w:r>
        <w:rPr>
          <w:rFonts w:hint="eastAsia" w:ascii="宋体" w:hAnsi="宋体" w:cs="宋体"/>
          <w:b/>
          <w:sz w:val="48"/>
          <w:szCs w:val="48"/>
          <w:u w:val="single"/>
        </w:rPr>
        <w:t>医院</w:t>
      </w:r>
      <w:r>
        <w:rPr>
          <w:rFonts w:hint="eastAsia" w:ascii="宋体" w:hAnsi="宋体" w:cs="宋体"/>
          <w:b/>
          <w:sz w:val="48"/>
          <w:szCs w:val="48"/>
          <w:u w:val="single"/>
          <w:lang w:val="en-US" w:eastAsia="zh-CN"/>
        </w:rPr>
        <w:t xml:space="preserve">       （</w:t>
      </w:r>
      <w:r>
        <w:rPr>
          <w:rFonts w:hint="eastAsia" w:ascii="宋体" w:hAnsi="宋体" w:cs="宋体"/>
          <w:b/>
          <w:sz w:val="48"/>
          <w:szCs w:val="48"/>
          <w:u w:val="single"/>
        </w:rPr>
        <w:t>项目名称</w:t>
      </w:r>
      <w:r>
        <w:rPr>
          <w:rFonts w:hint="eastAsia" w:ascii="宋体" w:hAnsi="宋体" w:cs="宋体"/>
          <w:b/>
          <w:sz w:val="48"/>
          <w:szCs w:val="48"/>
          <w:u w:val="single"/>
          <w:lang w:val="en-US" w:eastAsia="zh-CN"/>
        </w:rPr>
        <w:t>）</w:t>
      </w:r>
    </w:p>
    <w:p w14:paraId="362E466E">
      <w:pPr>
        <w:jc w:val="center"/>
        <w:rPr>
          <w:rFonts w:hint="eastAsia" w:ascii="宋体" w:hAnsi="宋体" w:cs="宋体"/>
          <w:b/>
          <w:sz w:val="48"/>
          <w:szCs w:val="48"/>
        </w:rPr>
      </w:pPr>
      <w:r>
        <w:rPr>
          <w:rFonts w:hint="eastAsia" w:ascii="宋体" w:hAnsi="宋体" w:cs="宋体"/>
          <w:b/>
          <w:sz w:val="48"/>
          <w:szCs w:val="48"/>
        </w:rPr>
        <w:t>采购合同</w:t>
      </w:r>
    </w:p>
    <w:p w14:paraId="12F01681">
      <w:pPr>
        <w:jc w:val="center"/>
        <w:rPr>
          <w:rFonts w:hint="eastAsia" w:ascii="宋体" w:hAnsi="宋体" w:cs="宋体"/>
          <w:sz w:val="28"/>
          <w:szCs w:val="28"/>
        </w:rPr>
      </w:pPr>
    </w:p>
    <w:p w14:paraId="42F7DEA0">
      <w:pPr>
        <w:pStyle w:val="2"/>
        <w:rPr>
          <w:rFonts w:hint="eastAsia" w:ascii="宋体" w:hAnsi="宋体" w:cs="宋体"/>
          <w:szCs w:val="28"/>
        </w:rPr>
      </w:pPr>
    </w:p>
    <w:p w14:paraId="04FD84C4">
      <w:pPr>
        <w:rPr>
          <w:rFonts w:hint="eastAsia" w:ascii="宋体" w:hAnsi="宋体" w:cs="宋体"/>
          <w:sz w:val="28"/>
          <w:szCs w:val="28"/>
        </w:rPr>
      </w:pPr>
    </w:p>
    <w:p w14:paraId="6F1B5EB4">
      <w:pPr>
        <w:pStyle w:val="2"/>
        <w:rPr>
          <w:rFonts w:hint="eastAsia" w:ascii="宋体" w:hAnsi="宋体" w:cs="宋体"/>
          <w:szCs w:val="28"/>
        </w:rPr>
      </w:pPr>
    </w:p>
    <w:p w14:paraId="371FD5EB">
      <w:pPr>
        <w:rPr>
          <w:rFonts w:hint="eastAsia" w:ascii="宋体" w:hAnsi="宋体" w:cs="宋体"/>
          <w:sz w:val="28"/>
          <w:szCs w:val="28"/>
        </w:rPr>
      </w:pPr>
    </w:p>
    <w:p w14:paraId="75C6ABF5">
      <w:pPr>
        <w:pStyle w:val="2"/>
        <w:rPr>
          <w:rFonts w:hint="eastAsia" w:ascii="宋体" w:hAnsi="宋体" w:cs="宋体"/>
          <w:szCs w:val="28"/>
        </w:rPr>
      </w:pPr>
    </w:p>
    <w:p w14:paraId="516AD406">
      <w:pPr>
        <w:rPr>
          <w:rFonts w:hint="eastAsia" w:ascii="宋体" w:hAnsi="宋体" w:cs="宋体"/>
          <w:sz w:val="28"/>
          <w:szCs w:val="28"/>
        </w:rPr>
      </w:pPr>
    </w:p>
    <w:p w14:paraId="0A86F78F">
      <w:pPr>
        <w:pStyle w:val="2"/>
        <w:rPr>
          <w:rFonts w:hint="eastAsia"/>
        </w:rPr>
      </w:pPr>
    </w:p>
    <w:p w14:paraId="1318E77E">
      <w:pPr>
        <w:rPr>
          <w:rFonts w:hint="eastAsia"/>
        </w:rPr>
      </w:pPr>
    </w:p>
    <w:p w14:paraId="6AAB43BA">
      <w:pPr>
        <w:pStyle w:val="2"/>
        <w:rPr>
          <w:rFonts w:hint="eastAsia"/>
        </w:rPr>
      </w:pPr>
    </w:p>
    <w:p w14:paraId="74278482">
      <w:pPr>
        <w:rPr>
          <w:rFonts w:hint="eastAsia"/>
        </w:rPr>
      </w:pPr>
    </w:p>
    <w:p w14:paraId="1AF93294">
      <w:pPr>
        <w:pStyle w:val="2"/>
        <w:rPr>
          <w:rFonts w:hint="eastAsia"/>
        </w:rPr>
      </w:pPr>
    </w:p>
    <w:p w14:paraId="30500E9E">
      <w:pPr>
        <w:jc w:val="center"/>
        <w:rPr>
          <w:rFonts w:hint="eastAsia" w:ascii="宋体" w:hAnsi="宋体" w:cs="宋体"/>
          <w:sz w:val="28"/>
          <w:szCs w:val="28"/>
        </w:rPr>
      </w:pPr>
    </w:p>
    <w:p w14:paraId="4B81CC18">
      <w:pPr>
        <w:jc w:val="center"/>
        <w:rPr>
          <w:rFonts w:hint="eastAsia" w:ascii="宋体" w:hAnsi="宋体" w:cs="宋体"/>
          <w:sz w:val="28"/>
          <w:szCs w:val="28"/>
        </w:rPr>
      </w:pPr>
    </w:p>
    <w:p w14:paraId="322C07C5">
      <w:pPr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甲  方：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陕西省中医</w:t>
      </w:r>
      <w:r>
        <w:rPr>
          <w:rFonts w:hint="eastAsia" w:ascii="宋体" w:hAnsi="宋体" w:cs="宋体"/>
          <w:sz w:val="28"/>
          <w:szCs w:val="28"/>
        </w:rPr>
        <w:t>医院</w:t>
      </w:r>
    </w:p>
    <w:p w14:paraId="567BF4CE">
      <w:pPr>
        <w:ind w:firstLine="2520" w:firstLineChars="900"/>
        <w:jc w:val="both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乙  方：</w:t>
      </w:r>
    </w:p>
    <w:p w14:paraId="6AA7786E"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</w:t>
      </w:r>
    </w:p>
    <w:p w14:paraId="2BEE1743">
      <w:pPr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  <w:u w:val="single"/>
        </w:rPr>
        <w:t>项目名称</w:t>
      </w:r>
      <w:r>
        <w:rPr>
          <w:rFonts w:hint="eastAsia" w:ascii="宋体" w:hAnsi="宋体" w:cs="宋体"/>
          <w:b/>
          <w:sz w:val="36"/>
          <w:szCs w:val="36"/>
        </w:rPr>
        <w:t>采购合同</w:t>
      </w:r>
    </w:p>
    <w:p w14:paraId="7C5D651F">
      <w:pPr>
        <w:jc w:val="center"/>
        <w:rPr>
          <w:rFonts w:hint="eastAsia" w:ascii="宋体" w:hAnsi="宋体" w:cs="宋体"/>
          <w:bCs/>
          <w:sz w:val="44"/>
          <w:szCs w:val="44"/>
        </w:rPr>
      </w:pPr>
    </w:p>
    <w:p w14:paraId="5835CEF8">
      <w:pPr>
        <w:spacing w:line="360" w:lineRule="auto"/>
        <w:ind w:firstLine="482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b/>
          <w:color w:val="FF0000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>陕西省中医医院</w:t>
      </w:r>
      <w:r>
        <w:rPr>
          <w:rFonts w:hint="eastAsia" w:ascii="宋体" w:hAnsi="宋体"/>
          <w:sz w:val="24"/>
          <w:lang w:eastAsia="zh-CN"/>
        </w:rPr>
        <w:t>（以下简称甲方）</w:t>
      </w:r>
      <w:r>
        <w:rPr>
          <w:rFonts w:hint="eastAsia" w:ascii="宋体" w:hAnsi="宋体"/>
          <w:sz w:val="24"/>
          <w:lang w:val="en-US" w:eastAsia="zh-CN"/>
        </w:rPr>
        <w:t>的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u w:val="single"/>
          <w:lang w:eastAsia="zh-CN"/>
        </w:rPr>
        <w:t>GE64排CT机整机维保采购项目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>，通过政府采购招投标流程</w:t>
      </w:r>
      <w:r>
        <w:rPr>
          <w:rFonts w:hint="eastAsia" w:ascii="宋体" w:hAnsi="宋体"/>
          <w:sz w:val="24"/>
          <w:lang w:eastAsia="zh-CN"/>
        </w:rPr>
        <w:t>，选定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sz w:val="24"/>
          <w:lang w:eastAsia="zh-CN"/>
        </w:rPr>
        <w:t xml:space="preserve"> (以下简称乙方）为该项目成交供应商。依据《中华人民共和国民法典》和《中华人民共和国政府采购法》</w:t>
      </w:r>
      <w:r>
        <w:rPr>
          <w:rFonts w:hint="eastAsia" w:ascii="宋体" w:hAnsi="宋体"/>
          <w:sz w:val="24"/>
          <w:lang w:val="en-US" w:eastAsia="zh-CN"/>
        </w:rPr>
        <w:t>及实施条例等相关法规和规章</w:t>
      </w:r>
      <w:r>
        <w:rPr>
          <w:rFonts w:hint="eastAsia" w:ascii="宋体" w:hAnsi="宋体"/>
          <w:sz w:val="24"/>
          <w:lang w:eastAsia="zh-CN"/>
        </w:rPr>
        <w:t>，经甲、乙双方共同协商，按下述条款和条件签署本合同。</w:t>
      </w:r>
    </w:p>
    <w:p w14:paraId="43A096C1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一、合同内容</w:t>
      </w:r>
    </w:p>
    <w:p w14:paraId="070A91BA">
      <w:pPr>
        <w:spacing w:line="360" w:lineRule="auto"/>
        <w:ind w:firstLine="480" w:firstLineChars="20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GE64排CT机整机维保采购项目</w:t>
      </w:r>
    </w:p>
    <w:p w14:paraId="4E1DEFEC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二、合同价格</w:t>
      </w:r>
    </w:p>
    <w:p w14:paraId="125EA01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80" w:firstLineChars="200"/>
        <w:textAlignment w:val="baseline"/>
        <w:rPr>
          <w:rFonts w:hint="default" w:ascii="宋体" w:hAnsi="宋体"/>
          <w:sz w:val="24"/>
          <w:u w:val="none"/>
          <w:lang w:val="en-US" w:eastAsia="zh-CN"/>
        </w:rPr>
      </w:pPr>
      <w:r>
        <w:rPr>
          <w:rFonts w:hint="eastAsia" w:ascii="宋体" w:hAnsi="宋体"/>
          <w:sz w:val="24"/>
          <w:lang w:eastAsia="zh-CN"/>
        </w:rPr>
        <w:t>合同总价：</w:t>
      </w:r>
      <w:r>
        <w:rPr>
          <w:rFonts w:hint="eastAsia" w:ascii="宋体" w:hAnsi="宋体"/>
          <w:sz w:val="24"/>
          <w:u w:val="single"/>
          <w:lang w:eastAsia="zh-CN"/>
        </w:rPr>
        <w:t xml:space="preserve">人民币       元整（¥         元） </w:t>
      </w:r>
      <w:r>
        <w:rPr>
          <w:rFonts w:hint="eastAsia" w:ascii="宋体" w:hAnsi="宋体"/>
          <w:sz w:val="24"/>
          <w:u w:val="none"/>
          <w:lang w:eastAsia="zh-CN"/>
        </w:rPr>
        <w:t>，</w:t>
      </w:r>
      <w:r>
        <w:rPr>
          <w:rFonts w:hint="eastAsia" w:ascii="宋体" w:hAnsi="宋体"/>
          <w:sz w:val="24"/>
          <w:u w:val="none"/>
          <w:lang w:val="en-US" w:eastAsia="zh-CN"/>
        </w:rPr>
        <w:t>折算至每年度合同金额为</w:t>
      </w:r>
      <w:r>
        <w:rPr>
          <w:rFonts w:hint="eastAsia" w:ascii="宋体" w:hAnsi="宋体"/>
          <w:sz w:val="24"/>
          <w:u w:val="single"/>
          <w:lang w:eastAsia="zh-CN"/>
        </w:rPr>
        <w:t xml:space="preserve">人民币       元整（¥         元） </w:t>
      </w:r>
      <w:r>
        <w:rPr>
          <w:rFonts w:hint="eastAsia" w:ascii="宋体" w:hAnsi="宋体"/>
          <w:sz w:val="24"/>
          <w:u w:val="none"/>
          <w:lang w:eastAsia="zh-CN"/>
        </w:rPr>
        <w:t>。</w:t>
      </w:r>
    </w:p>
    <w:p w14:paraId="272AB469">
      <w:pPr>
        <w:spacing w:line="360" w:lineRule="auto"/>
        <w:ind w:left="420" w:left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说明：合同总价一次包死，不受市场价格变化的影响，并作为结算的唯一依据。</w:t>
      </w:r>
    </w:p>
    <w:p w14:paraId="1F798A6D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三、合同款项支付</w:t>
      </w:r>
    </w:p>
    <w:p w14:paraId="7738C62F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eastAsia="zh-CN"/>
        </w:rPr>
        <w:t>1、结算单位：采购人结算，在付款前，必须开具全额发票给采购人。</w:t>
      </w:r>
    </w:p>
    <w:p w14:paraId="48862C42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eastAsia="zh-CN"/>
        </w:rPr>
        <w:t>2、付款方式：①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每年度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合同签订后，达到付款条件起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30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日内，支付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年度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合同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金额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的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50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%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；</w:t>
      </w:r>
      <w:r>
        <w:rPr>
          <w:rFonts w:hint="eastAsia" w:ascii="宋体" w:hAnsi="宋体"/>
          <w:color w:val="1D41D5"/>
          <w:sz w:val="24"/>
          <w:highlight w:val="none"/>
          <w:lang w:eastAsia="zh-CN"/>
        </w:rPr>
        <w:t>②每年度服务期满6个月，达到付款条件起30日内，支付年度合同金额的50%。</w:t>
      </w:r>
    </w:p>
    <w:p w14:paraId="0B4316B4">
      <w:pPr>
        <w:spacing w:line="360" w:lineRule="auto"/>
        <w:rPr>
          <w:rFonts w:hint="eastAsia" w:ascii="宋体" w:hAnsi="宋体"/>
          <w:b/>
          <w:sz w:val="24"/>
          <w:highlight w:val="none"/>
          <w:lang w:eastAsia="zh-CN"/>
        </w:rPr>
      </w:pPr>
      <w:r>
        <w:rPr>
          <w:rFonts w:hint="eastAsia" w:ascii="宋体" w:hAnsi="宋体"/>
          <w:b/>
          <w:sz w:val="24"/>
          <w:highlight w:val="none"/>
          <w:lang w:eastAsia="zh-CN"/>
        </w:rPr>
        <w:t>四、交付条件</w:t>
      </w:r>
    </w:p>
    <w:p w14:paraId="779A7B6F">
      <w:pPr>
        <w:spacing w:line="360" w:lineRule="auto"/>
        <w:ind w:firstLine="480" w:firstLineChars="200"/>
        <w:rPr>
          <w:rFonts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eastAsia="zh-CN"/>
        </w:rPr>
        <w:t>（一）项目实施地点：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陕西省中医医院</w:t>
      </w:r>
      <w:r>
        <w:rPr>
          <w:rFonts w:hint="eastAsia" w:ascii="宋体" w:hAnsi="宋体" w:eastAsia="宋体" w:cs="宋体"/>
          <w:sz w:val="24"/>
          <w:szCs w:val="24"/>
        </w:rPr>
        <w:t>指定地点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3F82B1E9">
      <w:pPr>
        <w:spacing w:line="360" w:lineRule="auto"/>
        <w:ind w:firstLine="480" w:firstLineChars="200"/>
        <w:rPr>
          <w:rFonts w:ascii="宋体" w:hAnsi="宋体"/>
          <w:sz w:val="24"/>
          <w:highlight w:val="none"/>
          <w:lang w:eastAsia="zh-CN"/>
        </w:rPr>
      </w:pPr>
      <w:r>
        <w:rPr>
          <w:rFonts w:hint="eastAsia" w:ascii="宋体" w:hAnsi="宋体"/>
          <w:sz w:val="24"/>
          <w:highlight w:val="none"/>
          <w:lang w:eastAsia="zh-CN"/>
        </w:rPr>
        <w:t>（二）</w:t>
      </w:r>
      <w:r>
        <w:rPr>
          <w:rFonts w:hint="eastAsia" w:asciiTheme="minorEastAsia" w:hAnsiTheme="minorEastAsia" w:eastAsiaTheme="minorEastAsia"/>
          <w:sz w:val="24"/>
          <w:highlight w:val="none"/>
          <w:lang w:eastAsia="zh-CN"/>
        </w:rPr>
        <w:t>服务期限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3年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,每年考核，考核合格后续签下年度合同。</w:t>
      </w:r>
    </w:p>
    <w:p w14:paraId="26EA4693">
      <w:pPr>
        <w:spacing w:line="360" w:lineRule="auto"/>
        <w:rPr>
          <w:rFonts w:hint="eastAsia"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五、质量保证</w:t>
      </w:r>
    </w:p>
    <w:p w14:paraId="7B1B75DD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（一）乙方提供给甲方的服务必须是设计科学、技术成熟的。</w:t>
      </w:r>
    </w:p>
    <w:p w14:paraId="1A09A974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（二）设计技术专利、外形专利、应用软件专利等均应符合我国有关法律及行业标准，凡因以上问题与第三方发生的任何纠纷均与甲方无关。</w:t>
      </w:r>
    </w:p>
    <w:p w14:paraId="21A1AEB9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（三）安全可靠。在正常使用下不应对操作者造成任何人身伤害，如因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质量或标示不明确而对操作者造成损失的，甲方将保留依法索赔的权利。</w:t>
      </w:r>
    </w:p>
    <w:p w14:paraId="19837EBA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（四）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服务内容</w:t>
      </w:r>
      <w:r>
        <w:rPr>
          <w:rFonts w:hint="eastAsia" w:ascii="宋体" w:hAnsi="宋体"/>
          <w:sz w:val="24"/>
          <w:lang w:eastAsia="zh-CN"/>
        </w:rPr>
        <w:t>必须与其标示的技术指标项符合，甲方有权在有效服务期内依据技术指标对该产品进行技术验收，其主要的技术参数达不到标准时，甲方有权依据有关法律索赔。</w:t>
      </w:r>
    </w:p>
    <w:p w14:paraId="3ADAF3AB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七、技术规格及标准。（详见附件2）</w:t>
      </w:r>
    </w:p>
    <w:p w14:paraId="6CF28630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八、技术服务</w:t>
      </w:r>
    </w:p>
    <w:p w14:paraId="4ADAA880">
      <w:pPr>
        <w:spacing w:line="360" w:lineRule="auto"/>
        <w:ind w:firstLine="482" w:firstLineChars="200"/>
        <w:rPr>
          <w:rFonts w:ascii="宋体" w:hAnsi="宋体"/>
          <w:b/>
          <w:color w:val="auto"/>
          <w:sz w:val="24"/>
          <w:lang w:eastAsia="zh-CN"/>
        </w:rPr>
      </w:pPr>
      <w:r>
        <w:rPr>
          <w:rFonts w:hint="eastAsia" w:ascii="宋体" w:hAnsi="宋体"/>
          <w:b/>
          <w:color w:val="auto"/>
          <w:sz w:val="24"/>
          <w:lang w:eastAsia="zh-CN"/>
        </w:rPr>
        <w:t>（一）技术资料：</w:t>
      </w:r>
    </w:p>
    <w:p w14:paraId="63A1F0A8">
      <w:pPr>
        <w:spacing w:line="360" w:lineRule="auto"/>
        <w:ind w:firstLine="600" w:firstLineChars="250"/>
        <w:rPr>
          <w:rFonts w:ascii="宋体" w:hAnsi="宋体"/>
          <w:color w:val="auto"/>
          <w:sz w:val="24"/>
          <w:lang w:eastAsia="zh-CN"/>
        </w:rPr>
      </w:pPr>
      <w:r>
        <w:rPr>
          <w:rFonts w:ascii="宋体" w:hAnsi="宋体"/>
          <w:color w:val="auto"/>
          <w:sz w:val="24"/>
          <w:lang w:eastAsia="zh-CN"/>
        </w:rPr>
        <w:t>****</w:t>
      </w:r>
    </w:p>
    <w:p w14:paraId="0319DE10">
      <w:pPr>
        <w:spacing w:line="360" w:lineRule="auto"/>
        <w:ind w:firstLine="482" w:firstLineChars="200"/>
        <w:rPr>
          <w:rFonts w:ascii="宋体" w:hAnsi="宋体"/>
          <w:color w:val="auto"/>
          <w:sz w:val="24"/>
          <w:lang w:eastAsia="zh-CN"/>
        </w:rPr>
      </w:pPr>
      <w:r>
        <w:rPr>
          <w:rFonts w:hint="eastAsia" w:ascii="宋体" w:hAnsi="宋体"/>
          <w:b/>
          <w:color w:val="auto"/>
          <w:sz w:val="24"/>
          <w:lang w:eastAsia="zh-CN"/>
        </w:rPr>
        <w:t>（二）人员培训：</w:t>
      </w:r>
      <w:r>
        <w:rPr>
          <w:rFonts w:hint="eastAsia" w:ascii="宋体" w:hAnsi="宋体"/>
          <w:color w:val="auto"/>
          <w:sz w:val="24"/>
          <w:lang w:eastAsia="zh-CN"/>
        </w:rPr>
        <w:t>免费为使用单位培训操作人员至能达到操作要求。</w:t>
      </w:r>
    </w:p>
    <w:p w14:paraId="17A85007">
      <w:pPr>
        <w:spacing w:line="360" w:lineRule="auto"/>
        <w:ind w:firstLine="482" w:firstLineChars="200"/>
        <w:rPr>
          <w:rFonts w:ascii="宋体" w:hAnsi="宋体"/>
          <w:b/>
          <w:color w:val="auto"/>
          <w:sz w:val="24"/>
          <w:lang w:eastAsia="zh-CN"/>
        </w:rPr>
      </w:pPr>
      <w:r>
        <w:rPr>
          <w:rFonts w:hint="eastAsia" w:ascii="宋体" w:hAnsi="宋体"/>
          <w:b/>
          <w:color w:val="auto"/>
          <w:sz w:val="24"/>
          <w:lang w:eastAsia="zh-CN"/>
        </w:rPr>
        <w:t>（三）服务承诺：</w:t>
      </w:r>
    </w:p>
    <w:p w14:paraId="49668B19">
      <w:pPr>
        <w:spacing w:line="360" w:lineRule="auto"/>
        <w:ind w:firstLine="600" w:firstLineChars="250"/>
        <w:rPr>
          <w:rFonts w:ascii="宋体" w:hAnsi="宋体"/>
          <w:b/>
          <w:color w:val="auto"/>
          <w:sz w:val="24"/>
          <w:lang w:eastAsia="zh-CN"/>
        </w:rPr>
      </w:pPr>
      <w:r>
        <w:rPr>
          <w:rFonts w:hint="eastAsia" w:ascii="宋体" w:hAnsi="宋体"/>
          <w:bCs/>
          <w:color w:val="auto"/>
          <w:sz w:val="24"/>
          <w:lang w:eastAsia="zh-CN"/>
        </w:rPr>
        <w:t>（此处填写内容应与投标文件一致）</w:t>
      </w:r>
    </w:p>
    <w:p w14:paraId="7B48C25F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Theme="minorEastAsia" w:hAnsiTheme="minorEastAsia" w:eastAsiaTheme="minorEastAsia"/>
          <w:b/>
          <w:sz w:val="24"/>
          <w:lang w:eastAsia="zh-CN"/>
        </w:rPr>
        <w:t>九</w:t>
      </w:r>
      <w:r>
        <w:rPr>
          <w:rFonts w:hint="eastAsia" w:ascii="宋体" w:hAnsi="宋体"/>
          <w:b/>
          <w:sz w:val="24"/>
          <w:lang w:eastAsia="zh-CN"/>
        </w:rPr>
        <w:t>、违约责任</w:t>
      </w:r>
    </w:p>
    <w:p w14:paraId="5C9CDF28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（一）按《中华人民共和国民法典》中的相关条款执行。</w:t>
      </w:r>
    </w:p>
    <w:p w14:paraId="4F3766FA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（二）未按合同要求的提供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或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质量不能满足技术要求，采购人有权终止合同，甚至对供方违约行为进行追究。</w:t>
      </w:r>
    </w:p>
    <w:p w14:paraId="2A04F46E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（三）如有纠纷，双方友好协商解决，协商不成时可诉讼到甲方所在地人民法院解决。</w:t>
      </w:r>
    </w:p>
    <w:p w14:paraId="5D6ED505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十、验收</w:t>
      </w:r>
    </w:p>
    <w:p w14:paraId="32A8ABE5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（一）由采购人负责组织验收或者邀请</w:t>
      </w:r>
      <w:r>
        <w:rPr>
          <w:rFonts w:hint="eastAsia" w:ascii="宋体" w:hAnsi="宋体"/>
          <w:sz w:val="24"/>
          <w:lang w:val="en-US" w:eastAsia="zh-CN"/>
        </w:rPr>
        <w:t>采购代理机构组织</w:t>
      </w:r>
      <w:r>
        <w:rPr>
          <w:rFonts w:hint="eastAsia" w:ascii="宋体" w:hAnsi="宋体"/>
          <w:sz w:val="24"/>
          <w:lang w:eastAsia="zh-CN"/>
        </w:rPr>
        <w:t>有关专家、质检机构共同进行验收。(备注：如采购代理机构</w:t>
      </w:r>
      <w:r>
        <w:rPr>
          <w:rFonts w:hint="eastAsia" w:ascii="宋体" w:hAnsi="宋体"/>
          <w:sz w:val="24"/>
          <w:lang w:val="en-US" w:eastAsia="zh-CN"/>
        </w:rPr>
        <w:t>组织</w:t>
      </w:r>
      <w:r>
        <w:rPr>
          <w:rFonts w:hint="eastAsia" w:ascii="宋体" w:hAnsi="宋体"/>
          <w:sz w:val="24"/>
          <w:lang w:eastAsia="zh-CN"/>
        </w:rPr>
        <w:t>验收，验收</w:t>
      </w:r>
      <w:r>
        <w:rPr>
          <w:rFonts w:hint="eastAsia" w:ascii="宋体" w:hAnsi="宋体"/>
          <w:sz w:val="24"/>
          <w:lang w:val="en-US" w:eastAsia="zh-CN"/>
        </w:rPr>
        <w:t>产生的</w:t>
      </w:r>
      <w:r>
        <w:rPr>
          <w:rFonts w:hint="eastAsia" w:ascii="宋体" w:hAnsi="宋体"/>
          <w:sz w:val="24"/>
          <w:lang w:eastAsia="zh-CN"/>
        </w:rPr>
        <w:t>费用由成交供应商支付，支付金额3000元</w:t>
      </w:r>
      <w:r>
        <w:rPr>
          <w:rFonts w:hint="eastAsia" w:ascii="宋体" w:hAnsi="宋体"/>
          <w:sz w:val="24"/>
          <w:lang w:val="en-US" w:eastAsia="zh-CN"/>
        </w:rPr>
        <w:t>/次</w:t>
      </w:r>
      <w:r>
        <w:rPr>
          <w:rFonts w:hint="eastAsia" w:ascii="宋体" w:hAnsi="宋体"/>
          <w:sz w:val="24"/>
          <w:lang w:eastAsia="zh-CN"/>
        </w:rPr>
        <w:t>)；验收合格须交接项目实施的全部资料，并填写政府采购项目验收报告单。验收须以合同、</w:t>
      </w:r>
      <w:r>
        <w:rPr>
          <w:rFonts w:hint="eastAsia" w:ascii="宋体" w:hAnsi="宋体"/>
          <w:sz w:val="24"/>
          <w:lang w:val="en-US" w:eastAsia="zh-CN"/>
        </w:rPr>
        <w:t>招标</w:t>
      </w:r>
      <w:r>
        <w:rPr>
          <w:rFonts w:hint="eastAsia" w:ascii="宋体" w:hAnsi="宋体"/>
          <w:sz w:val="24"/>
          <w:lang w:eastAsia="zh-CN"/>
        </w:rPr>
        <w:t>文件及</w:t>
      </w:r>
      <w:r>
        <w:rPr>
          <w:rFonts w:hint="eastAsia" w:ascii="宋体" w:hAnsi="宋体"/>
          <w:sz w:val="24"/>
          <w:lang w:val="en-US" w:eastAsia="zh-CN"/>
        </w:rPr>
        <w:t>投标</w:t>
      </w:r>
      <w:r>
        <w:rPr>
          <w:rFonts w:hint="eastAsia" w:ascii="宋体" w:hAnsi="宋体"/>
          <w:sz w:val="24"/>
          <w:lang w:eastAsia="zh-CN"/>
        </w:rPr>
        <w:t>文件、澄清、及国家相应的标准、规范等为依据。</w:t>
      </w:r>
    </w:p>
    <w:p w14:paraId="2C7E6A67">
      <w:pPr>
        <w:spacing w:line="360" w:lineRule="auto"/>
        <w:rPr>
          <w:rFonts w:ascii="宋体" w:hAnsi="宋体"/>
          <w:b/>
          <w:color w:val="auto"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十</w:t>
      </w:r>
      <w:r>
        <w:rPr>
          <w:rFonts w:hint="eastAsia" w:asciiTheme="minorEastAsia" w:hAnsiTheme="minorEastAsia" w:eastAsiaTheme="minorEastAsia"/>
          <w:b/>
          <w:sz w:val="24"/>
          <w:lang w:eastAsia="zh-CN"/>
        </w:rPr>
        <w:t>一</w:t>
      </w:r>
      <w:r>
        <w:rPr>
          <w:rFonts w:hint="eastAsia" w:ascii="宋体" w:hAnsi="宋体"/>
          <w:b/>
          <w:color w:val="auto"/>
          <w:sz w:val="24"/>
          <w:lang w:eastAsia="zh-CN"/>
        </w:rPr>
        <w:t>、其他事项</w:t>
      </w:r>
    </w:p>
    <w:p w14:paraId="346464F8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color w:val="auto"/>
          <w:sz w:val="24"/>
          <w:lang w:eastAsia="zh-CN"/>
        </w:rPr>
        <w:t>（一）陕西省财政厅政府采购管理处在</w:t>
      </w:r>
      <w:r>
        <w:rPr>
          <w:rFonts w:hint="eastAsia" w:ascii="宋体" w:hAnsi="宋体"/>
          <w:sz w:val="24"/>
          <w:lang w:eastAsia="zh-CN"/>
        </w:rPr>
        <w:t>合同的履行期间以及履行期后，可以随时检查项目的执行情况，对采购标准、采购内容进行调查核实，并对发现的问题进行处理。</w:t>
      </w:r>
    </w:p>
    <w:p w14:paraId="0C493672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（二）本合同一式六份，甲方</w:t>
      </w:r>
      <w:r>
        <w:rPr>
          <w:rFonts w:hint="eastAsia" w:ascii="宋体" w:hAnsi="宋体"/>
          <w:sz w:val="24"/>
          <w:u w:val="none"/>
          <w:lang w:val="en-US" w:eastAsia="zh-CN"/>
        </w:rPr>
        <w:t>执</w:t>
      </w:r>
      <w:r>
        <w:rPr>
          <w:rFonts w:hint="eastAsia" w:ascii="宋体" w:hAnsi="宋体"/>
          <w:sz w:val="24"/>
          <w:u w:val="none"/>
          <w:lang w:eastAsia="zh-CN"/>
        </w:rPr>
        <w:t>四份，乙方</w:t>
      </w:r>
      <w:r>
        <w:rPr>
          <w:rFonts w:hint="eastAsia" w:ascii="宋体" w:hAnsi="宋体"/>
          <w:sz w:val="24"/>
          <w:u w:val="none"/>
          <w:lang w:val="en-US" w:eastAsia="zh-CN"/>
        </w:rPr>
        <w:t>执</w:t>
      </w:r>
      <w:r>
        <w:rPr>
          <w:rFonts w:hint="eastAsia" w:ascii="宋体" w:hAnsi="宋体"/>
          <w:sz w:val="24"/>
          <w:u w:val="none"/>
          <w:lang w:eastAsia="zh-CN"/>
        </w:rPr>
        <w:t>一份，</w:t>
      </w:r>
      <w:r>
        <w:rPr>
          <w:rFonts w:hint="eastAsia" w:ascii="宋体" w:hAnsi="宋体"/>
          <w:sz w:val="24"/>
          <w:lang w:eastAsia="zh-CN"/>
        </w:rPr>
        <w:t>采购代理机构</w:t>
      </w:r>
      <w:r>
        <w:rPr>
          <w:rFonts w:hint="eastAsia" w:ascii="宋体" w:hAnsi="宋体"/>
          <w:sz w:val="24"/>
          <w:lang w:val="en-US" w:eastAsia="zh-CN"/>
        </w:rPr>
        <w:t>执</w:t>
      </w:r>
      <w:r>
        <w:rPr>
          <w:rFonts w:hint="eastAsia" w:ascii="宋体" w:hAnsi="宋体"/>
          <w:sz w:val="24"/>
          <w:lang w:eastAsia="zh-CN"/>
        </w:rPr>
        <w:t>一份，甲乙双方签字盖章后生效。</w:t>
      </w:r>
    </w:p>
    <w:p w14:paraId="53B93FCE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</w:t>
      </w:r>
      <w:r>
        <w:rPr>
          <w:rFonts w:hint="eastAsia" w:ascii="宋体" w:hAnsi="宋体"/>
          <w:bCs/>
          <w:sz w:val="24"/>
          <w:lang w:eastAsia="zh-CN"/>
        </w:rPr>
        <w:t>招标文件、投标文件也是合同的组成部分，合同中未约定的以招标文件、投标文件为准。</w:t>
      </w:r>
    </w:p>
    <w:p w14:paraId="45FA4D48"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合同签订地点：   </w:t>
      </w:r>
    </w:p>
    <w:p w14:paraId="2F3CD54F"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合同签订时间：    年   月    日</w:t>
      </w:r>
    </w:p>
    <w:p w14:paraId="5124CA43">
      <w:pPr>
        <w:spacing w:line="360" w:lineRule="auto"/>
        <w:rPr>
          <w:rFonts w:ascii="宋体" w:hAnsi="宋体"/>
          <w:sz w:val="24"/>
          <w:lang w:eastAsia="zh-CN"/>
        </w:rPr>
      </w:pPr>
    </w:p>
    <w:p w14:paraId="139FB74E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甲    方                           乙    方</w:t>
      </w:r>
    </w:p>
    <w:p w14:paraId="2084147E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单位名称：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   单位名称： </w:t>
      </w:r>
    </w:p>
    <w:p w14:paraId="127AB8E7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</w:p>
    <w:p w14:paraId="598662BF">
      <w:pPr>
        <w:spacing w:line="360" w:lineRule="auto"/>
        <w:rPr>
          <w:rFonts w:ascii="宋体" w:hAnsi="宋体"/>
          <w:sz w:val="24"/>
        </w:rPr>
      </w:pPr>
    </w:p>
    <w:p w14:paraId="06172832">
      <w:pPr>
        <w:spacing w:line="360" w:lineRule="auto"/>
        <w:rPr>
          <w:rFonts w:ascii="宋体" w:hAnsi="宋体"/>
          <w:sz w:val="24"/>
        </w:rPr>
      </w:pPr>
    </w:p>
    <w:p w14:paraId="2F768007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0FE37AFD">
      <w:pPr>
        <w:spacing w:line="360" w:lineRule="auto"/>
        <w:rPr>
          <w:rFonts w:ascii="宋体" w:hAnsi="宋体"/>
          <w:sz w:val="24"/>
        </w:rPr>
      </w:pPr>
    </w:p>
    <w:p w14:paraId="5B995B8B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联系电话：      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联系电话： </w:t>
      </w:r>
    </w:p>
    <w:p w14:paraId="3CFA35A7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开 户 行：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开 户 行： </w:t>
      </w:r>
    </w:p>
    <w:p w14:paraId="232A12DB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账    号：    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>账    号：</w:t>
      </w:r>
    </w:p>
    <w:p w14:paraId="55D083F4">
      <w:pPr>
        <w:pStyle w:val="2"/>
        <w:ind w:left="2100" w:hanging="1050"/>
        <w:rPr>
          <w:lang w:eastAsia="zh-CN"/>
        </w:rPr>
      </w:pPr>
    </w:p>
    <w:p w14:paraId="501D3BAE">
      <w:pPr>
        <w:spacing w:line="360" w:lineRule="auto"/>
        <w:rPr>
          <w:rFonts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 xml:space="preserve">附件1 </w:t>
      </w:r>
      <w:r>
        <w:rPr>
          <w:rFonts w:hint="eastAsia" w:asciiTheme="minorEastAsia" w:hAnsiTheme="minorEastAsia" w:eastAsiaTheme="minorEastAsia"/>
          <w:b/>
          <w:bCs/>
          <w:sz w:val="24"/>
          <w:lang w:eastAsia="zh-CN"/>
        </w:rPr>
        <w:t>服务</w:t>
      </w:r>
      <w:r>
        <w:rPr>
          <w:rFonts w:hint="eastAsia" w:ascii="宋体" w:hAnsi="宋体"/>
          <w:b/>
          <w:bCs/>
          <w:sz w:val="24"/>
          <w:lang w:eastAsia="zh-CN"/>
        </w:rPr>
        <w:t>内容</w:t>
      </w:r>
    </w:p>
    <w:tbl>
      <w:tblPr>
        <w:tblStyle w:val="3"/>
        <w:tblpPr w:leftFromText="180" w:rightFromText="180" w:vertAnchor="text" w:horzAnchor="page" w:tblpX="1137" w:tblpY="339"/>
        <w:tblOverlap w:val="never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2899"/>
        <w:gridCol w:w="1435"/>
        <w:gridCol w:w="1400"/>
        <w:gridCol w:w="2102"/>
        <w:gridCol w:w="875"/>
      </w:tblGrid>
      <w:tr w14:paraId="72FF1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82" w:type="dxa"/>
            <w:vAlign w:val="center"/>
          </w:tcPr>
          <w:p w14:paraId="4994C9CB">
            <w:pPr>
              <w:keepNext w:val="0"/>
              <w:keepLines w:val="0"/>
              <w:pageBreakBefore w:val="0"/>
              <w:widowControl/>
              <w:tabs>
                <w:tab w:val="left" w:pos="81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序号</w:t>
            </w:r>
          </w:p>
        </w:tc>
        <w:tc>
          <w:tcPr>
            <w:tcW w:w="2899" w:type="dxa"/>
            <w:vAlign w:val="center"/>
          </w:tcPr>
          <w:p w14:paraId="7D6BD0D7">
            <w:pPr>
              <w:keepNext w:val="0"/>
              <w:keepLines w:val="0"/>
              <w:pageBreakBefore w:val="0"/>
              <w:widowControl/>
              <w:tabs>
                <w:tab w:val="left" w:pos="81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lang w:eastAsia="zh-CN"/>
              </w:rPr>
              <w:t>服务内容</w:t>
            </w:r>
          </w:p>
        </w:tc>
        <w:tc>
          <w:tcPr>
            <w:tcW w:w="1435" w:type="dxa"/>
            <w:vAlign w:val="center"/>
          </w:tcPr>
          <w:p w14:paraId="5F1E60A7">
            <w:pPr>
              <w:keepNext w:val="0"/>
              <w:keepLines w:val="0"/>
              <w:pageBreakBefore w:val="0"/>
              <w:widowControl/>
              <w:tabs>
                <w:tab w:val="left" w:pos="81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单价</w:t>
            </w:r>
          </w:p>
          <w:p w14:paraId="643D41C2">
            <w:pPr>
              <w:keepNext w:val="0"/>
              <w:keepLines w:val="0"/>
              <w:pageBreakBefore w:val="0"/>
              <w:widowControl/>
              <w:tabs>
                <w:tab w:val="left" w:pos="81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（元）</w:t>
            </w:r>
          </w:p>
        </w:tc>
        <w:tc>
          <w:tcPr>
            <w:tcW w:w="1400" w:type="dxa"/>
            <w:vAlign w:val="center"/>
          </w:tcPr>
          <w:p w14:paraId="09D2197D">
            <w:pPr>
              <w:keepNext w:val="0"/>
              <w:keepLines w:val="0"/>
              <w:pageBreakBefore w:val="0"/>
              <w:widowControl/>
              <w:tabs>
                <w:tab w:val="left" w:pos="81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宋体" w:hAnsi="宋体" w:eastAsiaTheme="minorEastAsia"/>
                <w:bCs/>
                <w:sz w:val="24"/>
                <w:lang w:eastAsia="zh-CN"/>
              </w:rPr>
            </w:pPr>
            <w:r>
              <w:rPr>
                <w:rFonts w:ascii="宋体" w:hAnsi="宋体" w:eastAsiaTheme="minorEastAsia"/>
                <w:bCs/>
                <w:sz w:val="24"/>
                <w:lang w:eastAsia="zh-CN"/>
              </w:rPr>
              <w:t>数量</w:t>
            </w:r>
          </w:p>
        </w:tc>
        <w:tc>
          <w:tcPr>
            <w:tcW w:w="2102" w:type="dxa"/>
            <w:vAlign w:val="center"/>
          </w:tcPr>
          <w:p w14:paraId="1B93BE16">
            <w:pPr>
              <w:keepNext w:val="0"/>
              <w:keepLines w:val="0"/>
              <w:pageBreakBefore w:val="0"/>
              <w:widowControl/>
              <w:tabs>
                <w:tab w:val="left" w:pos="81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合计</w:t>
            </w:r>
          </w:p>
          <w:p w14:paraId="2F4F9B82">
            <w:pPr>
              <w:keepNext w:val="0"/>
              <w:keepLines w:val="0"/>
              <w:pageBreakBefore w:val="0"/>
              <w:widowControl/>
              <w:tabs>
                <w:tab w:val="left" w:pos="81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（元）</w:t>
            </w:r>
          </w:p>
        </w:tc>
        <w:tc>
          <w:tcPr>
            <w:tcW w:w="875" w:type="dxa"/>
            <w:vAlign w:val="center"/>
          </w:tcPr>
          <w:p w14:paraId="7DBB8550">
            <w:pPr>
              <w:keepNext w:val="0"/>
              <w:keepLines w:val="0"/>
              <w:pageBreakBefore w:val="0"/>
              <w:widowControl/>
              <w:tabs>
                <w:tab w:val="left" w:pos="81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备注</w:t>
            </w:r>
          </w:p>
        </w:tc>
      </w:tr>
      <w:tr w14:paraId="7A933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782" w:type="dxa"/>
            <w:vAlign w:val="center"/>
          </w:tcPr>
          <w:p w14:paraId="503C69F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99" w:type="dxa"/>
            <w:vAlign w:val="center"/>
          </w:tcPr>
          <w:p w14:paraId="76C62DB4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1FE03F7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22EAD682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510CE1E3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648D7B9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64591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782" w:type="dxa"/>
            <w:vAlign w:val="center"/>
          </w:tcPr>
          <w:p w14:paraId="1C9C25A4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99" w:type="dxa"/>
            <w:vAlign w:val="center"/>
          </w:tcPr>
          <w:p w14:paraId="5B64D31B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4C2DF74B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595352BE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2C2BBC3B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41BF102E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00F22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782" w:type="dxa"/>
            <w:vAlign w:val="center"/>
          </w:tcPr>
          <w:p w14:paraId="3CFCCA99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99" w:type="dxa"/>
            <w:vAlign w:val="center"/>
          </w:tcPr>
          <w:p w14:paraId="3467AD8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60D6A047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6268957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7B1B55BD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62B9B72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725EA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782" w:type="dxa"/>
            <w:vAlign w:val="center"/>
          </w:tcPr>
          <w:p w14:paraId="74869ABE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99" w:type="dxa"/>
            <w:vAlign w:val="center"/>
          </w:tcPr>
          <w:p w14:paraId="12A5BD88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7C86381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4E88D279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7201F33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2927FE4B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71EBA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782" w:type="dxa"/>
            <w:vAlign w:val="center"/>
          </w:tcPr>
          <w:p w14:paraId="5E32BD52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99" w:type="dxa"/>
            <w:vAlign w:val="center"/>
          </w:tcPr>
          <w:p w14:paraId="3061D17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1DFCF09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71F61E9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5D126E34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4F3D2917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730F3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782" w:type="dxa"/>
            <w:vAlign w:val="center"/>
          </w:tcPr>
          <w:p w14:paraId="046E984A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99" w:type="dxa"/>
            <w:vAlign w:val="center"/>
          </w:tcPr>
          <w:p w14:paraId="5C214A7D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7F6EADD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7AFBC82F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482FE734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30F88C09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330BD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782" w:type="dxa"/>
          </w:tcPr>
          <w:p w14:paraId="067252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宋体" w:hAnsi="宋体"/>
                <w:bCs/>
                <w:sz w:val="24"/>
                <w:lang w:eastAsia="zh-CN"/>
              </w:rPr>
            </w:pPr>
          </w:p>
        </w:tc>
        <w:tc>
          <w:tcPr>
            <w:tcW w:w="8711" w:type="dxa"/>
            <w:gridSpan w:val="5"/>
            <w:vAlign w:val="center"/>
          </w:tcPr>
          <w:p w14:paraId="549670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bCs/>
                <w:sz w:val="24"/>
                <w:lang w:eastAsia="zh-CN"/>
              </w:rPr>
              <w:t>总金额：</w:t>
            </w:r>
            <w:r>
              <w:rPr>
                <w:rFonts w:hint="eastAsia" w:ascii="宋体" w:hAnsi="宋体"/>
                <w:sz w:val="24"/>
                <w:lang w:eastAsia="zh-CN"/>
              </w:rPr>
              <w:t>人民币</w:t>
            </w:r>
            <w:r>
              <w:rPr>
                <w:rFonts w:hint="eastAsia" w:ascii="宋体" w:hAnsi="宋体"/>
                <w:sz w:val="24"/>
                <w:u w:val="single"/>
                <w:lang w:eastAsia="zh-CN"/>
              </w:rPr>
              <w:t xml:space="preserve">      </w:t>
            </w:r>
            <w:r>
              <w:rPr>
                <w:rFonts w:hint="eastAsia" w:ascii="宋体" w:hAnsi="宋体"/>
                <w:sz w:val="24"/>
                <w:lang w:eastAsia="zh-CN"/>
              </w:rPr>
              <w:t>元整（¥</w:t>
            </w:r>
            <w:r>
              <w:rPr>
                <w:rFonts w:hint="eastAsia" w:ascii="宋体" w:hAnsi="宋体"/>
                <w:sz w:val="24"/>
                <w:u w:val="single"/>
                <w:lang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  <w:lang w:eastAsia="zh-CN"/>
              </w:rPr>
              <w:t>元）</w:t>
            </w:r>
          </w:p>
        </w:tc>
      </w:tr>
    </w:tbl>
    <w:p w14:paraId="6C24D7A4">
      <w:pPr>
        <w:pStyle w:val="5"/>
        <w:rPr>
          <w:rFonts w:hint="eastAsia"/>
          <w:lang w:eastAsia="zh-CN"/>
        </w:rPr>
      </w:pPr>
    </w:p>
    <w:p w14:paraId="5D62FF03">
      <w:pPr>
        <w:pStyle w:val="5"/>
        <w:rPr>
          <w:rFonts w:hint="eastAsia"/>
          <w:lang w:val="en-US" w:eastAsia="zh-Hans"/>
        </w:rPr>
      </w:pPr>
    </w:p>
    <w:p w14:paraId="0EE17EC8">
      <w:pPr>
        <w:pStyle w:val="5"/>
      </w:pPr>
    </w:p>
    <w:p w14:paraId="08838D88">
      <w:pPr>
        <w:pStyle w:val="5"/>
      </w:pPr>
    </w:p>
    <w:p w14:paraId="712702CB">
      <w:pPr>
        <w:pStyle w:val="5"/>
      </w:pPr>
    </w:p>
    <w:p w14:paraId="44E5132C">
      <w:pPr>
        <w:pStyle w:val="5"/>
      </w:pPr>
    </w:p>
    <w:p w14:paraId="1BFBA649">
      <w:pPr>
        <w:pStyle w:val="5"/>
      </w:pPr>
    </w:p>
    <w:p w14:paraId="527B6235">
      <w:pPr>
        <w:pStyle w:val="5"/>
      </w:pPr>
    </w:p>
    <w:p w14:paraId="416C46F6">
      <w:pPr>
        <w:pStyle w:val="5"/>
      </w:pPr>
    </w:p>
    <w:p w14:paraId="2DBFFC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723C98"/>
    <w:rsid w:val="17723C98"/>
    <w:rsid w:val="7001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楷体" w:hAnsi="楷体" w:eastAsia="楷体" w:cs="楷体"/>
      <w:sz w:val="23"/>
      <w:szCs w:val="23"/>
      <w:lang w:val="en-US" w:eastAsia="en-US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2025-03-31T08:28:00Z</dcterms:created>
  <dc:creator>Astronaut</dc:creator>
  <cp:lastModifiedBy>Astronaut</cp:lastModifiedBy>
  <dcterms:modified xsi:type="dcterms:W3CDTF">2025-03-31T08:28:47Z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F3C85DC2343E486EB49441108C3C10CD_11</vt:lpwstr>
  </property>
  <property fmtid="{D5CDD505-2E9C-101B-9397-08002B2CF9AE}" pid="4" name="KSOTemplateDocerSaveRecord">
    <vt:lpwstr>eyJoZGlkIjoiYjEyM2QxZTM0MWMwMjUzZWFlZmU1OGRiYzgyMWQ0NWIiLCJ1c2VySWQiOiI1MzUzNzI2MDkifQ==</vt:lpwstr>
  </property>
</Properties>
</file>