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版本号：0617-2511FZ040320250320001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票务系统升级项目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0617-2511FZ0403</w:t>
      </w:r>
      <w:r>
        <w:br/>
      </w:r>
      <w:r>
        <w:br/>
      </w:r>
      <w:r>
        <w:br/>
      </w:r>
      <w:r>
        <w:br/>
      </w:r>
      <w:r>
        <w:br/>
      </w:r>
    </w:p>
    <w:p>
      <w:pPr>
        <w:pStyle w:val="null3"/>
        <w:jc w:val="center"/>
        <w:outlineLvl w:val="5"/>
      </w:pPr>
      <w:r>
        <w:rPr>
          <w:rFonts w:ascii="仿宋_GB2312" w:hAnsi="仿宋_GB2312" w:cs="仿宋_GB2312" w:eastAsia="仿宋_GB2312"/>
          <w:sz w:val="15"/>
          <w:b/>
        </w:rPr>
        <w:t>西安碑林博物馆</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西安碑林博物馆</w:t>
      </w:r>
      <w:r>
        <w:rPr>
          <w:rFonts w:ascii="仿宋_GB2312" w:hAnsi="仿宋_GB2312" w:cs="仿宋_GB2312" w:eastAsia="仿宋_GB2312"/>
        </w:rPr>
        <w:t>委托，拟对</w:t>
      </w:r>
      <w:r>
        <w:rPr>
          <w:rFonts w:ascii="仿宋_GB2312" w:hAnsi="仿宋_GB2312" w:cs="仿宋_GB2312" w:eastAsia="仿宋_GB2312"/>
        </w:rPr>
        <w:t>票务系统升级项目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0617-2511FZ0403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票务系统升级项目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西安碑林博物馆票务系统升级项目范围主要包括：软件升级、系统部署实施、软件系统运维1年。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采购包1（西安碑林博物馆票务系统升级项目）：属于专门面向中小企业采购。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其中法定代表人直接参加的，须出具法定代表人证明书；被授权代表参加的，须出具法定代表人授权书。供应商需在项目电子化交易系统中按要求上传相应证明文件并进行电子签章。</w:t>
      </w:r>
    </w:p>
    <w:p>
      <w:pPr>
        <w:pStyle w:val="null3"/>
      </w:pPr>
      <w:r>
        <w:rPr>
          <w:rFonts w:ascii="仿宋_GB2312" w:hAnsi="仿宋_GB2312" w:cs="仿宋_GB2312" w:eastAsia="仿宋_GB2312"/>
        </w:rPr>
        <w:t>2、供应商信用要求：“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西安碑林博物馆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陕西省西安市碑林区三学街15号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029-87210764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任晓洁、贺怡、杨东峰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采购包1：496,600.00元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采购包1：496,600.00元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由成交人按国家计委颁发的《招标代理服务收费管理暂行办法》（计价格[2002]1980号）的规定向采购代理机构一次付清采购代理服务费。采购代理服务费不足0.5万元，按0.5万元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西安碑林博物馆</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西安碑林博物馆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西安碑林博物馆票务系统升级项目范围主要包括：软件升级、系统部署实施、软件系统运维1年。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496,600.00</w:t>
      </w:r>
    </w:p>
    <w:p>
      <w:pPr>
        <w:pStyle w:val="null3"/>
      </w:pPr>
      <w:r>
        <w:rPr>
          <w:rFonts w:ascii="仿宋_GB2312" w:hAnsi="仿宋_GB2312" w:cs="仿宋_GB2312" w:eastAsia="仿宋_GB2312"/>
        </w:rPr>
        <w:t>采购包最高限价（元）: 496,600.00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票务软件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标的名称：票务软件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rPr>
              <w:t>1.技术规格</w:t>
            </w:r>
          </w:p>
          <w:p>
            <w:pPr>
              <w:pStyle w:val="null3"/>
            </w:pPr>
            <w:r>
              <w:rPr>
                <w:rFonts w:ascii="仿宋_GB2312" w:hAnsi="仿宋_GB2312" w:cs="仿宋_GB2312" w:eastAsia="仿宋_GB2312"/>
                <w:sz w:val="20"/>
              </w:rPr>
              <w:t>1.1采购清单</w:t>
            </w:r>
          </w:p>
          <w:p>
            <w:pPr>
              <w:pStyle w:val="null3"/>
            </w:pPr>
            <w:r>
              <w:rPr>
                <w:rFonts w:ascii="仿宋_GB2312" w:hAnsi="仿宋_GB2312" w:cs="仿宋_GB2312" w:eastAsia="仿宋_GB2312"/>
                <w:sz w:val="20"/>
              </w:rPr>
              <w:t>票务系统软件升级、系统部署实施服务、软件系统运维服务</w:t>
            </w:r>
          </w:p>
          <w:p>
            <w:pPr>
              <w:pStyle w:val="null3"/>
            </w:pPr>
            <w:r>
              <w:rPr>
                <w:rFonts w:ascii="仿宋_GB2312" w:hAnsi="仿宋_GB2312" w:cs="仿宋_GB2312" w:eastAsia="仿宋_GB2312"/>
                <w:sz w:val="20"/>
              </w:rPr>
              <w:t>1.2建设要求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1）票务系统软件升级</w:t>
            </w:r>
          </w:p>
          <w:p>
            <w:pPr>
              <w:pStyle w:val="null3"/>
            </w:pPr>
            <w:r>
              <w:rPr>
                <w:rFonts w:ascii="仿宋_GB2312" w:hAnsi="仿宋_GB2312" w:cs="仿宋_GB2312" w:eastAsia="仿宋_GB2312"/>
                <w:sz w:val="20"/>
              </w:rPr>
              <w:t>票务系统软件升级内容包括手机微信端、后台管理端。系统功能要求包括但不限于以下：手机微信端增加代客下单功能，能够满足其他博物馆等单位团体来馆参观代约门票的应用场景；后台管理端支持退票审核功能升级，对退票审核流程进行调整，审核节点去掉多级审核，保留一级审核；后台管理端支持</w:t>
            </w:r>
            <w:r>
              <w:rPr>
                <w:rFonts w:ascii="仿宋_GB2312" w:hAnsi="仿宋_GB2312" w:cs="仿宋_GB2312" w:eastAsia="仿宋_GB2312"/>
                <w:sz w:val="20"/>
              </w:rPr>
              <w:t>OTA平台管理功能升级，可实现阶梯票价配置相关功能；后台管理端支持旅行社流水表功能升级，增加发票标记功能；后台管理端支持票务管理功能升级，增加观众信息管理，实现散客账号管理、账号黑名单、封禁规则设置相关功能；后台管理端支持票池管理功能升级，实现票池管理、特殊放票、预约退票规则设置相关功能；后台管理端支持门票订单管理功能升级，实现订单规则配置相关功能；后台管理端增加代客下单审批功能，实现其他博物馆单位团体来馆参观申请领导审批功能，审批完成后进入下单环节；后台管理端增加代客下单数据统计功能，实现统计单位团体来馆参观各类业务数据统计。</w:t>
            </w:r>
          </w:p>
          <w:p>
            <w:pPr>
              <w:pStyle w:val="null3"/>
            </w:pPr>
            <w:r>
              <w:rPr>
                <w:rFonts w:ascii="仿宋_GB2312" w:hAnsi="仿宋_GB2312" w:cs="仿宋_GB2312" w:eastAsia="仿宋_GB2312"/>
                <w:sz w:val="20"/>
              </w:rPr>
              <w:t>2、服务要求</w:t>
            </w:r>
          </w:p>
          <w:p>
            <w:pPr>
              <w:pStyle w:val="null3"/>
            </w:pPr>
            <w:r>
              <w:rPr>
                <w:rFonts w:ascii="仿宋_GB2312" w:hAnsi="仿宋_GB2312" w:cs="仿宋_GB2312" w:eastAsia="仿宋_GB2312"/>
                <w:sz w:val="20"/>
              </w:rPr>
              <w:t>2.1系统部署实施服务</w:t>
            </w:r>
          </w:p>
          <w:p>
            <w:pPr>
              <w:pStyle w:val="null3"/>
            </w:pPr>
            <w:r>
              <w:rPr>
                <w:rFonts w:ascii="仿宋_GB2312" w:hAnsi="仿宋_GB2312" w:cs="仿宋_GB2312" w:eastAsia="仿宋_GB2312"/>
                <w:sz w:val="20"/>
              </w:rPr>
              <w:t>提供系统部署实施服务，完成票务系统软件的安装、配置、测试、上线及培训等工作，确保系统平稳运行，满足业务需求。</w:t>
            </w:r>
          </w:p>
          <w:p>
            <w:pPr>
              <w:pStyle w:val="null3"/>
            </w:pPr>
            <w:r>
              <w:rPr>
                <w:rFonts w:ascii="仿宋_GB2312" w:hAnsi="仿宋_GB2312" w:cs="仿宋_GB2312" w:eastAsia="仿宋_GB2312"/>
                <w:sz w:val="20"/>
              </w:rPr>
              <w:t>2.2软件系统运维服务</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1年专业软件运维服务，需全面负责票务系统在运行过程中的故障处理、维修维护相关工作，确保系统稳定、高效运行，满足业务需求。</w:t>
            </w:r>
          </w:p>
          <w:p>
            <w:pPr>
              <w:pStyle w:val="null3"/>
            </w:pPr>
            <w:r>
              <w:rPr>
                <w:rFonts w:ascii="仿宋_GB2312" w:hAnsi="仿宋_GB2312" w:cs="仿宋_GB2312" w:eastAsia="仿宋_GB2312"/>
                <w:sz w:val="20"/>
              </w:rPr>
              <w:t>3、验收要求</w:t>
            </w:r>
          </w:p>
          <w:p>
            <w:pPr>
              <w:pStyle w:val="null3"/>
              <w:jc w:val="both"/>
            </w:pPr>
            <w:r>
              <w:rPr>
                <w:rFonts w:ascii="仿宋_GB2312" w:hAnsi="仿宋_GB2312" w:cs="仿宋_GB2312" w:eastAsia="仿宋_GB2312"/>
                <w:sz w:val="20"/>
              </w:rPr>
              <w:t>满足上述软件功能技术规格和服务要求，上线运行能够稳定运行即满足验收要求。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预付款：合同签订完成后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二期款：乙方完成本项目工作并经验收合格后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三期款：自验收合格满1年之日起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一）第14条甲方未按照约定付款的，或乙方无正当理由延迟交付的，应承担违约金责任，违约金以日为单位计算，每逾期一日支付合同总价款千分之三（3‰）的违约金，最高不超过合同总价款的百分之五（5%）。（二）在合同有效期内，除本合同约定外，双方不得擅自解除合同。若甲方擅自解除合同，甲方按照乙方已实际完成的工作量支付费用，同时向乙方支付合同总价款10%的违约金；若乙方擅自解除合同，乙方应向甲方交付其已付费部分的工作成果，同时向甲方支付合同总价款10%的违约金。（三）甲乙双方任何一方未履行或未完全履行合同约定之义务的，对方有权中止履行合同至违约方适当履行义务之日，由此引起的任何损失均由违约方承担。（四）本合同一经签订，甲乙双方均不得擅自更改合同内容，任何变更均应双方协商一致并签订正式的变更协议；任何一方未经对方书面同意擅自更改合同内容、变更履行合同的，均视为违约，守约方有权要求违约方正当履行合同并赔偿损失。 二、争议解决方式：因本合同发生争议的，双方首先应友好协商解决，协商不成，一方可诉诸原告所在地人民法院通过诉讼解决，败诉方承担诉讼费、鉴定费、另一方律师费、另一方差旅费以及其它费用。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成交供应商不得将本项目采购内容以任何形式转包、分包，不得降低质量要求。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w:t>
            </w:r>
          </w:p>
        </w:tc>
        <w:tc>
          <w:tcPr>
            <w:tcW w:type="dxa" w:w="1661"/>
          </w:tcPr>
          <w:p>
            <w:pPr>
              <w:pStyle w:val="null3"/>
            </w:pPr>
            <w:r>
              <w:rPr>
                <w:rFonts w:ascii="仿宋_GB2312" w:hAnsi="仿宋_GB2312" w:cs="仿宋_GB2312" w:eastAsia="仿宋_GB2312"/>
              </w:rPr>
              <w:t>响应文件封面 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rFonts w:ascii="仿宋_GB2312" w:hAnsi="仿宋_GB2312" w:cs="仿宋_GB2312" w:eastAsia="仿宋_GB2312"/>
              </w:rPr>
              <w:t>响应文件封面 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资格证明材料.docx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资格证明材料.docx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资格证明材料.docx 报价表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1.是否按照单一来源采购文件要求的格式编写； 2.是否有重大缺漏项</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资格证明材料.docx 报价表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资格证明材料.docx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1.是否未超过采购预算； 2.有效期是否符合单一来源采购文件的要求； 3.付款方式、服务期是否满足单一来源采购文件要求。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资格证明材料.docx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详见附件：技术服务合同-终.docx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