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版本号：KY2025-3-00620250214003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鄠邑校区能源科研楼（A座、B座）项目设计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KY2025-3-006</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鄠邑校区能源科研楼（A座、B座）项目设计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鄠邑校区能源科研楼（A座、B座）项目设计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西安石油大学鄠邑校区能源科研楼（A 座、B 座）项目设计，本项目位于西安石油大学鄠邑校区。项目总投资约2.8亿元，总建筑面积约4万平方米，其中A座单体楼建筑面积约2万平方米，地上9层，地下1层；B座单体楼建筑面积约2万平方米，地上4层局部3层。设计要根据项目所在地的基本情况，结合该项目的服务对象及主体建筑的使用条件，在满足建筑使用功能的前提下，做到布局合理、结构安全、造价合理、节约投资。</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已缴纳的至少一个月的纳税证明或完税证明，依法免税的单位应提供相关证明材料（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8、法定代表人授权书：法定代表人授权书及被授权人身份证复印件。（法定代表人直接投标只须提交其身份证明书，被授权人还需提供供应商为其缴纳的2024年1月至今任意一个月社保缴纳证明）</w:t>
      </w:r>
    </w:p>
    <w:p>
      <w:pPr>
        <w:pStyle w:val="null3"/>
      </w:pPr>
      <w:r>
        <w:rPr>
          <w:rFonts w:ascii="仿宋_GB2312" w:hAnsi="仿宋_GB2312" w:cs="仿宋_GB2312" w:eastAsia="仿宋_GB2312"/>
        </w:rPr>
        <w:t>9、特定资质1：投标人具备有效的工程设计综合资质甲级或建筑行业设计甲级或建筑行业（建筑工程）专业设计甲级及以上资质,且同时具备工程咨询单位甲级资信证书、风景园林专项设计资质,并在人员、设备、资金等方面具备相应的设计能力</w:t>
      </w:r>
    </w:p>
    <w:p>
      <w:pPr>
        <w:pStyle w:val="null3"/>
      </w:pPr>
      <w:r>
        <w:rPr>
          <w:rFonts w:ascii="仿宋_GB2312" w:hAnsi="仿宋_GB2312" w:cs="仿宋_GB2312" w:eastAsia="仿宋_GB2312"/>
        </w:rPr>
        <w:t>10、特定资质2：投标人拟派项目负责人具备一级注册建筑师或一级注册结构工程师执业资格，并在本单位登记注册</w:t>
      </w:r>
    </w:p>
    <w:p>
      <w:pPr>
        <w:pStyle w:val="null3"/>
      </w:pPr>
      <w:r>
        <w:rPr>
          <w:rFonts w:ascii="仿宋_GB2312" w:hAnsi="仿宋_GB2312" w:cs="仿宋_GB2312" w:eastAsia="仿宋_GB2312"/>
        </w:rPr>
        <w:t>11、特定资质3：投标人基本信息及拟派项目设计负责人须在“陕西省勘察设计行业管理信息平台”可查询；申请人不得在“国家企业信用信息公示系统”列入严重违法失信企业名单；申请人不得在“信用中国”网站中被列入政府采购严重违法失信行为记录名单；申请人不得在“中国政府采购网”政府采购严重违法失信行为记录名单中被财政部门禁止参加政府采购活动的申请人；申请人不得在本项目所在地及以上各级建设诚信信息平台被列为投标受限制的行为人或列为严重违法失信企业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西安市雁塔区电子二路东段18号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银行账号：86113010750181501004003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代理服务费收费标准：交费金额参照国家计委颁布的《招标代理服务收费管理暂行办法》（计价格[2002]1980号）及发改办价格[2003]857号文件的规定标准的90%收取收取。本项目代理服务费按服务计取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联系人：张娜、李瑞洁、戈迪</w:t>
      </w:r>
    </w:p>
    <w:p>
      <w:pPr>
        <w:pStyle w:val="null3"/>
      </w:pPr>
      <w:r>
        <w:rPr>
          <w:rFonts w:ascii="仿宋_GB2312" w:hAnsi="仿宋_GB2312" w:cs="仿宋_GB2312" w:eastAsia="仿宋_GB2312"/>
        </w:rPr>
        <w:t>联系电话：029-81206622-835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西安石油大学鄠邑校区能源科研楼（A 座、B 座）项目设计，本项目位于西安石油大学鄠邑校区。项目总投资约2.8亿元，总建筑面积约4万平方米，其中A座单体楼建筑面积约2万平方米，地上9层，地下1层；B座单体楼建筑面积约2万平方米，地上4层局部3层。设计要根据项目所在地的基本情况，结合该项目的服务对象及主体建筑的使用条件，在满足建筑使用功能的前提下，做到布局合理、结构安全、造价合理、节约投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3,200,000.00</w:t>
      </w:r>
    </w:p>
    <w:p>
      <w:pPr>
        <w:pStyle w:val="null3"/>
      </w:pPr>
      <w:r>
        <w:rPr>
          <w:rFonts w:ascii="仿宋_GB2312" w:hAnsi="仿宋_GB2312" w:cs="仿宋_GB2312" w:eastAsia="仿宋_GB2312"/>
        </w:rPr>
        <w:t>采购包最高限价（元）: 2,700,000.00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西安石油大学鄠邑校区能源科研楼（A座、B座）项目设计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标的名称：西安石油大学鄠邑校区能源科研楼（A座、B座）项目设计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工程设计范围、阶段与服务内容</w:t>
            </w:r>
          </w:p>
        </w:tc>
        <w:tc>
          <w:tcPr>
            <w:tcW w:type="dxa" w:w="2076"/>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工程设计范围：本次设计范围包含但不限于：</w:t>
            </w:r>
          </w:p>
          <w:p>
            <w:pPr>
              <w:pStyle w:val="null3"/>
              <w:ind w:firstLine="141"/>
              <w:jc w:val="both"/>
            </w:pPr>
            <w:r>
              <w:rPr>
                <w:rFonts w:ascii="仿宋_GB2312" w:hAnsi="仿宋_GB2312" w:cs="仿宋_GB2312" w:eastAsia="仿宋_GB2312"/>
                <w:sz w:val="24"/>
              </w:rPr>
              <w:t>（</w:t>
            </w:r>
            <w:r>
              <w:rPr>
                <w:rFonts w:ascii="仿宋_GB2312" w:hAnsi="仿宋_GB2312" w:cs="仿宋_GB2312" w:eastAsia="仿宋_GB2312"/>
                <w:sz w:val="24"/>
              </w:rPr>
              <w:t>1）本项目建筑物、构筑物的有关建筑、结构、给水排水、暖通空调、建筑电气（强电、弱电）、总图专业、室外总体配套工程、室外景观绿化工程、室内装修、配电室及供配电总干线、换热站及供热输送管网、海绵城市设计、减隔震设计（抗震支架）、装配式建筑设计、绿色建筑设计、标识标牌设计等施工图全部内容，设计图纸中不得出现二次深化设计或由专业厂商提供配套设计图纸字样。</w:t>
            </w:r>
          </w:p>
          <w:p>
            <w:pPr>
              <w:pStyle w:val="null3"/>
              <w:ind w:left="105"/>
              <w:jc w:val="both"/>
            </w:pPr>
            <w:r>
              <w:rPr>
                <w:rFonts w:ascii="仿宋_GB2312" w:hAnsi="仿宋_GB2312" w:cs="仿宋_GB2312" w:eastAsia="仿宋_GB2312"/>
                <w:sz w:val="24"/>
              </w:rPr>
              <w:t>（</w:t>
            </w:r>
            <w:r>
              <w:rPr>
                <w:rFonts w:ascii="仿宋_GB2312" w:hAnsi="仿宋_GB2312" w:cs="仿宋_GB2312" w:eastAsia="仿宋_GB2312"/>
                <w:sz w:val="24"/>
              </w:rPr>
              <w:t>2）根据发包人要求，对项目进行总体布局、单体建筑设计、配合项目报建并测算提供各项指标并提供报建总图、报建效果图及方案册等工作。初步设计的服务内容包括：提供满足编制深度要求的建筑、结构、给排水、暖通、电气专业及设计概算等设计成果</w:t>
            </w:r>
            <w:r>
              <w:rPr>
                <w:rFonts w:ascii="仿宋_GB2312" w:hAnsi="仿宋_GB2312" w:cs="仿宋_GB2312" w:eastAsia="仿宋_GB2312"/>
                <w:sz w:val="24"/>
              </w:rPr>
              <w:t>，负责组织专家评审并通过政府相关部门初步设计批复。</w:t>
            </w:r>
          </w:p>
          <w:p>
            <w:pPr>
              <w:pStyle w:val="null3"/>
              <w:ind w:left="105"/>
              <w:jc w:val="both"/>
            </w:pPr>
            <w:r>
              <w:rPr>
                <w:rFonts w:ascii="仿宋_GB2312" w:hAnsi="仿宋_GB2312" w:cs="仿宋_GB2312" w:eastAsia="仿宋_GB2312"/>
                <w:sz w:val="24"/>
              </w:rPr>
              <w:t>（</w:t>
            </w:r>
            <w:r>
              <w:rPr>
                <w:rFonts w:ascii="仿宋_GB2312" w:hAnsi="仿宋_GB2312" w:cs="仿宋_GB2312" w:eastAsia="仿宋_GB2312"/>
                <w:sz w:val="24"/>
              </w:rPr>
              <w:t>3）根据项目实际情况在满足建筑使用功能的前提下，做到布局合理、结构安全、造价合理、节约投资并充分体现绿色、低碳、节能的设计理念。</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工程设计阶段：</w:t>
            </w:r>
            <w:r>
              <w:rPr>
                <w:rFonts w:ascii="仿宋_GB2312" w:hAnsi="仿宋_GB2312" w:cs="仿宋_GB2312" w:eastAsia="仿宋_GB2312"/>
                <w:sz w:val="24"/>
              </w:rPr>
              <w:t>方案设计、初步设计及概算、施工图设计（含室内装修）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工程设计服务内容包含但不限于：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1）方案设计、初步设计及概算、施工图设计（含室内装修）等设计范围内所有内容。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配合并协助发包人进行项目报批报建、项目建议书及可行性研究报告的编制工作</w:t>
            </w:r>
            <w:r>
              <w:rPr>
                <w:rFonts w:ascii="仿宋_GB2312" w:hAnsi="仿宋_GB2312" w:cs="仿宋_GB2312" w:eastAsia="仿宋_GB2312"/>
                <w:sz w:val="24"/>
              </w:rPr>
              <w:t>，负责组织专家评审并通过政府相关部门初步设计批复。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3）提供施工前答疑交底、施工过程中的验收等现场服务工作。提供技术交底、图纸会审服务；配合施工全过程并参加相关验收。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4）配合发包人完成各类专项（包含但不限于绿色建筑评价、装配式建筑评价、海绵城市专项评价）评审及上会审查工作</w:t>
            </w:r>
            <w:r>
              <w:rPr>
                <w:rFonts w:ascii="仿宋_GB2312" w:hAnsi="仿宋_GB2312" w:cs="仿宋_GB2312" w:eastAsia="仿宋_GB2312"/>
                <w:sz w:val="24"/>
              </w:rPr>
              <w:t>，负责组织专家评审并通过政府相关部门审批，相关费用计入设计费。</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提交的成果要求：</w:t>
            </w:r>
            <w:r>
              <w:rPr>
                <w:rFonts w:ascii="仿宋_GB2312" w:hAnsi="仿宋_GB2312" w:cs="仿宋_GB2312" w:eastAsia="仿宋_GB2312"/>
                <w:sz w:val="24"/>
                <w:color w:val="000000"/>
              </w:rPr>
              <w:t xml:space="preserve">  </w:t>
            </w:r>
          </w:p>
          <w:p>
            <w:pPr>
              <w:pStyle w:val="null3"/>
              <w:ind w:firstLine="480"/>
              <w:jc w:val="both"/>
            </w:pPr>
            <w:r>
              <w:rPr>
                <w:rFonts w:ascii="仿宋_GB2312" w:hAnsi="仿宋_GB2312" w:cs="仿宋_GB2312" w:eastAsia="仿宋_GB2312"/>
                <w:sz w:val="24"/>
                <w:color w:val="000000"/>
              </w:rPr>
              <w:t>①方案设计：提供彩色展板1套（规格A0）及表达上述内容的纸质文件2套（规格A3）；所有设计成果同时提供电子文件。</w:t>
            </w:r>
          </w:p>
          <w:p>
            <w:pPr>
              <w:pStyle w:val="null3"/>
              <w:ind w:firstLine="480"/>
              <w:jc w:val="both"/>
            </w:pPr>
            <w:r>
              <w:rPr>
                <w:rFonts w:ascii="仿宋_GB2312" w:hAnsi="仿宋_GB2312" w:cs="仿宋_GB2312" w:eastAsia="仿宋_GB2312"/>
                <w:sz w:val="24"/>
                <w:color w:val="000000"/>
              </w:rPr>
              <w:t>②初步设计：纸质文件4套（规格A3）；所有设计成果同时提供CAD、PDF电子文件。</w:t>
            </w:r>
          </w:p>
          <w:p>
            <w:pPr>
              <w:pStyle w:val="null3"/>
              <w:jc w:val="both"/>
            </w:pPr>
            <w:r>
              <w:rPr>
                <w:rFonts w:ascii="仿宋_GB2312" w:hAnsi="仿宋_GB2312" w:cs="仿宋_GB2312" w:eastAsia="仿宋_GB2312"/>
                <w:sz w:val="24"/>
                <w:color w:val="000000"/>
              </w:rPr>
              <w:t>③施工图设计、概算书：纸质文件16套；所有设计成果同时提供CAD、PDF、概算书纸质版四套（广联达软格式电子版一套）电子文件。</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设计及技术服务要求</w:t>
            </w:r>
          </w:p>
        </w:tc>
        <w:tc>
          <w:tcPr>
            <w:tcW w:type="dxa" w:w="2076"/>
          </w:tcPr>
          <w:p>
            <w:pPr>
              <w:pStyle w:val="null3"/>
              <w:ind w:left="105"/>
              <w:jc w:val="both"/>
            </w:pPr>
            <w:r>
              <w:rPr>
                <w:rFonts w:ascii="仿宋_GB2312" w:hAnsi="仿宋_GB2312" w:cs="仿宋_GB2312" w:eastAsia="仿宋_GB2312"/>
                <w:sz w:val="24"/>
              </w:rPr>
              <w:t>1.本项目设计需贯彻集约节能、绿色建筑、智能建筑理念，真正实现节约、智能、绿色、低碳等生态文明的新建筑方式。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1）无障碍设计：需求和功能的分析，无障碍设计理念，体现人性化的细节设计；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2）方案效果：合适的建筑体量、高度和外立面风格的设计方案；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3）安全可靠：</w:t>
            </w:r>
            <w:r>
              <w:rPr>
                <w:rFonts w:ascii="仿宋_GB2312" w:hAnsi="仿宋_GB2312" w:cs="仿宋_GB2312" w:eastAsia="仿宋_GB2312"/>
                <w:sz w:val="24"/>
              </w:rPr>
              <w:t>需充分考虑消防疏散和紧急避难的需求；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4）整体布局：研判适宜面积和复合使用可能性，空间流线设计合理，各功能区配置得当；</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5）竖向交通：竖向交通的合理设计；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6）空间合理：</w:t>
            </w:r>
            <w:r>
              <w:rPr>
                <w:rFonts w:ascii="仿宋_GB2312" w:hAnsi="仿宋_GB2312" w:cs="仿宋_GB2312" w:eastAsia="仿宋_GB2312"/>
                <w:sz w:val="24"/>
              </w:rPr>
              <w:t>室内外交流、休憩空间的人性化设计；</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7）道路规划：规范设计消防通道，遵循合理可落地的设计准则；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8）周边联系：与周边环境及公共空间的联系，合理的连接方式；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9）统筹规划：打破项目的"孤岛”形象，与周边地块进行统筹规划设计，塑造建筑外观形象，体现"标杆性”意义，体现一站式学生社区功能；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10）生态建筑：充分考虑鄠邑区气候，创造良好、舒适的环境；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11）装配式建筑：适当考虑装配式建筑的要求，便于工业化生产，快速建造；符合政府规定及评审要求。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限额设计：综合考虑功能、结构、成本及建设周期等因素，适当考虑装配式建造的应用，杜绝过度追求造型，而增加建造难度和建设成本。鼓励建筑的墙体及室内材料采用简易环保材料。做到设计实用、经济、美观、环保、节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13）绿色建筑：按照陕西省绿色建筑要求进行绿色设计。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14）消防系统、设施、设备设计：应符合国家现行消防相关规范要求。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15）室外工程及景观绿化设计：须符合现行规范要求并满足政府规划审批部门审批要求，达到编制工程量清单及指导施工的设计深度。</w:t>
            </w:r>
          </w:p>
          <w:p>
            <w:pPr>
              <w:pStyle w:val="null3"/>
              <w:jc w:val="both"/>
            </w:pPr>
            <w:r>
              <w:rPr>
                <w:rFonts w:ascii="仿宋_GB2312" w:hAnsi="仿宋_GB2312" w:cs="仿宋_GB2312" w:eastAsia="仿宋_GB2312"/>
                <w:sz w:val="24"/>
              </w:rPr>
              <w:t>2.设计原则</w:t>
            </w:r>
          </w:p>
          <w:p>
            <w:pPr>
              <w:pStyle w:val="null3"/>
              <w:jc w:val="both"/>
            </w:pPr>
            <w:r>
              <w:rPr>
                <w:rFonts w:ascii="仿宋_GB2312" w:hAnsi="仿宋_GB2312" w:cs="仿宋_GB2312" w:eastAsia="仿宋_GB2312"/>
                <w:sz w:val="24"/>
              </w:rPr>
              <w:t>(1)建筑文化性</w:t>
            </w:r>
          </w:p>
          <w:p>
            <w:pPr>
              <w:pStyle w:val="null3"/>
              <w:ind w:firstLine="480"/>
              <w:jc w:val="both"/>
            </w:pPr>
            <w:r>
              <w:rPr>
                <w:rFonts w:ascii="仿宋_GB2312" w:hAnsi="仿宋_GB2312" w:cs="仿宋_GB2312" w:eastAsia="仿宋_GB2312"/>
                <w:sz w:val="24"/>
              </w:rPr>
              <w:t>满足功能需求的基础上，着重文化需求，强调品质型、未来性，在方案设计中体现学校特色，同时符合整体空间所追求的文脉特征。</w:t>
            </w:r>
          </w:p>
          <w:p>
            <w:pPr>
              <w:pStyle w:val="null3"/>
              <w:jc w:val="both"/>
            </w:pPr>
            <w:r>
              <w:rPr>
                <w:rFonts w:ascii="仿宋_GB2312" w:hAnsi="仿宋_GB2312" w:cs="仿宋_GB2312" w:eastAsia="仿宋_GB2312"/>
                <w:sz w:val="24"/>
              </w:rPr>
              <w:t>(2)融合现有校园规划环境</w:t>
            </w:r>
          </w:p>
          <w:p>
            <w:pPr>
              <w:pStyle w:val="null3"/>
              <w:ind w:firstLine="480"/>
              <w:jc w:val="both"/>
            </w:pPr>
            <w:r>
              <w:rPr>
                <w:rFonts w:ascii="仿宋_GB2312" w:hAnsi="仿宋_GB2312" w:cs="仿宋_GB2312" w:eastAsia="仿宋_GB2312"/>
                <w:sz w:val="24"/>
              </w:rPr>
              <w:t>考虑学校现有的建筑风貌，要注意避免对传统建筑的重复设计，尊重校区环境，注重差异与提升。在体现建筑使用功能的前提下，考虑已有建筑的存在形态，将自然与建筑融为一体。</w:t>
            </w:r>
          </w:p>
          <w:p>
            <w:pPr>
              <w:pStyle w:val="null3"/>
              <w:jc w:val="both"/>
            </w:pPr>
            <w:r>
              <w:rPr>
                <w:rFonts w:ascii="仿宋_GB2312" w:hAnsi="仿宋_GB2312" w:cs="仿宋_GB2312" w:eastAsia="仿宋_GB2312"/>
                <w:sz w:val="24"/>
              </w:rPr>
              <w:t>(3)注重多视角展现建筑形象和校园风貌</w:t>
            </w:r>
          </w:p>
          <w:p>
            <w:pPr>
              <w:pStyle w:val="null3"/>
              <w:ind w:firstLine="480"/>
              <w:jc w:val="both"/>
            </w:pPr>
            <w:r>
              <w:rPr>
                <w:rFonts w:ascii="仿宋_GB2312" w:hAnsi="仿宋_GB2312" w:cs="仿宋_GB2312" w:eastAsia="仿宋_GB2312"/>
                <w:sz w:val="24"/>
              </w:rPr>
              <w:t>立足校园文化的外在表现形式和向外界传达特色的窗口，把握项目细节，统筹多方面、多视角、多位置形象设计，提升校园展示度，展现学校本质、文化及精神风貌。</w:t>
            </w:r>
          </w:p>
          <w:p>
            <w:pPr>
              <w:pStyle w:val="null3"/>
              <w:jc w:val="both"/>
            </w:pPr>
            <w:r>
              <w:rPr>
                <w:rFonts w:ascii="仿宋_GB2312" w:hAnsi="仿宋_GB2312" w:cs="仿宋_GB2312" w:eastAsia="仿宋_GB2312"/>
                <w:sz w:val="24"/>
              </w:rPr>
              <w:t>(4)节能可持续设计</w:t>
            </w:r>
          </w:p>
          <w:p>
            <w:pPr>
              <w:pStyle w:val="null3"/>
              <w:ind w:firstLine="480"/>
              <w:jc w:val="both"/>
            </w:pPr>
            <w:r>
              <w:rPr>
                <w:rFonts w:ascii="仿宋_GB2312" w:hAnsi="仿宋_GB2312" w:cs="仿宋_GB2312" w:eastAsia="仿宋_GB2312"/>
                <w:sz w:val="24"/>
              </w:rPr>
              <w:t>根据当地特殊气候条件，通过适当的建筑空间组织和设计，提供良好朝向和遮阳通风的室内外空间，最大限度地利用自然通风和采光以降低能耗。可对抗西北地区严寒、夏季极端情况高热等恶劣极端天气，减少公共建筑维护成本。除特殊功能的空间，其它建筑空间设计应强调功能的通用性，使用功能可以灵活化，避免后期大规模改造，提高使用率。应贯彻以人为本的设计思想，着重使用期的节能措施。</w:t>
            </w:r>
          </w:p>
          <w:p>
            <w:pPr>
              <w:pStyle w:val="null3"/>
              <w:jc w:val="both"/>
            </w:pPr>
            <w:r>
              <w:rPr>
                <w:rFonts w:ascii="仿宋_GB2312" w:hAnsi="仿宋_GB2312" w:cs="仿宋_GB2312" w:eastAsia="仿宋_GB2312"/>
                <w:sz w:val="24"/>
                <w:color w:val="000000"/>
              </w:rPr>
              <w:t>(5)智能化设计要求</w:t>
            </w:r>
          </w:p>
          <w:p>
            <w:pPr>
              <w:pStyle w:val="null3"/>
              <w:jc w:val="both"/>
            </w:pPr>
            <w:r>
              <w:rPr>
                <w:rFonts w:ascii="仿宋_GB2312" w:hAnsi="仿宋_GB2312" w:cs="仿宋_GB2312" w:eastAsia="仿宋_GB2312"/>
                <w:sz w:val="24"/>
              </w:rPr>
              <w:t>智能化设计应包含网络、监控、门禁系统等加强内部联动，构建一体化智慧设计，呈现智慧智能、艺术美观的建筑效果，增强与周边建筑的衔接。入口采用智能刷卡或校园卡方式进入，并充分考虑楼内网络后期扩展兼容等内容。</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投标报价要求</w:t>
            </w:r>
          </w:p>
        </w:tc>
        <w:tc>
          <w:tcPr>
            <w:tcW w:type="dxa" w:w="2076"/>
          </w:tcPr>
          <w:p>
            <w:pPr>
              <w:pStyle w:val="null3"/>
              <w:jc w:val="both"/>
            </w:pPr>
            <w:r>
              <w:rPr>
                <w:rFonts w:ascii="仿宋_GB2312" w:hAnsi="仿宋_GB2312" w:cs="仿宋_GB2312" w:eastAsia="仿宋_GB2312"/>
                <w:sz w:val="24"/>
              </w:rPr>
              <w:t>投标报价应是完成招标范围内全部工作内容的价格体现，包括但不限于差旅费、会议费、设计费用、进出场费、设计成果制作费用、设计配合费用、专家评审费、配合图纸审批、验收、中标交易服务费、后续服务费用、后期手续办理相关费用等完成本项</w:t>
            </w:r>
            <w:r>
              <w:rPr>
                <w:rFonts w:ascii="仿宋_GB2312" w:hAnsi="仿宋_GB2312" w:cs="仿宋_GB2312" w:eastAsia="仿宋_GB2312"/>
                <w:sz w:val="24"/>
              </w:rPr>
              <w:t>目目标的一切费用。投标文件一经提交，则将被视为发包内容的全部费用已经包含在投标报价内，投标人亦不得以任何理由在投标报价中重复计价。除合同另有约定外，对中标人提出的任何追加报价，招标人将不予考虑。</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自合同签订之日起，开始方案设计，配合甲方完成可研和初设立项报批，待初步设计批复后60日历天完成施工图设计等其他相关内容。 具体见工程设计周期以专用合同条款及其附件的约定为准。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合同签订后，设计人提交等额履约保函后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设计方案、初步设计提交并经发包人确认后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施工图设计成果提交并经发包人接收后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施工图纸现场交底答疑工作结束后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施工单位工程竣工结算资料移交后发包人后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电子响应文件截止时间一致，递交地址：西安市雁展路1111号莱安中心T6-15层。（纸质响应文件可邮寄，仅接受顺丰速运。邮件签收时间应在递交电子响应文件截止时间之前，邮寄地址：西安市雁展路1111号莱安中心T6-15层，联系人：张娜，联系电话：029-81206622/81206633-835）。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至少一个月的纳税证明或完税证明，依法免税的单位应提供相关证明材料（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法定代表人授权书及被授权人身份证复印件。（法定代表人直接投标只须提交其身份证明书，被授权人还需提供供应商为其缴纳的2024年1月至今任意一个月社保缴纳证明）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投标人具备有效的工程设计综合资质甲级或建筑行业设计甲级或建筑行业（建筑工程）专业设计甲级及以上资质,且同时具备工程咨询单位甲级资信证书、风景园林专项设计资质,并在人员、设备、资金等方面具备相应的设计能力</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投标人拟派项目负责人具备一级注册建筑师或一级注册结构工程师执业资格，并在本单位登记注册</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特定资质3</w:t>
            </w:r>
          </w:p>
        </w:tc>
        <w:tc>
          <w:tcPr>
            <w:tcW w:type="dxa" w:w="3322"/>
          </w:tcPr>
          <w:p>
            <w:pPr>
              <w:pStyle w:val="null3"/>
            </w:pPr>
            <w:r>
              <w:rPr>
                <w:rFonts w:ascii="仿宋_GB2312" w:hAnsi="仿宋_GB2312" w:cs="仿宋_GB2312" w:eastAsia="仿宋_GB2312"/>
              </w:rPr>
              <w:t>投标人基本信息及拟派项目设计负责人须在“陕西省勘察设计行业管理信息平台”可查询；申请人不得在“国家企业信用信息公示系统”列入严重违法失信企业名单；申请人不得在“信用中国”网站中被列入政府采购严重违法失信行为记录名单；申请人不得在“中国政府采购网”政府采购严重违法失信行为记录名单中被财政部门禁止参加政府采购活动的申请人；申请人不得在本项目所在地及以上各级建设诚信信息平台被列为投标受限制的行为人或列为严重违法失信企业名单</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 《关于扩大政府采购支持绿色建材促进建筑品质提升政策实施范围的通知》（财库〔2022〕35号） ⑩本项目非专门面向中小企业采购</w:t>
            </w:r>
          </w:p>
        </w:tc>
        <w:tc>
          <w:tcPr>
            <w:tcW w:type="dxa" w:w="1661"/>
          </w:tcPr>
          <w:p>
            <w:pPr>
              <w:pStyle w:val="null3"/>
            </w:pPr>
            <w:r>
              <w:rPr>
                <w:rFonts w:ascii="仿宋_GB2312" w:hAnsi="仿宋_GB2312" w:cs="仿宋_GB2312" w:eastAsia="仿宋_GB2312"/>
              </w:rPr>
              <w:t>投标人认为有必要说明的问题.docx 投标人资格条件证明文件.docx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投标人资格条件证明文件.docx 分项报价表.docx 服务内容及服务邀请应答表 投标函 中小企业声明函 残疾人福利性单位声明函 服务方案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投标人资格条件证明文件.docx 分项报价表.docx 服务内容及服务邀请应答表 投标函 残疾人福利性单位声明函 中小企业声明函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投标人资格条件证明文件.docx 分项报价表.docx 服务内容及服务邀请应答表 投标函 中小企业声明函 残疾人福利性单位声明函 商务应答表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投标人提供自2022年1月1日起至今类似设计业绩证明材料，每提供1项公共房屋建筑类工程类似设计项目业绩得0.5分，最多得2分。 评审依据：附合同复印件或扫描件并加盖投标人公章，时间以合同签订时间中体现的时间为准。企业业绩与项目负责人业绩不重复打分。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拟派项目负责人具备高级以上职称资格得2分。 评审依据：提供拟派人员的身份证；相应专业国家注册类证书或职称证书，评审时以加盖投标人公章的证书复印件为准，及2024年1月至今任意一个月的社保证明材料或劳动合同。未提供以上资料的相应人员不予认定和赋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详细评审---拟派项目负责人.docx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拟派项目负责人业绩</w:t>
            </w:r>
          </w:p>
        </w:tc>
        <w:tc>
          <w:tcPr>
            <w:tcW w:type="dxa" w:w="2492"/>
          </w:tcPr>
          <w:p>
            <w:pPr>
              <w:pStyle w:val="null3"/>
            </w:pPr>
            <w:r>
              <w:rPr>
                <w:rFonts w:ascii="仿宋_GB2312" w:hAnsi="仿宋_GB2312" w:cs="仿宋_GB2312" w:eastAsia="仿宋_GB2312"/>
              </w:rPr>
              <w:t>提供拟派项目负责人自2022年1月1日起至今类似设计业绩证明材料，每提供1项公共房屋建筑类类似设计项目业绩的得0.5分，最多得2分。 评审依据：业绩证明材料以投标人所提供加盖公章的中标通知书或合同的复印件或扫描件为准或提供拟派本项目负责人业绩的支撑证明材料（例如甲方出具加盖公章的证明或设计合同中直接体现项目负责人姓名）。时间以合同签订时间或中标通知书签发时间为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详细评审---拟派项目负责人业绩.docx</w:t>
            </w:r>
          </w:p>
        </w:tc>
      </w:tr>
      <w:tr>
        <w:tc>
          <w:tcPr>
            <w:tcW w:type="dxa" w:w="831"/>
            <w:vMerge/>
          </w:tcPr>
          <w:p/>
        </w:tc>
        <w:tc>
          <w:tcPr>
            <w:tcW w:type="dxa" w:w="1661"/>
          </w:tcPr>
          <w:p>
            <w:pPr>
              <w:pStyle w:val="null3"/>
            </w:pPr>
            <w:r>
              <w:rPr>
                <w:rFonts w:ascii="仿宋_GB2312" w:hAnsi="仿宋_GB2312" w:cs="仿宋_GB2312" w:eastAsia="仿宋_GB2312"/>
              </w:rPr>
              <w:t>拟派设计人员配备情况</w:t>
            </w:r>
          </w:p>
        </w:tc>
        <w:tc>
          <w:tcPr>
            <w:tcW w:type="dxa" w:w="2492"/>
          </w:tcPr>
          <w:p>
            <w:pPr>
              <w:pStyle w:val="null3"/>
            </w:pPr>
            <w:r>
              <w:rPr>
                <w:rFonts w:ascii="仿宋_GB2312" w:hAnsi="仿宋_GB2312" w:cs="仿宋_GB2312" w:eastAsia="仿宋_GB2312"/>
              </w:rPr>
              <w:t>各专业主要设计负责人：除项目负责人外团队成员至少包含 7 人，且必须满足建筑、结构、电气、暖通、给排水、工程造价、工程咨询专业，每个专业各配 1 人及以上，不满足基本团队成员配置要求，本项不得分。 （1）建筑专业负责人：具备高级以上职称资格且具有一级注册建筑师执业资格的，得 1分；其余不得分。 （2）结构专业负责人：具备高级以上职称资格且具有一级注册结构工程师执业资格的，得 1分；其余不得分。 （3）给排水专业负责人：具备高级以上职称资格且具有国家注册公用设备工程师执业资格的，得 1分；其余不得分。 （4）暖通专业负责人：具备高级以上职称资格且具有国家注册公用设备工程师执业资格的，得 1 分；其余不得分。 （5）电气专业负责人：具备高级以上职称资格且具有国家注册电气工程师执业资格的，得 1分；其余不得分。 （6）工程造价专业负责人：具备高级以上职称资格且具有国家一级注册造价工程师执业资格的，得1分；其余不得分。 （7）工程咨询专业负责人：具备高级以上职称资格且具有国家注册咨询工程师执业资格的，得 1分；其余不得分。 评审依据：证明材料为学历证、注册证、职称证其他辅助证明。提供项目组织机构人员的学历证、注册证、职称证其他辅助证明、与投标人单位签定的劳动合同或提供至少近三个月社保证明。提供上述资料的复印件加盖单位公章附在投标文件中，否则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详细评审---拟派设计人员配备情况.docx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针对本项目使用功能要求，在满足项目功能的前提下，体现（1）整体空间布局（2）建筑外观风格（3）安全可靠性（4）节能及绿色建筑（5）智能建筑（6）无障碍设计（7）经济合理及限额设计等方面，真正实现节约、智能、绿色、低碳等生态文明的新型建筑设计理念。 二、评审标准 1、方案完整性：设计方案的内容须完整全面，对评审内容中的各项要求有详细论述及说明； 2、方案可实施性：设计方案切合本项目实际情况，具有创意新颖、经济合理、符合建设工程相关规范及标准，具有很强的可实施性； 3、针对性：方案能够紧扣项目实际情况及使用功能，充分体现教学实验的实用需求。 三、赋分标准（满分21分） ①方案完整性：每完全满足一项评审标准得1分，部分满足得0.5分，不满足不得分，满分7分； ②方案可实施性:每完全满足一项评审标准得1分，部分满足得0.5分，不满足不得分，满分7分。 ③针对性：每完全满足一项评审标准得1分，部分满足得0.5分，不满足不得分，满分7分。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详细评审---设计方案.docx</w:t>
            </w:r>
          </w:p>
        </w:tc>
      </w:tr>
      <w:tr>
        <w:tc>
          <w:tcPr>
            <w:tcW w:type="dxa" w:w="831"/>
            <w:vMerge/>
          </w:tcPr>
          <w:p/>
        </w:tc>
        <w:tc>
          <w:tcPr>
            <w:tcW w:type="dxa" w:w="1661"/>
          </w:tcPr>
          <w:p>
            <w:pPr>
              <w:pStyle w:val="null3"/>
            </w:pPr>
            <w:r>
              <w:rPr>
                <w:rFonts w:ascii="仿宋_GB2312" w:hAnsi="仿宋_GB2312" w:cs="仿宋_GB2312" w:eastAsia="仿宋_GB2312"/>
              </w:rPr>
              <w:t>平面图</w:t>
            </w:r>
          </w:p>
        </w:tc>
        <w:tc>
          <w:tcPr>
            <w:tcW w:type="dxa" w:w="2492"/>
          </w:tcPr>
          <w:p>
            <w:pPr>
              <w:pStyle w:val="null3"/>
            </w:pPr>
            <w:r>
              <w:rPr>
                <w:rFonts w:ascii="仿宋_GB2312" w:hAnsi="仿宋_GB2312" w:cs="仿宋_GB2312" w:eastAsia="仿宋_GB2312"/>
              </w:rPr>
              <w:t>一、评审内容 提供效果图（主要考虑功能布局等因素，需有详细尺寸标注） 包括：（1）建筑布局（2）建筑内部空间规划（3）建筑内人员交通、疏散路线（4）设备设施布置等。 二、评审标准 1、平面图内容完整性：平面图的内容须完整全面，对评审内容中的各项要求有详细尺寸标注及说明； 2、平面布置的科学合理性：平面布局须科学合理便于学生日常生活学习、各项指标须符合相关规范及标准、便于紧急疏散、便于日常管理。 3、针对性：能够紧扣项目实际情况及使用功能，充分体现教学实验的实用需求。 三、赋分标准（满分12分） ①平面内容完整性：每完全满足一项评审标准得1分，部分满足得0.5分，不满足不得分，满分4分； ②平面布置的科学合理性：每完全满足一项评审标准得1分，部分满足得0.5分，不满足不得分，满分4分。 ③针对性：每完全满足一项评审标准得1分，部分满足得0.5分，不满足不得分，满分4分。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详细评审---平面图.docx</w:t>
            </w:r>
          </w:p>
        </w:tc>
      </w:tr>
      <w:tr>
        <w:tc>
          <w:tcPr>
            <w:tcW w:type="dxa" w:w="831"/>
            <w:vMerge/>
          </w:tcPr>
          <w:p/>
        </w:tc>
        <w:tc>
          <w:tcPr>
            <w:tcW w:type="dxa" w:w="1661"/>
          </w:tcPr>
          <w:p>
            <w:pPr>
              <w:pStyle w:val="null3"/>
            </w:pPr>
            <w:r>
              <w:rPr>
                <w:rFonts w:ascii="仿宋_GB2312" w:hAnsi="仿宋_GB2312" w:cs="仿宋_GB2312" w:eastAsia="仿宋_GB2312"/>
              </w:rPr>
              <w:t>效果图</w:t>
            </w:r>
          </w:p>
        </w:tc>
        <w:tc>
          <w:tcPr>
            <w:tcW w:type="dxa" w:w="2492"/>
          </w:tcPr>
          <w:p>
            <w:pPr>
              <w:pStyle w:val="null3"/>
            </w:pPr>
            <w:r>
              <w:rPr>
                <w:rFonts w:ascii="仿宋_GB2312" w:hAnsi="仿宋_GB2312" w:cs="仿宋_GB2312" w:eastAsia="仿宋_GB2312"/>
              </w:rPr>
              <w:t>一、评审内容 提供效果图，包括（1）总平图（2）鸟瞰图（3）公共走廊装修效果图（4）房间装修效果图（5）大厅效果图（6）卫生间效果图（7）会议室效果图等。 二、评审标准 1、效果图内容完整性：效果图的内容须完整全面，对评审内容中的各类效果图均应体现； 2、建筑文化的彰显：具有展现建筑文化性、建筑美学性、新颖性、创意性、时尚性、艺术性等。 三、赋分标准（满分14分） ①效果图内容完整性：每完全满足一项评审标准得1分，部分满足得0.5分，不满足不得分，满分7分； ②建筑文化的彰显：每完全满足一项评审标准得1分，部分满足得0.5分，不满足不得分，满分7分。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详细评审---效果图.docx</w:t>
            </w:r>
          </w:p>
        </w:tc>
      </w:tr>
      <w:tr>
        <w:tc>
          <w:tcPr>
            <w:tcW w:type="dxa" w:w="831"/>
            <w:vMerge/>
          </w:tcPr>
          <w:p/>
        </w:tc>
        <w:tc>
          <w:tcPr>
            <w:tcW w:type="dxa" w:w="1661"/>
          </w:tcPr>
          <w:p>
            <w:pPr>
              <w:pStyle w:val="null3"/>
            </w:pPr>
            <w:r>
              <w:rPr>
                <w:rFonts w:ascii="仿宋_GB2312" w:hAnsi="仿宋_GB2312" w:cs="仿宋_GB2312" w:eastAsia="仿宋_GB2312"/>
              </w:rPr>
              <w:t>室外水、电输入、输出管网、道路交通、景观绿化、设备设施用房空间布置及分析图</w:t>
            </w:r>
          </w:p>
        </w:tc>
        <w:tc>
          <w:tcPr>
            <w:tcW w:type="dxa" w:w="2492"/>
          </w:tcPr>
          <w:p>
            <w:pPr>
              <w:pStyle w:val="null3"/>
            </w:pPr>
            <w:r>
              <w:rPr>
                <w:rFonts w:ascii="仿宋_GB2312" w:hAnsi="仿宋_GB2312" w:cs="仿宋_GB2312" w:eastAsia="仿宋_GB2312"/>
              </w:rPr>
              <w:t>一、评审内容 提供图纸，包括（1）给、排水管网布置及走向（2）强、弱电管线布置及走向（3）道路交通路线及消防通道要求（4）建筑周边景观绿化布置（5）供热管网布置及走向（6）供电及换热设备设施用房空间布置及分析图等。 二、评审标准 1、完整性：内容须完整全面，对评审内容中的各项内容均应体现； 2、科学合理性：室外水、电输入输出管网、道路交通、景观绿化、设备设施用房空间布置科学合理、符合现行规范及标准。 三、赋分标准（满分6分） ①完整性：每完全满足一项评审标准得0.5分，不满足不得分，满分3分； ②科学合理性：每完全满足一项评审标准得0.5分，不满足不得分，满分3分。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详细评审---室外水、电输入、输出管网、道路交通、景观绿化、设备设施用房空间布置及分析图.docx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从本项目整体空间布局、安全可靠、绿色建筑、智能建筑、装配式设计、外观风格、限额设计、集约节能提出的有利于提高建筑使用功能且降低建设成本等方面的合理化建议或者在合作期内的特色增值服务情况 （1）合理化建议或者增值服务切实可行，有利于项目后期实施得4分； （2）合理化建议或者增值服务内容简单但基本可行得2分； （3）合理化建议或者增值服务可实施性差或未提供，不得分。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详细评审---合理化建议.docx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详见附件：详细评审---合理化建议.docx</w:t>
      </w:r>
    </w:p>
    <w:p>
      <w:pPr>
        <w:pStyle w:val="null3"/>
        <w:ind w:firstLine="960"/>
      </w:pPr>
      <w:r>
        <w:rPr>
          <w:rFonts w:ascii="仿宋_GB2312" w:hAnsi="仿宋_GB2312" w:cs="仿宋_GB2312" w:eastAsia="仿宋_GB2312"/>
        </w:rPr>
        <w:t>详见附件：详细评审---拟派设计人员配备情况.docx</w:t>
      </w:r>
    </w:p>
    <w:p>
      <w:pPr>
        <w:pStyle w:val="null3"/>
        <w:ind w:firstLine="960"/>
      </w:pPr>
      <w:r>
        <w:rPr>
          <w:rFonts w:ascii="仿宋_GB2312" w:hAnsi="仿宋_GB2312" w:cs="仿宋_GB2312" w:eastAsia="仿宋_GB2312"/>
        </w:rPr>
        <w:t>详见附件：详细评审---拟派项目负责人.docx</w:t>
      </w:r>
    </w:p>
    <w:p>
      <w:pPr>
        <w:pStyle w:val="null3"/>
        <w:ind w:firstLine="960"/>
      </w:pPr>
      <w:r>
        <w:rPr>
          <w:rFonts w:ascii="仿宋_GB2312" w:hAnsi="仿宋_GB2312" w:cs="仿宋_GB2312" w:eastAsia="仿宋_GB2312"/>
        </w:rPr>
        <w:t>详见附件：详细评审---拟派项目负责人业绩.docx</w:t>
      </w:r>
    </w:p>
    <w:p>
      <w:pPr>
        <w:pStyle w:val="null3"/>
        <w:ind w:firstLine="960"/>
      </w:pPr>
      <w:r>
        <w:rPr>
          <w:rFonts w:ascii="仿宋_GB2312" w:hAnsi="仿宋_GB2312" w:cs="仿宋_GB2312" w:eastAsia="仿宋_GB2312"/>
        </w:rPr>
        <w:t>详见附件：详细评审---平面图.docx</w:t>
      </w:r>
    </w:p>
    <w:p>
      <w:pPr>
        <w:pStyle w:val="null3"/>
        <w:ind w:firstLine="960"/>
      </w:pPr>
      <w:r>
        <w:rPr>
          <w:rFonts w:ascii="仿宋_GB2312" w:hAnsi="仿宋_GB2312" w:cs="仿宋_GB2312" w:eastAsia="仿宋_GB2312"/>
        </w:rPr>
        <w:t>详见附件：详细评审---设计方案.docx</w:t>
      </w:r>
    </w:p>
    <w:p>
      <w:pPr>
        <w:pStyle w:val="null3"/>
        <w:ind w:firstLine="960"/>
      </w:pPr>
      <w:r>
        <w:rPr>
          <w:rFonts w:ascii="仿宋_GB2312" w:hAnsi="仿宋_GB2312" w:cs="仿宋_GB2312" w:eastAsia="仿宋_GB2312"/>
        </w:rPr>
        <w:t>详见附件：详细评审---室外水、电输入、输出管网、道路交通、景观绿化、设备设施用房空间布置及分析图.docx</w:t>
      </w:r>
    </w:p>
    <w:p>
      <w:pPr>
        <w:pStyle w:val="null3"/>
        <w:ind w:firstLine="960"/>
      </w:pPr>
      <w:r>
        <w:rPr>
          <w:rFonts w:ascii="仿宋_GB2312" w:hAnsi="仿宋_GB2312" w:cs="仿宋_GB2312" w:eastAsia="仿宋_GB2312"/>
        </w:rPr>
        <w:t>详见附件：详细评审---效果图.docx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